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89405C8" wp14:paraId="3E86C1A4" wp14:textId="58A60323">
      <w:pPr>
        <w:spacing w:before="0" w:beforeAutospacing="off"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89405C8" w:rsidR="7B23B94B">
        <w:rPr>
          <w:rFonts w:ascii="Calibri" w:hAnsi="Calibri" w:eastAsia="Calibri" w:cs="Calibri"/>
          <w:b w:val="0"/>
          <w:bCs w:val="0"/>
          <w:i w:val="0"/>
          <w:iCs w:val="0"/>
          <w:caps w:val="0"/>
          <w:smallCaps w:val="0"/>
          <w:noProof w:val="0"/>
          <w:color w:val="000000" w:themeColor="text1" w:themeTint="FF" w:themeShade="FF"/>
          <w:sz w:val="24"/>
          <w:szCs w:val="24"/>
          <w:lang w:val="en-GB"/>
        </w:rPr>
        <w:t>University: Trinity Saint David Campus Carmarthen</w:t>
      </w:r>
    </w:p>
    <w:p xmlns:wp14="http://schemas.microsoft.com/office/word/2010/wordml" w:rsidP="489405C8" wp14:paraId="2FE01894" wp14:textId="0793799F">
      <w:pPr>
        <w:spacing w:before="0" w:beforeAutospacing="off"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89405C8" w:rsidR="7B23B9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Lecturer: Nav Rand </w:t>
      </w:r>
    </w:p>
    <w:p xmlns:wp14="http://schemas.microsoft.com/office/word/2010/wordml" w:rsidP="489405C8" wp14:paraId="6CEF66F5" wp14:textId="75E4A8CD">
      <w:pPr>
        <w:spacing w:before="0" w:beforeAutospacing="off"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89405C8" w:rsidR="1062D11B">
        <w:rPr>
          <w:rFonts w:ascii="Calibri" w:hAnsi="Calibri" w:eastAsia="Calibri" w:cs="Calibri"/>
          <w:b w:val="0"/>
          <w:bCs w:val="0"/>
          <w:i w:val="0"/>
          <w:iCs w:val="0"/>
          <w:caps w:val="0"/>
          <w:smallCaps w:val="0"/>
          <w:noProof w:val="0"/>
          <w:color w:val="000000" w:themeColor="text1" w:themeTint="FF" w:themeShade="FF"/>
          <w:sz w:val="24"/>
          <w:szCs w:val="24"/>
          <w:lang w:val="en-GB"/>
        </w:rPr>
        <w:t>Course: Financial</w:t>
      </w:r>
      <w:r w:rsidRPr="489405C8" w:rsidR="1062D1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management for business sustainability </w:t>
      </w:r>
    </w:p>
    <w:p xmlns:wp14="http://schemas.microsoft.com/office/word/2010/wordml" w:rsidP="40BC8ED5" wp14:paraId="60ED5D9A" wp14:textId="346FC950">
      <w:pPr>
        <w:spacing w:before="0" w:beforeAutospacing="off"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0BC8ED5" w:rsidR="7B23B9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Words </w:t>
      </w:r>
      <w:r w:rsidRPr="40BC8ED5" w:rsidR="05E4190E">
        <w:rPr>
          <w:rFonts w:ascii="Calibri" w:hAnsi="Calibri" w:eastAsia="Calibri" w:cs="Calibri"/>
          <w:b w:val="0"/>
          <w:bCs w:val="0"/>
          <w:i w:val="0"/>
          <w:iCs w:val="0"/>
          <w:caps w:val="0"/>
          <w:smallCaps w:val="0"/>
          <w:noProof w:val="0"/>
          <w:color w:val="000000" w:themeColor="text1" w:themeTint="FF" w:themeShade="FF"/>
          <w:sz w:val="24"/>
          <w:szCs w:val="24"/>
          <w:lang w:val="en-GB"/>
        </w:rPr>
        <w:t>1</w:t>
      </w:r>
      <w:r w:rsidRPr="40BC8ED5" w:rsidR="0BB4FD24">
        <w:rPr>
          <w:rFonts w:ascii="Calibri" w:hAnsi="Calibri" w:eastAsia="Calibri" w:cs="Calibri"/>
          <w:b w:val="0"/>
          <w:bCs w:val="0"/>
          <w:i w:val="0"/>
          <w:iCs w:val="0"/>
          <w:caps w:val="0"/>
          <w:smallCaps w:val="0"/>
          <w:noProof w:val="0"/>
          <w:color w:val="000000" w:themeColor="text1" w:themeTint="FF" w:themeShade="FF"/>
          <w:sz w:val="24"/>
          <w:szCs w:val="24"/>
          <w:lang w:val="en-GB"/>
        </w:rPr>
        <w:t>636/1500</w:t>
      </w:r>
    </w:p>
    <w:p xmlns:wp14="http://schemas.microsoft.com/office/word/2010/wordml" w:rsidP="489405C8" wp14:paraId="57D13C3F" wp14:textId="1516B80A">
      <w:pPr>
        <w:rPr>
          <w:rFonts w:ascii="Aptos" w:hAnsi="Aptos" w:eastAsia="Aptos" w:cs="Aptos"/>
          <w:b w:val="0"/>
          <w:bCs w:val="0"/>
          <w:i w:val="0"/>
          <w:iCs w:val="0"/>
          <w:caps w:val="0"/>
          <w:smallCaps w:val="0"/>
          <w:noProof w:val="0"/>
          <w:color w:val="000000" w:themeColor="text1" w:themeTint="FF" w:themeShade="FF"/>
          <w:sz w:val="24"/>
          <w:szCs w:val="24"/>
          <w:lang w:val="en-GB"/>
        </w:rPr>
      </w:pPr>
      <w:r w:rsidRPr="489405C8" w:rsidR="7B23B94B">
        <w:rPr>
          <w:rFonts w:ascii="Aptos" w:hAnsi="Aptos" w:eastAsia="Aptos" w:cs="Aptos"/>
          <w:b w:val="0"/>
          <w:bCs w:val="0"/>
          <w:i w:val="0"/>
          <w:iCs w:val="0"/>
          <w:caps w:val="0"/>
          <w:smallCaps w:val="0"/>
          <w:noProof w:val="0"/>
          <w:color w:val="000000" w:themeColor="text1" w:themeTint="FF" w:themeShade="FF"/>
          <w:sz w:val="24"/>
          <w:szCs w:val="24"/>
          <w:lang w:val="en-GB"/>
        </w:rPr>
        <w:t>Student ID: 2517510</w:t>
      </w:r>
    </w:p>
    <w:p xmlns:wp14="http://schemas.microsoft.com/office/word/2010/wordml" w:rsidP="489405C8" wp14:paraId="75249BE0" wp14:textId="6BA94C91">
      <w:pPr>
        <w:rPr>
          <w:rFonts w:ascii="Aptos" w:hAnsi="Aptos" w:eastAsia="Aptos" w:cs="Aptos"/>
          <w:b w:val="0"/>
          <w:bCs w:val="0"/>
          <w:i w:val="0"/>
          <w:iCs w:val="0"/>
          <w:caps w:val="0"/>
          <w:smallCaps w:val="0"/>
          <w:noProof w:val="0"/>
          <w:color w:val="000000" w:themeColor="text1" w:themeTint="FF" w:themeShade="FF"/>
          <w:sz w:val="24"/>
          <w:szCs w:val="24"/>
          <w:lang w:val="en-GB"/>
        </w:rPr>
      </w:pPr>
      <w:r w:rsidRPr="40BC8ED5" w:rsidR="74B31996">
        <w:rPr>
          <w:rFonts w:ascii="Aptos" w:hAnsi="Aptos" w:eastAsia="Aptos" w:cs="Aptos"/>
          <w:b w:val="0"/>
          <w:bCs w:val="0"/>
          <w:i w:val="0"/>
          <w:iCs w:val="0"/>
          <w:caps w:val="0"/>
          <w:smallCaps w:val="0"/>
          <w:noProof w:val="0"/>
          <w:color w:val="000000" w:themeColor="text1" w:themeTint="FF" w:themeShade="FF"/>
          <w:sz w:val="24"/>
          <w:szCs w:val="24"/>
          <w:lang w:val="en-GB"/>
        </w:rPr>
        <w:t>Title: Report on Nintendo accounts 2019/2020</w:t>
      </w:r>
    </w:p>
    <w:p w:rsidR="40BC8ED5" w:rsidP="40BC8ED5" w:rsidRDefault="40BC8ED5" w14:paraId="74FEF7E5" w14:textId="7236D127">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40FEB5D9" w14:textId="10DCA619">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50A8388F" w14:textId="0914B302">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6CC888E5" w14:textId="05051A6D">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389A14E9" w14:textId="1C214D8E">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617EFDA7" w14:textId="2E907A26">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39EF89EA" w14:textId="4D081B38">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5ABB2390" w14:textId="7A414052">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3B44F5A4" w14:textId="590DE66D">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7CAFF28B" w14:textId="7E449D70">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24F5FFD2" w14:textId="75F870E3">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40EF8B6F" w14:textId="07090515">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51AC6CE3" w14:textId="003EAB89">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5B726191" w14:textId="245B270A">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0FCE4BEA" w14:textId="1F173426">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6B4CBFCC" w14:textId="25508B61">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53DBCCFA" w14:textId="58EDFD3C">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2C61D1E8" w14:textId="4AE96569">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1C3CEA73" w14:textId="7D68A3F3">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6587963D" w14:textId="5EE389B7">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109AE551" w14:textId="2EAB749D">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2A094893" w14:textId="57A444C9">
      <w:pPr>
        <w:rPr>
          <w:rFonts w:ascii="Aptos" w:hAnsi="Aptos" w:eastAsia="Aptos" w:cs="Aptos"/>
          <w:b w:val="0"/>
          <w:bCs w:val="0"/>
          <w:i w:val="0"/>
          <w:iCs w:val="0"/>
          <w:caps w:val="0"/>
          <w:smallCaps w:val="0"/>
          <w:noProof w:val="0"/>
          <w:color w:val="000000" w:themeColor="text1" w:themeTint="FF" w:themeShade="FF"/>
          <w:sz w:val="24"/>
          <w:szCs w:val="24"/>
          <w:lang w:val="en-GB"/>
        </w:rPr>
      </w:pPr>
    </w:p>
    <w:p w:rsidR="40BC8ED5" w:rsidP="40BC8ED5" w:rsidRDefault="40BC8ED5" w14:paraId="4AA50092" w14:textId="1E8C4821">
      <w:pPr>
        <w:rPr>
          <w:rFonts w:ascii="Aptos" w:hAnsi="Aptos" w:eastAsia="Aptos" w:cs="Aptos"/>
          <w:b w:val="0"/>
          <w:bCs w:val="0"/>
          <w:i w:val="0"/>
          <w:iCs w:val="0"/>
          <w:caps w:val="0"/>
          <w:smallCaps w:val="0"/>
          <w:noProof w:val="0"/>
          <w:color w:val="000000" w:themeColor="text1" w:themeTint="FF" w:themeShade="FF"/>
          <w:sz w:val="24"/>
          <w:szCs w:val="24"/>
          <w:lang w:val="en-GB"/>
        </w:rPr>
      </w:pPr>
    </w:p>
    <w:p w:rsidR="62712EFF" w:rsidP="40BC8ED5" w:rsidRDefault="62712EFF" w14:paraId="36B9DFB3" w14:textId="2E146617">
      <w:pPr>
        <w:spacing w:before="120" w:beforeAutospacing="off" w:after="120" w:afterAutospacing="off"/>
        <w:jc w:val="left"/>
        <w:rPr>
          <w:rFonts w:ascii="Aptos" w:hAnsi="Aptos" w:eastAsia="Aptos" w:cs="Aptos"/>
          <w:b w:val="1"/>
          <w:bCs w:val="1"/>
          <w:noProof w:val="0"/>
          <w:sz w:val="24"/>
          <w:szCs w:val="24"/>
          <w:lang w:val="en-GB"/>
        </w:rPr>
      </w:pPr>
      <w:r w:rsidRPr="7B919D8B" w:rsidR="62712EFF">
        <w:rPr>
          <w:rFonts w:ascii="Aptos" w:hAnsi="Aptos" w:eastAsia="Aptos" w:cs="Aptos"/>
          <w:b w:val="1"/>
          <w:bCs w:val="1"/>
          <w:noProof w:val="0"/>
          <w:sz w:val="24"/>
          <w:szCs w:val="24"/>
          <w:lang w:val="en-GB"/>
        </w:rPr>
        <w:t xml:space="preserve">Introduction </w:t>
      </w:r>
    </w:p>
    <w:p w:rsidR="3118F0D0" w:rsidP="7B919D8B" w:rsidRDefault="3118F0D0" w14:paraId="6B1A2570" w14:textId="1F4E2DE5">
      <w:pPr>
        <w:spacing w:before="120" w:beforeAutospacing="off" w:after="120" w:afterAutospacing="off"/>
        <w:jc w:val="left"/>
      </w:pPr>
      <w:r w:rsidRPr="7B919D8B" w:rsidR="3118F0D0">
        <w:rPr>
          <w:rFonts w:ascii="Aptos" w:hAnsi="Aptos" w:eastAsia="Aptos" w:cs="Aptos"/>
          <w:noProof w:val="0"/>
          <w:sz w:val="24"/>
          <w:szCs w:val="24"/>
          <w:lang w:val="en-GB"/>
        </w:rPr>
        <w:t>Nintendo Co., Ltd. is a leading Japanese multinational in the video game industry, famous for hardware like the Nintendo Switch and iconic software franchises such as Mario, Pokémon, and Zelda. This analysis assesses Nintendo's consolidated financial statements for the fiscal years ended March 31st 2019, and March 31st, 2020.</w:t>
      </w:r>
    </w:p>
    <w:p w:rsidR="3118F0D0" w:rsidP="7B919D8B" w:rsidRDefault="3118F0D0" w14:paraId="402BFBF6" w14:textId="3D4739F7">
      <w:pPr>
        <w:spacing w:before="120" w:beforeAutospacing="off" w:after="120" w:afterAutospacing="off"/>
        <w:jc w:val="left"/>
      </w:pPr>
      <w:r w:rsidRPr="7B919D8B" w:rsidR="3118F0D0">
        <w:rPr>
          <w:rFonts w:ascii="Aptos" w:hAnsi="Aptos" w:eastAsia="Aptos" w:cs="Aptos"/>
          <w:noProof w:val="0"/>
          <w:sz w:val="24"/>
          <w:szCs w:val="24"/>
          <w:lang w:val="en-GB"/>
        </w:rPr>
        <w:t>Financial ratio analysis is used to evaluate performance changes, identify drivers of improvement or decline, and evaluate a company's financial sustainability (Atrill &amp; McLaney, 2019). Ratio analysis provides insight into profitability, liquidity, and efficiency by examining relationships among financial statement figures. The purpose of this report is to compare Nintendo’s financial condition over the two-year period, explain key changes and assess whether the company's overall financial position has improved. Recommendations will be provided to support long-term sustainability in a competitive, developing market.</w:t>
      </w:r>
    </w:p>
    <w:p w:rsidR="40BC8ED5" w:rsidP="40BC8ED5" w:rsidRDefault="40BC8ED5" w14:paraId="360A5CD8" w14:textId="5737CCFA">
      <w:pPr>
        <w:pStyle w:val="Normal"/>
        <w:spacing w:before="120" w:beforeAutospacing="off" w:after="120" w:afterAutospacing="off"/>
        <w:jc w:val="left"/>
        <w:rPr>
          <w:rFonts w:ascii="Aptos" w:hAnsi="Aptos" w:eastAsia="Aptos" w:cs="Aptos"/>
          <w:noProof w:val="0"/>
          <w:sz w:val="24"/>
          <w:szCs w:val="24"/>
          <w:lang w:val="en-GB"/>
        </w:rPr>
      </w:pPr>
    </w:p>
    <w:p w:rsidR="62712EFF" w:rsidP="40BC8ED5" w:rsidRDefault="62712EFF" w14:paraId="3AA6AE28" w14:textId="5C9821E7">
      <w:pPr>
        <w:spacing w:before="120" w:beforeAutospacing="off" w:after="120" w:afterAutospacing="off"/>
        <w:jc w:val="left"/>
      </w:pPr>
      <w:r w:rsidRPr="40BC8ED5" w:rsidR="62712EFF">
        <w:rPr>
          <w:rFonts w:ascii="Aptos" w:hAnsi="Aptos" w:eastAsia="Aptos" w:cs="Aptos"/>
          <w:noProof w:val="0"/>
          <w:sz w:val="24"/>
          <w:szCs w:val="24"/>
          <w:lang w:val="en-GB"/>
        </w:rPr>
        <w:t xml:space="preserve">These reflect robust growth amid the global launch and expansion of the Nintendo Switch platform. </w:t>
      </w:r>
    </w:p>
    <w:p w:rsidR="62712EFF" w:rsidP="40BC8ED5" w:rsidRDefault="62712EFF" w14:paraId="52083193" w14:textId="040D4A0F">
      <w:pPr>
        <w:spacing w:before="120" w:beforeAutospacing="off" w:after="120" w:afterAutospacing="off"/>
        <w:jc w:val="left"/>
        <w:rPr>
          <w:rFonts w:ascii="Aptos" w:hAnsi="Aptos" w:eastAsia="Aptos" w:cs="Aptos"/>
          <w:b w:val="1"/>
          <w:bCs w:val="1"/>
          <w:strike w:val="0"/>
          <w:dstrike w:val="0"/>
          <w:noProof w:val="0"/>
          <w:sz w:val="24"/>
          <w:szCs w:val="24"/>
          <w:u w:val="none"/>
          <w:lang w:val="en-GB"/>
        </w:rPr>
      </w:pPr>
      <w:r w:rsidRPr="40BC8ED5" w:rsidR="62712EFF">
        <w:rPr>
          <w:rFonts w:ascii="Aptos" w:hAnsi="Aptos" w:eastAsia="Aptos" w:cs="Aptos"/>
          <w:b w:val="1"/>
          <w:bCs w:val="1"/>
          <w:strike w:val="0"/>
          <w:dstrike w:val="0"/>
          <w:noProof w:val="0"/>
          <w:sz w:val="24"/>
          <w:szCs w:val="24"/>
          <w:u w:val="none"/>
          <w:lang w:val="en-GB"/>
        </w:rPr>
        <w:t xml:space="preserve">Ratio analysis and year-on-year comparison </w:t>
      </w:r>
    </w:p>
    <w:p w:rsidR="62712EFF" w:rsidP="40BC8ED5" w:rsidRDefault="62712EFF" w14:paraId="3B067DDB" w14:textId="361F3546">
      <w:pPr>
        <w:spacing w:before="120" w:beforeAutospacing="off" w:after="120" w:afterAutospacing="off"/>
        <w:jc w:val="left"/>
      </w:pPr>
      <w:r w:rsidRPr="40BC8ED5" w:rsidR="62712EFF">
        <w:rPr>
          <w:rFonts w:ascii="Aptos" w:hAnsi="Aptos" w:eastAsia="Aptos" w:cs="Aptos"/>
          <w:noProof w:val="0"/>
          <w:sz w:val="24"/>
          <w:szCs w:val="24"/>
          <w:lang w:val="en-GB"/>
        </w:rPr>
        <w:t>The following table summarises key ratios (calculated or directly from reports.</w:t>
      </w:r>
    </w:p>
    <w:p w:rsidR="62712EFF" w:rsidP="40BC8ED5" w:rsidRDefault="62712EFF" w14:paraId="2BB9D9AA" w14:textId="490B0BFA">
      <w:pPr>
        <w:spacing w:before="120" w:beforeAutospacing="off" w:after="120" w:afterAutospacing="off"/>
        <w:jc w:val="left"/>
      </w:pPr>
      <w:r w:rsidRPr="40BC8ED5" w:rsidR="62712EFF">
        <w:rPr>
          <w:rFonts w:ascii="Aptos" w:hAnsi="Aptos" w:eastAsia="Aptos" w:cs="Aptos"/>
          <w:noProof w:val="0"/>
          <w:sz w:val="24"/>
          <w:szCs w:val="24"/>
          <w:lang w:val="en-GB"/>
        </w:rPr>
        <w:t xml:space="preserve">Calculations </w:t>
      </w:r>
    </w:p>
    <w:p w:rsidR="23D174CD" w:rsidP="40BC8ED5" w:rsidRDefault="23D174CD" w14:paraId="4143845C" w14:textId="4236039A">
      <w:pPr>
        <w:spacing w:before="120" w:beforeAutospacing="off" w:after="120" w:afterAutospacing="off"/>
        <w:jc w:val="left"/>
        <w:rPr>
          <w:rFonts w:ascii="Aptos" w:hAnsi="Aptos" w:eastAsia="Aptos" w:cs="Aptos"/>
          <w:noProof w:val="0"/>
          <w:sz w:val="24"/>
          <w:szCs w:val="24"/>
          <w:lang w:val="en-GB"/>
        </w:rPr>
      </w:pPr>
      <w:r w:rsidRPr="40BC8ED5" w:rsidR="23D174CD">
        <w:rPr>
          <w:rFonts w:ascii="Aptos" w:hAnsi="Aptos" w:eastAsia="Aptos" w:cs="Aptos"/>
          <w:noProof w:val="0"/>
          <w:sz w:val="24"/>
          <w:szCs w:val="24"/>
          <w:lang w:val="en-GB"/>
        </w:rPr>
        <w:t xml:space="preserve">                                                                 2019                                                  2020</w:t>
      </w:r>
    </w:p>
    <w:tbl>
      <w:tblPr>
        <w:tblStyle w:val="TableGrid"/>
        <w:tblW w:w="0" w:type="auto"/>
        <w:tblLook w:val="06A0" w:firstRow="1" w:lastRow="0" w:firstColumn="1" w:lastColumn="0" w:noHBand="1" w:noVBand="1"/>
      </w:tblPr>
      <w:tblGrid>
        <w:gridCol w:w="1935"/>
        <w:gridCol w:w="4075"/>
        <w:gridCol w:w="3128"/>
      </w:tblGrid>
      <w:tr w:rsidR="40BC8ED5" w:rsidTr="40BC8ED5" w14:paraId="0B33B616">
        <w:trPr>
          <w:trHeight w:val="300"/>
        </w:trPr>
        <w:tc>
          <w:tcPr>
            <w:tcW w:w="1935" w:type="dxa"/>
            <w:tcMar/>
          </w:tcPr>
          <w:p w:rsidR="23D174CD" w:rsidP="40BC8ED5" w:rsidRDefault="23D174CD" w14:paraId="31D7EDAB" w14:textId="408F3611">
            <w:pPr>
              <w:pStyle w:val="Normal"/>
              <w:rPr>
                <w:rFonts w:ascii="Aptos" w:hAnsi="Aptos" w:eastAsia="Aptos" w:cs="Aptos"/>
                <w:noProof w:val="0"/>
                <w:sz w:val="24"/>
                <w:szCs w:val="24"/>
                <w:lang w:val="en-GB"/>
              </w:rPr>
            </w:pPr>
            <w:r w:rsidRPr="40BC8ED5" w:rsidR="23D174CD">
              <w:rPr>
                <w:rFonts w:ascii="Aptos" w:hAnsi="Aptos" w:eastAsia="Aptos" w:cs="Aptos"/>
                <w:noProof w:val="0"/>
                <w:sz w:val="24"/>
                <w:szCs w:val="24"/>
                <w:lang w:val="en-GB"/>
              </w:rPr>
              <w:t>Current Ratio</w:t>
            </w:r>
          </w:p>
        </w:tc>
        <w:tc>
          <w:tcPr>
            <w:tcW w:w="4075" w:type="dxa"/>
            <w:tcMar/>
          </w:tcPr>
          <w:p w:rsidR="23D174CD" w:rsidP="40BC8ED5" w:rsidRDefault="23D174CD" w14:paraId="480AA340" w14:textId="2F6BD154">
            <w:pPr>
              <w:pStyle w:val="Normal"/>
              <w:rPr>
                <w:rFonts w:ascii="Aptos" w:hAnsi="Aptos" w:eastAsia="Aptos" w:cs="Aptos"/>
                <w:noProof w:val="0"/>
                <w:sz w:val="24"/>
                <w:szCs w:val="24"/>
                <w:lang w:val="en-GB"/>
              </w:rPr>
            </w:pPr>
            <w:r w:rsidRPr="40BC8ED5" w:rsidR="23D174CD">
              <w:rPr>
                <w:rFonts w:ascii="Aptos" w:hAnsi="Aptos" w:eastAsia="Aptos" w:cs="Aptos"/>
                <w:noProof w:val="0"/>
                <w:sz w:val="24"/>
                <w:szCs w:val="24"/>
                <w:lang w:val="en-GB"/>
              </w:rPr>
              <w:t xml:space="preserve">1344972÷245009= </w:t>
            </w:r>
            <w:r w:rsidRPr="40BC8ED5" w:rsidR="23D174CD">
              <w:rPr>
                <w:rFonts w:ascii="Aptos" w:hAnsi="Aptos" w:eastAsia="Aptos" w:cs="Aptos"/>
                <w:b w:val="1"/>
                <w:bCs w:val="1"/>
                <w:noProof w:val="0"/>
                <w:sz w:val="24"/>
                <w:szCs w:val="24"/>
                <w:lang w:val="en-GB"/>
              </w:rPr>
              <w:t>5.5:1</w:t>
            </w:r>
          </w:p>
        </w:tc>
        <w:tc>
          <w:tcPr>
            <w:tcW w:w="3128" w:type="dxa"/>
            <w:tcMar/>
          </w:tcPr>
          <w:p w:rsidR="23D174CD" w:rsidP="40BC8ED5" w:rsidRDefault="23D174CD" w14:paraId="5D3F50C4" w14:textId="180D9771">
            <w:pPr>
              <w:pStyle w:val="Normal"/>
              <w:rPr>
                <w:rFonts w:ascii="Aptos" w:hAnsi="Aptos" w:eastAsia="Aptos" w:cs="Aptos"/>
                <w:b w:val="1"/>
                <w:bCs w:val="1"/>
                <w:noProof w:val="0"/>
                <w:sz w:val="24"/>
                <w:szCs w:val="24"/>
                <w:lang w:val="en-GB"/>
              </w:rPr>
            </w:pPr>
            <w:r w:rsidRPr="40BC8ED5" w:rsidR="23D174CD">
              <w:rPr>
                <w:rFonts w:ascii="Aptos" w:hAnsi="Aptos" w:eastAsia="Aptos" w:cs="Aptos"/>
                <w:noProof w:val="0"/>
                <w:sz w:val="24"/>
                <w:szCs w:val="24"/>
                <w:lang w:val="en-GB"/>
              </w:rPr>
              <w:t>1501583 ÷ 355683=</w:t>
            </w:r>
            <w:r w:rsidRPr="40BC8ED5" w:rsidR="23D174CD">
              <w:rPr>
                <w:rFonts w:ascii="Aptos" w:hAnsi="Aptos" w:eastAsia="Aptos" w:cs="Aptos"/>
                <w:b w:val="1"/>
                <w:bCs w:val="1"/>
                <w:noProof w:val="0"/>
                <w:sz w:val="24"/>
                <w:szCs w:val="24"/>
                <w:lang w:val="en-GB"/>
              </w:rPr>
              <w:t>4.2:1</w:t>
            </w:r>
          </w:p>
        </w:tc>
      </w:tr>
      <w:tr w:rsidR="40BC8ED5" w:rsidTr="40BC8ED5" w14:paraId="317E0CAB">
        <w:trPr>
          <w:trHeight w:val="300"/>
        </w:trPr>
        <w:tc>
          <w:tcPr>
            <w:tcW w:w="1935" w:type="dxa"/>
            <w:tcMar/>
          </w:tcPr>
          <w:p w:rsidR="23D174CD" w:rsidP="40BC8ED5" w:rsidRDefault="23D174CD" w14:paraId="3F1CD368" w14:textId="68C77DF1">
            <w:pPr>
              <w:pStyle w:val="Normal"/>
              <w:rPr>
                <w:rFonts w:ascii="Aptos" w:hAnsi="Aptos" w:eastAsia="Aptos" w:cs="Aptos"/>
                <w:noProof w:val="0"/>
                <w:sz w:val="24"/>
                <w:szCs w:val="24"/>
                <w:lang w:val="en-GB"/>
              </w:rPr>
            </w:pPr>
            <w:r w:rsidRPr="40BC8ED5" w:rsidR="23D174CD">
              <w:rPr>
                <w:rFonts w:ascii="Aptos" w:hAnsi="Aptos" w:eastAsia="Aptos" w:cs="Aptos"/>
                <w:noProof w:val="0"/>
                <w:sz w:val="24"/>
                <w:szCs w:val="24"/>
                <w:lang w:val="en-GB"/>
              </w:rPr>
              <w:t>ROCE</w:t>
            </w:r>
          </w:p>
        </w:tc>
        <w:tc>
          <w:tcPr>
            <w:tcW w:w="4075" w:type="dxa"/>
            <w:tcMar/>
          </w:tcPr>
          <w:p w:rsidR="23D174CD" w:rsidP="40BC8ED5" w:rsidRDefault="23D174CD" w14:paraId="3C79C0BD" w14:textId="670BE56B">
            <w:pPr>
              <w:pStyle w:val="Normal"/>
              <w:rPr>
                <w:rFonts w:ascii="Aptos" w:hAnsi="Aptos" w:eastAsia="Aptos" w:cs="Aptos"/>
                <w:b w:val="1"/>
                <w:bCs w:val="1"/>
                <w:noProof w:val="0"/>
                <w:sz w:val="24"/>
                <w:szCs w:val="24"/>
                <w:lang w:val="en-GB"/>
              </w:rPr>
            </w:pPr>
            <w:r w:rsidRPr="40BC8ED5" w:rsidR="23D174CD">
              <w:rPr>
                <w:rFonts w:ascii="Aptos" w:hAnsi="Aptos" w:eastAsia="Aptos" w:cs="Aptos"/>
                <w:noProof w:val="0"/>
                <w:sz w:val="24"/>
                <w:szCs w:val="24"/>
                <w:lang w:val="en-GB"/>
              </w:rPr>
              <w:t xml:space="preserve">249701 ÷ 1445295 x 100= </w:t>
            </w:r>
            <w:r w:rsidRPr="40BC8ED5" w:rsidR="23D174CD">
              <w:rPr>
                <w:rFonts w:ascii="Aptos" w:hAnsi="Aptos" w:eastAsia="Aptos" w:cs="Aptos"/>
                <w:b w:val="1"/>
                <w:bCs w:val="1"/>
                <w:noProof w:val="0"/>
                <w:sz w:val="24"/>
                <w:szCs w:val="24"/>
                <w:lang w:val="en-GB"/>
              </w:rPr>
              <w:t>17.2%</w:t>
            </w:r>
          </w:p>
        </w:tc>
        <w:tc>
          <w:tcPr>
            <w:tcW w:w="3128" w:type="dxa"/>
            <w:tcMar/>
          </w:tcPr>
          <w:p w:rsidR="23D174CD" w:rsidP="40BC8ED5" w:rsidRDefault="23D174CD" w14:paraId="72BC7FE3" w14:textId="3531D455">
            <w:pPr>
              <w:pStyle w:val="Normal"/>
              <w:rPr>
                <w:rFonts w:ascii="Aptos" w:hAnsi="Aptos" w:eastAsia="Aptos" w:cs="Aptos"/>
                <w:b w:val="1"/>
                <w:bCs w:val="1"/>
                <w:noProof w:val="0"/>
                <w:sz w:val="24"/>
                <w:szCs w:val="24"/>
                <w:lang w:val="en-GB"/>
              </w:rPr>
            </w:pPr>
            <w:r w:rsidRPr="40BC8ED5" w:rsidR="23D174CD">
              <w:rPr>
                <w:rFonts w:ascii="Aptos" w:hAnsi="Aptos" w:eastAsia="Aptos" w:cs="Aptos"/>
                <w:noProof w:val="0"/>
                <w:sz w:val="24"/>
                <w:szCs w:val="24"/>
                <w:lang w:val="en-GB"/>
              </w:rPr>
              <w:t xml:space="preserve">352370 ÷ 1639927 x 100 = </w:t>
            </w:r>
            <w:r w:rsidRPr="40BC8ED5" w:rsidR="23D174CD">
              <w:rPr>
                <w:rFonts w:ascii="Aptos" w:hAnsi="Aptos" w:eastAsia="Aptos" w:cs="Aptos"/>
                <w:b w:val="1"/>
                <w:bCs w:val="1"/>
                <w:noProof w:val="0"/>
                <w:sz w:val="24"/>
                <w:szCs w:val="24"/>
                <w:lang w:val="en-GB"/>
              </w:rPr>
              <w:t>21.49%</w:t>
            </w:r>
          </w:p>
        </w:tc>
      </w:tr>
      <w:tr w:rsidR="40BC8ED5" w:rsidTr="40BC8ED5" w14:paraId="3B3C1903">
        <w:trPr>
          <w:trHeight w:val="300"/>
        </w:trPr>
        <w:tc>
          <w:tcPr>
            <w:tcW w:w="1935" w:type="dxa"/>
            <w:tcMar/>
          </w:tcPr>
          <w:p w:rsidR="23D174CD" w:rsidP="40BC8ED5" w:rsidRDefault="23D174CD" w14:paraId="4ECFC000" w14:textId="784B8216">
            <w:pPr>
              <w:pStyle w:val="Normal"/>
              <w:rPr>
                <w:rFonts w:ascii="Aptos" w:hAnsi="Aptos" w:eastAsia="Aptos" w:cs="Aptos"/>
                <w:noProof w:val="0"/>
                <w:sz w:val="24"/>
                <w:szCs w:val="24"/>
                <w:lang w:val="en-GB"/>
              </w:rPr>
            </w:pPr>
            <w:r w:rsidRPr="40BC8ED5" w:rsidR="23D174CD">
              <w:rPr>
                <w:rFonts w:ascii="Aptos" w:hAnsi="Aptos" w:eastAsia="Aptos" w:cs="Aptos"/>
                <w:noProof w:val="0"/>
                <w:sz w:val="24"/>
                <w:szCs w:val="24"/>
                <w:lang w:val="en-GB"/>
              </w:rPr>
              <w:t>Liquid Capital</w:t>
            </w:r>
          </w:p>
        </w:tc>
        <w:tc>
          <w:tcPr>
            <w:tcW w:w="4075" w:type="dxa"/>
            <w:tcMar/>
          </w:tcPr>
          <w:p w:rsidR="23D174CD" w:rsidP="40BC8ED5" w:rsidRDefault="23D174CD" w14:paraId="35F3BE13" w14:textId="4689DAFC">
            <w:pPr>
              <w:pStyle w:val="Normal"/>
              <w:rPr>
                <w:rFonts w:ascii="Aptos" w:hAnsi="Aptos" w:eastAsia="Aptos" w:cs="Aptos"/>
                <w:b w:val="1"/>
                <w:bCs w:val="1"/>
                <w:noProof w:val="0"/>
                <w:sz w:val="24"/>
                <w:szCs w:val="24"/>
                <w:lang w:val="en-GB"/>
              </w:rPr>
            </w:pPr>
            <w:r w:rsidRPr="40BC8ED5" w:rsidR="23D174CD">
              <w:rPr>
                <w:rFonts w:ascii="Aptos" w:hAnsi="Aptos" w:eastAsia="Aptos" w:cs="Aptos"/>
                <w:noProof w:val="0"/>
                <w:sz w:val="24"/>
                <w:szCs w:val="24"/>
                <w:lang w:val="en-GB"/>
              </w:rPr>
              <w:t xml:space="preserve">1344972 –135470 ÷ 245009= </w:t>
            </w:r>
            <w:r w:rsidRPr="40BC8ED5" w:rsidR="23D174CD">
              <w:rPr>
                <w:rFonts w:ascii="Aptos" w:hAnsi="Aptos" w:eastAsia="Aptos" w:cs="Aptos"/>
                <w:b w:val="1"/>
                <w:bCs w:val="1"/>
                <w:noProof w:val="0"/>
                <w:sz w:val="24"/>
                <w:szCs w:val="24"/>
                <w:lang w:val="en-GB"/>
              </w:rPr>
              <w:t>4.9:1</w:t>
            </w:r>
          </w:p>
        </w:tc>
        <w:tc>
          <w:tcPr>
            <w:tcW w:w="3128" w:type="dxa"/>
            <w:tcMar/>
          </w:tcPr>
          <w:p w:rsidR="23D174CD" w:rsidP="40BC8ED5" w:rsidRDefault="23D174CD" w14:paraId="2EC6F3AC" w14:textId="0911E848">
            <w:pPr>
              <w:pStyle w:val="Normal"/>
              <w:rPr>
                <w:rFonts w:ascii="Aptos" w:hAnsi="Aptos" w:eastAsia="Aptos" w:cs="Aptos"/>
                <w:b w:val="1"/>
                <w:bCs w:val="1"/>
                <w:noProof w:val="0"/>
                <w:sz w:val="24"/>
                <w:szCs w:val="24"/>
                <w:lang w:val="en-GB"/>
              </w:rPr>
            </w:pPr>
            <w:r w:rsidRPr="40BC8ED5" w:rsidR="23D174CD">
              <w:rPr>
                <w:rFonts w:ascii="Aptos" w:hAnsi="Aptos" w:eastAsia="Aptos" w:cs="Aptos"/>
                <w:noProof w:val="0"/>
                <w:sz w:val="24"/>
                <w:szCs w:val="24"/>
                <w:lang w:val="en-GB"/>
              </w:rPr>
              <w:t>1501583- 88</w:t>
            </w:r>
            <w:r w:rsidRPr="40BC8ED5" w:rsidR="6DDA337E">
              <w:rPr>
                <w:rFonts w:ascii="Aptos" w:hAnsi="Aptos" w:eastAsia="Aptos" w:cs="Aptos"/>
                <w:noProof w:val="0"/>
                <w:sz w:val="24"/>
                <w:szCs w:val="24"/>
                <w:lang w:val="en-GB"/>
              </w:rPr>
              <w:t xml:space="preserve">994 ÷355683 </w:t>
            </w:r>
            <w:r w:rsidRPr="40BC8ED5" w:rsidR="6DDA337E">
              <w:rPr>
                <w:rFonts w:ascii="Aptos" w:hAnsi="Aptos" w:eastAsia="Aptos" w:cs="Aptos"/>
                <w:b w:val="1"/>
                <w:bCs w:val="1"/>
                <w:noProof w:val="0"/>
                <w:sz w:val="24"/>
                <w:szCs w:val="24"/>
                <w:lang w:val="en-GB"/>
              </w:rPr>
              <w:t>4:1</w:t>
            </w:r>
          </w:p>
        </w:tc>
      </w:tr>
      <w:tr w:rsidR="40BC8ED5" w:rsidTr="40BC8ED5" w14:paraId="3CFE496D">
        <w:trPr>
          <w:trHeight w:val="300"/>
        </w:trPr>
        <w:tc>
          <w:tcPr>
            <w:tcW w:w="1935" w:type="dxa"/>
            <w:tcMar/>
          </w:tcPr>
          <w:p w:rsidR="6DDA337E" w:rsidP="40BC8ED5" w:rsidRDefault="6DDA337E" w14:paraId="715A5BD4" w14:textId="5BBA199F">
            <w:pPr>
              <w:pStyle w:val="Normal"/>
              <w:rPr>
                <w:rFonts w:ascii="Aptos" w:hAnsi="Aptos" w:eastAsia="Aptos" w:cs="Aptos"/>
                <w:noProof w:val="0"/>
                <w:sz w:val="24"/>
                <w:szCs w:val="24"/>
                <w:lang w:val="en-GB"/>
              </w:rPr>
            </w:pPr>
            <w:r w:rsidRPr="40BC8ED5" w:rsidR="6DDA337E">
              <w:rPr>
                <w:rFonts w:ascii="Aptos" w:hAnsi="Aptos" w:eastAsia="Aptos" w:cs="Aptos"/>
                <w:noProof w:val="0"/>
                <w:sz w:val="24"/>
                <w:szCs w:val="24"/>
                <w:lang w:val="en-GB"/>
              </w:rPr>
              <w:t>Efficiency Ratio</w:t>
            </w:r>
          </w:p>
        </w:tc>
        <w:tc>
          <w:tcPr>
            <w:tcW w:w="4075" w:type="dxa"/>
            <w:tcMar/>
          </w:tcPr>
          <w:p w:rsidR="6DDA337E" w:rsidP="40BC8ED5" w:rsidRDefault="6DDA337E" w14:paraId="78CF8C4E" w14:textId="4DB9F85D">
            <w:pPr>
              <w:pStyle w:val="Normal"/>
              <w:rPr>
                <w:rFonts w:ascii="Aptos" w:hAnsi="Aptos" w:eastAsia="Aptos" w:cs="Aptos"/>
                <w:noProof w:val="0"/>
                <w:sz w:val="24"/>
                <w:szCs w:val="24"/>
                <w:lang w:val="en-GB"/>
              </w:rPr>
            </w:pPr>
            <w:r w:rsidRPr="40BC8ED5" w:rsidR="6DDA337E">
              <w:rPr>
                <w:rFonts w:ascii="Aptos" w:hAnsi="Aptos" w:eastAsia="Aptos" w:cs="Aptos"/>
                <w:noProof w:val="0"/>
                <w:sz w:val="24"/>
                <w:szCs w:val="24"/>
                <w:lang w:val="en-GB"/>
              </w:rPr>
              <w:t>78169 ÷12005</w:t>
            </w:r>
            <w:r w:rsidRPr="40BC8ED5" w:rsidR="7BB98E4A">
              <w:rPr>
                <w:rFonts w:ascii="Aptos" w:hAnsi="Aptos" w:eastAsia="Aptos" w:cs="Aptos"/>
                <w:noProof w:val="0"/>
                <w:sz w:val="24"/>
                <w:szCs w:val="24"/>
                <w:lang w:val="en-GB"/>
              </w:rPr>
              <w:t xml:space="preserve">60 x 365 = </w:t>
            </w:r>
            <w:r w:rsidRPr="40BC8ED5" w:rsidR="7BB98E4A">
              <w:rPr>
                <w:rFonts w:ascii="Aptos" w:hAnsi="Aptos" w:eastAsia="Aptos" w:cs="Aptos"/>
                <w:b w:val="1"/>
                <w:bCs w:val="1"/>
                <w:noProof w:val="0"/>
                <w:sz w:val="24"/>
                <w:szCs w:val="24"/>
                <w:lang w:val="en-GB"/>
              </w:rPr>
              <w:t>2.4:1</w:t>
            </w:r>
          </w:p>
        </w:tc>
        <w:tc>
          <w:tcPr>
            <w:tcW w:w="3128" w:type="dxa"/>
            <w:tcMar/>
          </w:tcPr>
          <w:p w:rsidR="7BB98E4A" w:rsidP="40BC8ED5" w:rsidRDefault="7BB98E4A" w14:paraId="31336171" w14:textId="6E127851">
            <w:pPr>
              <w:pStyle w:val="Normal"/>
              <w:rPr>
                <w:rFonts w:ascii="Aptos" w:hAnsi="Aptos" w:eastAsia="Aptos" w:cs="Aptos"/>
                <w:b w:val="1"/>
                <w:bCs w:val="1"/>
                <w:noProof w:val="0"/>
                <w:sz w:val="24"/>
                <w:szCs w:val="24"/>
                <w:lang w:val="en-GB"/>
              </w:rPr>
            </w:pPr>
            <w:r w:rsidRPr="40BC8ED5" w:rsidR="7BB98E4A">
              <w:rPr>
                <w:rFonts w:ascii="Aptos" w:hAnsi="Aptos" w:eastAsia="Aptos" w:cs="Aptos"/>
                <w:noProof w:val="0"/>
                <w:sz w:val="24"/>
                <w:szCs w:val="24"/>
                <w:lang w:val="en-GB"/>
              </w:rPr>
              <w:t xml:space="preserve">133051 ÷ 1308519 x 365 = </w:t>
            </w:r>
            <w:r w:rsidRPr="40BC8ED5" w:rsidR="7BB98E4A">
              <w:rPr>
                <w:rFonts w:ascii="Aptos" w:hAnsi="Aptos" w:eastAsia="Aptos" w:cs="Aptos"/>
                <w:b w:val="1"/>
                <w:bCs w:val="1"/>
                <w:noProof w:val="0"/>
                <w:sz w:val="24"/>
                <w:szCs w:val="24"/>
                <w:lang w:val="en-GB"/>
              </w:rPr>
              <w:t>307:1</w:t>
            </w:r>
          </w:p>
        </w:tc>
      </w:tr>
      <w:tr w:rsidR="40BC8ED5" w:rsidTr="40BC8ED5" w14:paraId="5EE4FDB2">
        <w:trPr>
          <w:trHeight w:val="300"/>
        </w:trPr>
        <w:tc>
          <w:tcPr>
            <w:tcW w:w="1935" w:type="dxa"/>
            <w:tcMar/>
          </w:tcPr>
          <w:p w:rsidR="7BB98E4A" w:rsidP="40BC8ED5" w:rsidRDefault="7BB98E4A" w14:paraId="6E5B8F4F" w14:textId="61FAC583">
            <w:pPr>
              <w:pStyle w:val="Normal"/>
              <w:rPr>
                <w:rFonts w:ascii="Aptos" w:hAnsi="Aptos" w:eastAsia="Aptos" w:cs="Aptos"/>
                <w:noProof w:val="0"/>
                <w:sz w:val="24"/>
                <w:szCs w:val="24"/>
                <w:lang w:val="en-GB"/>
              </w:rPr>
            </w:pPr>
            <w:r w:rsidRPr="40BC8ED5" w:rsidR="7BB98E4A">
              <w:rPr>
                <w:rFonts w:ascii="Aptos" w:hAnsi="Aptos" w:eastAsia="Aptos" w:cs="Aptos"/>
                <w:noProof w:val="0"/>
                <w:sz w:val="24"/>
                <w:szCs w:val="24"/>
                <w:lang w:val="en-GB"/>
              </w:rPr>
              <w:t>Trade payable days</w:t>
            </w:r>
          </w:p>
        </w:tc>
        <w:tc>
          <w:tcPr>
            <w:tcW w:w="4075" w:type="dxa"/>
            <w:tcMar/>
          </w:tcPr>
          <w:p w:rsidR="548B6225" w:rsidP="40BC8ED5" w:rsidRDefault="548B6225" w14:paraId="036FE0B9" w14:textId="02827019">
            <w:pPr>
              <w:pStyle w:val="Normal"/>
              <w:rPr>
                <w:rFonts w:ascii="Aptos" w:hAnsi="Aptos" w:eastAsia="Aptos" w:cs="Aptos"/>
                <w:b w:val="1"/>
                <w:bCs w:val="1"/>
                <w:noProof w:val="0"/>
                <w:sz w:val="24"/>
                <w:szCs w:val="24"/>
                <w:lang w:val="en-GB"/>
              </w:rPr>
            </w:pPr>
            <w:r w:rsidRPr="40BC8ED5" w:rsidR="548B6225">
              <w:rPr>
                <w:rFonts w:ascii="Aptos" w:hAnsi="Aptos" w:eastAsia="Aptos" w:cs="Aptos"/>
                <w:noProof w:val="0"/>
                <w:sz w:val="24"/>
                <w:szCs w:val="24"/>
                <w:lang w:val="en-GB"/>
              </w:rPr>
              <w:t>59689 ÷1200560 x 365 =</w:t>
            </w:r>
            <w:r w:rsidRPr="40BC8ED5" w:rsidR="548B6225">
              <w:rPr>
                <w:rFonts w:ascii="Aptos" w:hAnsi="Aptos" w:eastAsia="Aptos" w:cs="Aptos"/>
                <w:b w:val="1"/>
                <w:bCs w:val="1"/>
                <w:noProof w:val="0"/>
                <w:sz w:val="24"/>
                <w:szCs w:val="24"/>
                <w:lang w:val="en-GB"/>
              </w:rPr>
              <w:t xml:space="preserve"> 18 days</w:t>
            </w:r>
          </w:p>
        </w:tc>
        <w:tc>
          <w:tcPr>
            <w:tcW w:w="3128" w:type="dxa"/>
            <w:tcMar/>
          </w:tcPr>
          <w:p w:rsidR="548B6225" w:rsidP="40BC8ED5" w:rsidRDefault="548B6225" w14:paraId="332479BC" w14:textId="21A827C6">
            <w:pPr>
              <w:pStyle w:val="Normal"/>
              <w:rPr>
                <w:rFonts w:ascii="Aptos" w:hAnsi="Aptos" w:eastAsia="Aptos" w:cs="Aptos"/>
                <w:b w:val="1"/>
                <w:bCs w:val="1"/>
                <w:noProof w:val="0"/>
                <w:sz w:val="24"/>
                <w:szCs w:val="24"/>
                <w:lang w:val="en-GB"/>
              </w:rPr>
            </w:pPr>
            <w:r w:rsidRPr="40BC8ED5" w:rsidR="548B6225">
              <w:rPr>
                <w:rFonts w:ascii="Aptos" w:hAnsi="Aptos" w:eastAsia="Aptos" w:cs="Aptos"/>
                <w:noProof w:val="0"/>
                <w:sz w:val="24"/>
                <w:szCs w:val="24"/>
                <w:lang w:val="en-GB"/>
              </w:rPr>
              <w:t xml:space="preserve">98074 ÷1758910 x 365 = </w:t>
            </w:r>
            <w:r w:rsidRPr="40BC8ED5" w:rsidR="548B6225">
              <w:rPr>
                <w:rFonts w:ascii="Aptos" w:hAnsi="Aptos" w:eastAsia="Aptos" w:cs="Aptos"/>
                <w:b w:val="1"/>
                <w:bCs w:val="1"/>
                <w:noProof w:val="0"/>
                <w:sz w:val="24"/>
                <w:szCs w:val="24"/>
                <w:lang w:val="en-GB"/>
              </w:rPr>
              <w:t>20 days</w:t>
            </w:r>
          </w:p>
        </w:tc>
      </w:tr>
      <w:tr w:rsidR="40BC8ED5" w:rsidTr="40BC8ED5" w14:paraId="0EACDCDA">
        <w:trPr>
          <w:trHeight w:val="300"/>
        </w:trPr>
        <w:tc>
          <w:tcPr>
            <w:tcW w:w="1935" w:type="dxa"/>
            <w:tcMar/>
          </w:tcPr>
          <w:p w:rsidR="548B6225" w:rsidP="40BC8ED5" w:rsidRDefault="548B6225" w14:paraId="65DD04AB" w14:textId="68DBCF61">
            <w:pPr>
              <w:pStyle w:val="Normal"/>
              <w:rPr>
                <w:rFonts w:ascii="Aptos" w:hAnsi="Aptos" w:eastAsia="Aptos" w:cs="Aptos"/>
                <w:noProof w:val="0"/>
                <w:sz w:val="24"/>
                <w:szCs w:val="24"/>
                <w:lang w:val="en-GB"/>
              </w:rPr>
            </w:pPr>
            <w:r w:rsidRPr="40BC8ED5" w:rsidR="548B6225">
              <w:rPr>
                <w:rFonts w:ascii="Aptos" w:hAnsi="Aptos" w:eastAsia="Aptos" w:cs="Aptos"/>
                <w:noProof w:val="0"/>
                <w:sz w:val="24"/>
                <w:szCs w:val="24"/>
                <w:lang w:val="en-GB"/>
              </w:rPr>
              <w:t>Profitability</w:t>
            </w:r>
          </w:p>
        </w:tc>
        <w:tc>
          <w:tcPr>
            <w:tcW w:w="4075" w:type="dxa"/>
            <w:tcMar/>
          </w:tcPr>
          <w:p w:rsidR="548B6225" w:rsidP="40BC8ED5" w:rsidRDefault="548B6225" w14:paraId="54CBEF04" w14:textId="05B4B154">
            <w:pPr>
              <w:pStyle w:val="Normal"/>
              <w:rPr>
                <w:rFonts w:ascii="Aptos" w:hAnsi="Aptos" w:eastAsia="Aptos" w:cs="Aptos"/>
                <w:b w:val="1"/>
                <w:bCs w:val="1"/>
                <w:noProof w:val="0"/>
                <w:sz w:val="24"/>
                <w:szCs w:val="24"/>
                <w:lang w:val="en-GB"/>
              </w:rPr>
            </w:pPr>
            <w:r w:rsidRPr="40BC8ED5" w:rsidR="548B6225">
              <w:rPr>
                <w:rFonts w:ascii="Aptos" w:hAnsi="Aptos" w:eastAsia="Aptos" w:cs="Aptos"/>
                <w:noProof w:val="0"/>
                <w:sz w:val="24"/>
                <w:szCs w:val="24"/>
                <w:lang w:val="en-GB"/>
              </w:rPr>
              <w:t xml:space="preserve">501189 ÷1200560x100= </w:t>
            </w:r>
            <w:r w:rsidRPr="40BC8ED5" w:rsidR="548B6225">
              <w:rPr>
                <w:rFonts w:ascii="Aptos" w:hAnsi="Aptos" w:eastAsia="Aptos" w:cs="Aptos"/>
                <w:b w:val="1"/>
                <w:bCs w:val="1"/>
                <w:noProof w:val="0"/>
                <w:sz w:val="24"/>
                <w:szCs w:val="24"/>
                <w:lang w:val="en-GB"/>
              </w:rPr>
              <w:t>42%</w:t>
            </w:r>
          </w:p>
        </w:tc>
        <w:tc>
          <w:tcPr>
            <w:tcW w:w="3128" w:type="dxa"/>
            <w:tcMar/>
          </w:tcPr>
          <w:p w:rsidR="548B6225" w:rsidP="40BC8ED5" w:rsidRDefault="548B6225" w14:paraId="01ED1E62" w14:textId="1899AB31">
            <w:pPr>
              <w:pStyle w:val="Normal"/>
              <w:rPr>
                <w:rFonts w:ascii="Aptos" w:hAnsi="Aptos" w:eastAsia="Aptos" w:cs="Aptos"/>
                <w:b w:val="1"/>
                <w:bCs w:val="1"/>
                <w:noProof w:val="0"/>
                <w:sz w:val="24"/>
                <w:szCs w:val="24"/>
                <w:lang w:val="en-GB"/>
              </w:rPr>
            </w:pPr>
            <w:r w:rsidRPr="40BC8ED5" w:rsidR="548B6225">
              <w:rPr>
                <w:rFonts w:ascii="Aptos" w:hAnsi="Aptos" w:eastAsia="Aptos" w:cs="Aptos"/>
                <w:noProof w:val="0"/>
                <w:sz w:val="24"/>
                <w:szCs w:val="24"/>
                <w:lang w:val="en-GB"/>
              </w:rPr>
              <w:t xml:space="preserve">970472 ÷ 1758910 x100 = </w:t>
            </w:r>
            <w:r w:rsidRPr="40BC8ED5" w:rsidR="548B6225">
              <w:rPr>
                <w:rFonts w:ascii="Aptos" w:hAnsi="Aptos" w:eastAsia="Aptos" w:cs="Aptos"/>
                <w:b w:val="1"/>
                <w:bCs w:val="1"/>
                <w:noProof w:val="0"/>
                <w:sz w:val="24"/>
                <w:szCs w:val="24"/>
                <w:lang w:val="en-GB"/>
              </w:rPr>
              <w:t>55%</w:t>
            </w:r>
          </w:p>
        </w:tc>
      </w:tr>
      <w:tr w:rsidR="40BC8ED5" w:rsidTr="40BC8ED5" w14:paraId="3DE736DB">
        <w:trPr>
          <w:trHeight w:val="300"/>
        </w:trPr>
        <w:tc>
          <w:tcPr>
            <w:tcW w:w="1935" w:type="dxa"/>
            <w:tcMar/>
          </w:tcPr>
          <w:p w:rsidR="548B6225" w:rsidP="40BC8ED5" w:rsidRDefault="548B6225" w14:paraId="0BD971BE" w14:textId="3E149A2B">
            <w:pPr>
              <w:pStyle w:val="Normal"/>
              <w:rPr>
                <w:rFonts w:ascii="Aptos" w:hAnsi="Aptos" w:eastAsia="Aptos" w:cs="Aptos"/>
                <w:noProof w:val="0"/>
                <w:sz w:val="24"/>
                <w:szCs w:val="24"/>
                <w:lang w:val="en-GB"/>
              </w:rPr>
            </w:pPr>
            <w:r w:rsidRPr="40BC8ED5" w:rsidR="548B6225">
              <w:rPr>
                <w:rFonts w:ascii="Aptos" w:hAnsi="Aptos" w:eastAsia="Aptos" w:cs="Aptos"/>
                <w:noProof w:val="0"/>
                <w:sz w:val="24"/>
                <w:szCs w:val="24"/>
                <w:lang w:val="en-GB"/>
              </w:rPr>
              <w:t>Net Profit Margins</w:t>
            </w:r>
          </w:p>
        </w:tc>
        <w:tc>
          <w:tcPr>
            <w:tcW w:w="4075" w:type="dxa"/>
            <w:tcMar/>
          </w:tcPr>
          <w:p w:rsidR="175BA27A" w:rsidP="40BC8ED5" w:rsidRDefault="175BA27A" w14:paraId="673F92DA" w14:textId="6A79DE32">
            <w:pPr>
              <w:pStyle w:val="Normal"/>
              <w:rPr>
                <w:rFonts w:ascii="Aptos" w:hAnsi="Aptos" w:eastAsia="Aptos" w:cs="Aptos"/>
                <w:b w:val="1"/>
                <w:bCs w:val="1"/>
                <w:noProof w:val="0"/>
                <w:sz w:val="24"/>
                <w:szCs w:val="24"/>
                <w:lang w:val="en-GB"/>
              </w:rPr>
            </w:pPr>
            <w:r w:rsidRPr="40BC8ED5" w:rsidR="175BA27A">
              <w:rPr>
                <w:rFonts w:ascii="Aptos" w:hAnsi="Aptos" w:eastAsia="Aptos" w:cs="Aptos"/>
                <w:noProof w:val="0"/>
                <w:sz w:val="24"/>
                <w:szCs w:val="24"/>
                <w:lang w:val="en-GB"/>
              </w:rPr>
              <w:t xml:space="preserve">194009 ÷ 1200560 x 100 = </w:t>
            </w:r>
            <w:r w:rsidRPr="40BC8ED5" w:rsidR="175BA27A">
              <w:rPr>
                <w:rFonts w:ascii="Aptos" w:hAnsi="Aptos" w:eastAsia="Aptos" w:cs="Aptos"/>
                <w:b w:val="1"/>
                <w:bCs w:val="1"/>
                <w:noProof w:val="0"/>
                <w:sz w:val="24"/>
                <w:szCs w:val="24"/>
                <w:lang w:val="en-GB"/>
              </w:rPr>
              <w:t>16.6%</w:t>
            </w:r>
          </w:p>
        </w:tc>
        <w:tc>
          <w:tcPr>
            <w:tcW w:w="3128" w:type="dxa"/>
            <w:tcMar/>
          </w:tcPr>
          <w:p w:rsidR="175BA27A" w:rsidP="40BC8ED5" w:rsidRDefault="175BA27A" w14:paraId="448A1651" w14:textId="79E6A463">
            <w:pPr>
              <w:pStyle w:val="Normal"/>
              <w:rPr>
                <w:rFonts w:ascii="Aptos" w:hAnsi="Aptos" w:eastAsia="Aptos" w:cs="Aptos"/>
                <w:b w:val="1"/>
                <w:bCs w:val="1"/>
                <w:noProof w:val="0"/>
                <w:sz w:val="24"/>
                <w:szCs w:val="24"/>
                <w:lang w:val="en-GB"/>
              </w:rPr>
            </w:pPr>
            <w:r w:rsidRPr="40BC8ED5" w:rsidR="175BA27A">
              <w:rPr>
                <w:rFonts w:ascii="Aptos" w:hAnsi="Aptos" w:eastAsia="Aptos" w:cs="Aptos"/>
                <w:noProof w:val="0"/>
                <w:sz w:val="24"/>
                <w:szCs w:val="24"/>
                <w:lang w:val="en-GB"/>
              </w:rPr>
              <w:t xml:space="preserve">258641 ÷ 1308519 x 100 = </w:t>
            </w:r>
            <w:r w:rsidRPr="40BC8ED5" w:rsidR="175BA27A">
              <w:rPr>
                <w:rFonts w:ascii="Aptos" w:hAnsi="Aptos" w:eastAsia="Aptos" w:cs="Aptos"/>
                <w:b w:val="1"/>
                <w:bCs w:val="1"/>
                <w:noProof w:val="0"/>
                <w:sz w:val="24"/>
                <w:szCs w:val="24"/>
                <w:lang w:val="en-GB"/>
              </w:rPr>
              <w:t>19.77%</w:t>
            </w:r>
          </w:p>
        </w:tc>
      </w:tr>
      <w:tr w:rsidR="40BC8ED5" w:rsidTr="40BC8ED5" w14:paraId="5944B9D4">
        <w:trPr>
          <w:trHeight w:val="300"/>
        </w:trPr>
        <w:tc>
          <w:tcPr>
            <w:tcW w:w="1935" w:type="dxa"/>
            <w:tcMar/>
          </w:tcPr>
          <w:p w:rsidR="175BA27A" w:rsidP="40BC8ED5" w:rsidRDefault="175BA27A" w14:paraId="63455C82" w14:textId="1F2644B7">
            <w:pPr>
              <w:pStyle w:val="Normal"/>
              <w:rPr>
                <w:rFonts w:ascii="Aptos" w:hAnsi="Aptos" w:eastAsia="Aptos" w:cs="Aptos"/>
                <w:noProof w:val="0"/>
                <w:sz w:val="24"/>
                <w:szCs w:val="24"/>
                <w:lang w:val="en-GB"/>
              </w:rPr>
            </w:pPr>
            <w:r w:rsidRPr="40BC8ED5" w:rsidR="175BA27A">
              <w:rPr>
                <w:rFonts w:ascii="Aptos" w:hAnsi="Aptos" w:eastAsia="Aptos" w:cs="Aptos"/>
                <w:noProof w:val="0"/>
                <w:sz w:val="24"/>
                <w:szCs w:val="24"/>
                <w:lang w:val="en-GB"/>
              </w:rPr>
              <w:t xml:space="preserve">Inventory turnover </w:t>
            </w:r>
          </w:p>
        </w:tc>
        <w:tc>
          <w:tcPr>
            <w:tcW w:w="4075" w:type="dxa"/>
            <w:tcMar/>
          </w:tcPr>
          <w:p w:rsidR="175BA27A" w:rsidP="40BC8ED5" w:rsidRDefault="175BA27A" w14:paraId="7EE0D3B2" w14:textId="47978FA9">
            <w:pPr>
              <w:pStyle w:val="Normal"/>
              <w:rPr>
                <w:rFonts w:ascii="Aptos" w:hAnsi="Aptos" w:eastAsia="Aptos" w:cs="Aptos"/>
                <w:b w:val="1"/>
                <w:bCs w:val="1"/>
                <w:noProof w:val="0"/>
                <w:sz w:val="24"/>
                <w:szCs w:val="24"/>
                <w:lang w:val="en-GB"/>
              </w:rPr>
            </w:pPr>
            <w:r w:rsidRPr="40BC8ED5" w:rsidR="175BA27A">
              <w:rPr>
                <w:rFonts w:ascii="Aptos" w:hAnsi="Aptos" w:eastAsia="Aptos" w:cs="Aptos"/>
                <w:noProof w:val="0"/>
                <w:sz w:val="24"/>
                <w:szCs w:val="24"/>
                <w:lang w:val="en-GB"/>
              </w:rPr>
              <w:t xml:space="preserve">135470 ÷ 666870 x 365 = </w:t>
            </w:r>
            <w:r w:rsidRPr="40BC8ED5" w:rsidR="175BA27A">
              <w:rPr>
                <w:rFonts w:ascii="Aptos" w:hAnsi="Aptos" w:eastAsia="Aptos" w:cs="Aptos"/>
                <w:b w:val="1"/>
                <w:bCs w:val="1"/>
                <w:noProof w:val="0"/>
                <w:sz w:val="24"/>
                <w:szCs w:val="24"/>
                <w:lang w:val="en-GB"/>
              </w:rPr>
              <w:t>74 days</w:t>
            </w:r>
          </w:p>
        </w:tc>
        <w:tc>
          <w:tcPr>
            <w:tcW w:w="3128" w:type="dxa"/>
            <w:tcMar/>
          </w:tcPr>
          <w:p w:rsidR="175BA27A" w:rsidP="40BC8ED5" w:rsidRDefault="175BA27A" w14:paraId="2F446766" w14:textId="44F533DD">
            <w:pPr>
              <w:pStyle w:val="Normal"/>
              <w:rPr>
                <w:rFonts w:ascii="Aptos" w:hAnsi="Aptos" w:eastAsia="Aptos" w:cs="Aptos"/>
                <w:b w:val="1"/>
                <w:bCs w:val="1"/>
                <w:noProof w:val="0"/>
                <w:sz w:val="24"/>
                <w:szCs w:val="24"/>
                <w:lang w:val="en-GB"/>
              </w:rPr>
            </w:pPr>
            <w:r w:rsidRPr="40BC8ED5" w:rsidR="175BA27A">
              <w:rPr>
                <w:rFonts w:ascii="Aptos" w:hAnsi="Aptos" w:eastAsia="Aptos" w:cs="Aptos"/>
                <w:noProof w:val="0"/>
                <w:sz w:val="24"/>
                <w:szCs w:val="24"/>
                <w:lang w:val="en-GB"/>
              </w:rPr>
              <w:t xml:space="preserve">88994 ÷ 788437 x 365 = </w:t>
            </w:r>
            <w:r w:rsidRPr="40BC8ED5" w:rsidR="175BA27A">
              <w:rPr>
                <w:rFonts w:ascii="Aptos" w:hAnsi="Aptos" w:eastAsia="Aptos" w:cs="Aptos"/>
                <w:b w:val="1"/>
                <w:bCs w:val="1"/>
                <w:noProof w:val="0"/>
                <w:sz w:val="24"/>
                <w:szCs w:val="24"/>
                <w:lang w:val="en-GB"/>
              </w:rPr>
              <w:t>41 days</w:t>
            </w:r>
          </w:p>
        </w:tc>
      </w:tr>
    </w:tbl>
    <w:p w:rsidR="40BC8ED5" w:rsidP="40BC8ED5" w:rsidRDefault="40BC8ED5" w14:paraId="630E3F65" w14:textId="71C0F37B">
      <w:pPr>
        <w:pStyle w:val="Normal"/>
        <w:suppressLineNumbers w:val="0"/>
        <w:bidi w:val="0"/>
        <w:spacing w:before="120" w:beforeAutospacing="off" w:after="120" w:afterAutospacing="off" w:line="279" w:lineRule="auto"/>
        <w:ind w:left="0" w:right="0"/>
        <w:jc w:val="left"/>
        <w:rPr>
          <w:rFonts w:ascii="Aptos" w:hAnsi="Aptos" w:eastAsia="Aptos" w:cs="Aptos"/>
          <w:noProof w:val="0"/>
          <w:sz w:val="24"/>
          <w:szCs w:val="24"/>
          <w:lang w:val="en-GB"/>
        </w:rPr>
      </w:pPr>
    </w:p>
    <w:p w:rsidR="40BC8ED5" w:rsidP="40BC8ED5" w:rsidRDefault="40BC8ED5" w14:paraId="5B8D01AC" w14:textId="63FA0546">
      <w:pPr>
        <w:pStyle w:val="Normal"/>
        <w:spacing w:before="120" w:beforeAutospacing="off" w:after="120" w:afterAutospacing="off"/>
        <w:ind w:left="0"/>
        <w:jc w:val="left"/>
        <w:rPr>
          <w:rFonts w:ascii="Aptos" w:hAnsi="Aptos" w:eastAsia="Aptos" w:cs="Aptos"/>
          <w:b w:val="1"/>
          <w:bCs w:val="1"/>
          <w:noProof w:val="0"/>
          <w:sz w:val="24"/>
          <w:szCs w:val="24"/>
          <w:lang w:val="en-GB"/>
        </w:rPr>
      </w:pPr>
    </w:p>
    <w:p w:rsidR="7684ECFF" w:rsidP="7B919D8B" w:rsidRDefault="7684ECFF" w14:paraId="4D1C8A9D" w14:textId="1A10A9EE">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 xml:space="preserve">Profitability analysis </w:t>
      </w:r>
    </w:p>
    <w:p w:rsidR="7684ECFF" w:rsidP="7B919D8B" w:rsidRDefault="7684ECFF" w14:paraId="50F49C9B" w14:textId="35EBA067">
      <w:pPr>
        <w:spacing w:before="120" w:beforeAutospacing="off" w:after="120" w:afterAutospacing="off"/>
        <w:jc w:val="left"/>
      </w:pPr>
      <w:r w:rsidRPr="7B919D8B" w:rsidR="7684ECFF">
        <w:rPr>
          <w:rFonts w:ascii="Aptos" w:hAnsi="Aptos" w:eastAsia="Aptos" w:cs="Aptos"/>
          <w:noProof w:val="0"/>
          <w:sz w:val="24"/>
          <w:szCs w:val="24"/>
          <w:lang w:val="en-GB"/>
        </w:rPr>
        <w:t>Profitability ratios measure a company's ability to generate profit relative to its revenue, costs and invested capital (</w:t>
      </w:r>
      <w:r w:rsidRPr="7B919D8B" w:rsidR="7684ECFF">
        <w:rPr>
          <w:rFonts w:ascii="Aptos" w:hAnsi="Aptos" w:eastAsia="Aptos" w:cs="Aptos"/>
          <w:noProof w:val="0"/>
          <w:sz w:val="24"/>
          <w:szCs w:val="24"/>
          <w:lang w:val="en-GB"/>
        </w:rPr>
        <w:t>Atrill</w:t>
      </w:r>
      <w:r w:rsidRPr="7B919D8B" w:rsidR="7684ECFF">
        <w:rPr>
          <w:rFonts w:ascii="Aptos" w:hAnsi="Aptos" w:eastAsia="Aptos" w:cs="Aptos"/>
          <w:noProof w:val="0"/>
          <w:sz w:val="24"/>
          <w:szCs w:val="24"/>
          <w:lang w:val="en-GB"/>
        </w:rPr>
        <w:t xml:space="preserve"> &amp; Mclaney,2019). These ratios are also important indicators of financial performance and shareholder value creation (Penman, 2013).</w:t>
      </w:r>
    </w:p>
    <w:p w:rsidR="7B919D8B" w:rsidP="7B919D8B" w:rsidRDefault="7B919D8B" w14:paraId="597E2A1C" w14:textId="65914268">
      <w:pPr>
        <w:spacing w:before="120" w:beforeAutospacing="off" w:after="120" w:afterAutospacing="off"/>
        <w:jc w:val="left"/>
      </w:pPr>
    </w:p>
    <w:p w:rsidR="7684ECFF" w:rsidP="7B919D8B" w:rsidRDefault="7684ECFF" w14:paraId="63067232" w14:textId="0085E0E1">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Net Profit Margin</w:t>
      </w:r>
    </w:p>
    <w:p w:rsidR="7684ECFF" w:rsidP="7B919D8B" w:rsidRDefault="7684ECFF" w14:paraId="460D2C7E" w14:textId="2F047B0F">
      <w:pPr>
        <w:spacing w:before="120" w:beforeAutospacing="off" w:after="120" w:afterAutospacing="off"/>
        <w:jc w:val="left"/>
      </w:pPr>
      <w:r w:rsidRPr="7B919D8B" w:rsidR="7684ECFF">
        <w:rPr>
          <w:rFonts w:ascii="Aptos" w:hAnsi="Aptos" w:eastAsia="Aptos" w:cs="Aptos"/>
          <w:noProof w:val="0"/>
          <w:sz w:val="24"/>
          <w:szCs w:val="24"/>
          <w:lang w:val="en-GB"/>
        </w:rPr>
        <w:t>Nintendo's net profit increased from 16.6% in 2019 to 19.77% in 2020. This ratio measures the profit generated per unit of revenue after all expenses have been deducted. The increase indicated that Nintendo improved its ability to convert sales into profit. This improvement may be attributed to increased demand for gaming products and strong sales performance. The video game indutry is highly demand-driven and influenced by product life cycles and consumer trends, which can significantly impact financial performance. Additionally, a shift towards digital game sales, which typically have lower distribution costs compared to physical products, may have contributed to higher margins. This is a positive outcome, as higher net profit margins indicate improved efficiency and stronger financial performance.</w:t>
      </w:r>
    </w:p>
    <w:p w:rsidR="7B919D8B" w:rsidP="7B919D8B" w:rsidRDefault="7B919D8B" w14:paraId="09EE4EB7" w14:textId="28A4941D">
      <w:pPr>
        <w:spacing w:before="120" w:beforeAutospacing="off" w:after="120" w:afterAutospacing="off"/>
        <w:jc w:val="left"/>
      </w:pPr>
    </w:p>
    <w:p w:rsidR="7684ECFF" w:rsidP="7B919D8B" w:rsidRDefault="7684ECFF" w14:paraId="64F38EE3" w14:textId="42A561D8">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 xml:space="preserve">Mark-Up </w:t>
      </w:r>
    </w:p>
    <w:p w:rsidR="7684ECFF" w:rsidP="7B919D8B" w:rsidRDefault="7684ECFF" w14:paraId="253C2786" w14:textId="6D8CA069">
      <w:pPr>
        <w:spacing w:before="120" w:beforeAutospacing="off" w:after="120" w:afterAutospacing="off"/>
        <w:jc w:val="left"/>
      </w:pPr>
      <w:r w:rsidRPr="7B919D8B" w:rsidR="7684ECFF">
        <w:rPr>
          <w:rFonts w:ascii="Aptos" w:hAnsi="Aptos" w:eastAsia="Aptos" w:cs="Aptos"/>
          <w:noProof w:val="0"/>
          <w:sz w:val="24"/>
          <w:szCs w:val="24"/>
          <w:lang w:val="en-GB"/>
        </w:rPr>
        <w:t>Nintendo’s markup increased from 42% in 2019 to 55% in 2020, indicating that the company generated more profit relative to the cost of sales. Markup measures how much a company adds to the cost of its products to determine selling prices. The increase suggests that Nintendo either reduced production costs or increased selling prices. It may also reflect a higher proportion of digital sales, which generally have higher margins. The improvement demonstrates strong pricing power and effective cost management.</w:t>
      </w:r>
    </w:p>
    <w:p w:rsidR="7B919D8B" w:rsidP="7B919D8B" w:rsidRDefault="7B919D8B" w14:paraId="282EF817" w14:textId="679B9644">
      <w:pPr>
        <w:spacing w:before="120" w:beforeAutospacing="off" w:after="120" w:afterAutospacing="off"/>
        <w:jc w:val="left"/>
      </w:pPr>
    </w:p>
    <w:p w:rsidR="7684ECFF" w:rsidP="7B919D8B" w:rsidRDefault="7684ECFF" w14:paraId="60BA586E" w14:textId="02B458C1">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 xml:space="preserve">Return on capital employed ROCE </w:t>
      </w:r>
    </w:p>
    <w:p w:rsidR="7684ECFF" w:rsidP="7B919D8B" w:rsidRDefault="7684ECFF" w14:paraId="1D9DB6E6" w14:textId="642B5063">
      <w:pPr>
        <w:spacing w:before="120" w:beforeAutospacing="off" w:after="120" w:afterAutospacing="off"/>
        <w:jc w:val="left"/>
      </w:pPr>
      <w:r w:rsidRPr="7B919D8B" w:rsidR="7684ECFF">
        <w:rPr>
          <w:rFonts w:ascii="Aptos" w:hAnsi="Aptos" w:eastAsia="Aptos" w:cs="Aptos"/>
          <w:noProof w:val="0"/>
          <w:sz w:val="24"/>
          <w:szCs w:val="24"/>
          <w:lang w:val="en-GB"/>
        </w:rPr>
        <w:t>ROCE increased from 17.2% in 2019 to 21.49% in 2020. indicating that Nintendo became more methodical at generating profit from the capital invested in the business. This ratio is a key indicator of overall performance, as it reflects how effectively management uses resources to generate returns. A ROCE above 20% is generally considered strong, and the increase suggests that Nintendo improved both profitability and operational efficiency. Overall, the profitability ratios show a clear improvement, indicating stronger financial performance and effective business management. This improvement is clearly reflected in the calculated ratios, with net profit margin increasing from 16.6% to 19.77% and ROCE rising from 17.2% to 21.49%.</w:t>
      </w:r>
    </w:p>
    <w:p w:rsidR="7B919D8B" w:rsidP="7B919D8B" w:rsidRDefault="7B919D8B" w14:paraId="4D7F819D" w14:textId="02051257">
      <w:pPr>
        <w:spacing w:before="120" w:beforeAutospacing="off" w:after="120" w:afterAutospacing="off"/>
        <w:jc w:val="left"/>
      </w:pPr>
    </w:p>
    <w:p w:rsidR="7684ECFF" w:rsidP="7B919D8B" w:rsidRDefault="7684ECFF" w14:paraId="30DA69C1" w14:textId="32C80BE0">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 xml:space="preserve">Liquidity Analysis </w:t>
      </w:r>
    </w:p>
    <w:p w:rsidR="7684ECFF" w:rsidP="7B919D8B" w:rsidRDefault="7684ECFF" w14:paraId="7DA17DF9" w14:textId="36262D93">
      <w:pPr>
        <w:spacing w:before="120" w:beforeAutospacing="off" w:after="120" w:afterAutospacing="off"/>
        <w:jc w:val="left"/>
      </w:pPr>
      <w:r w:rsidRPr="7B919D8B" w:rsidR="7684ECFF">
        <w:rPr>
          <w:rFonts w:ascii="Aptos" w:hAnsi="Aptos" w:eastAsia="Aptos" w:cs="Aptos"/>
          <w:noProof w:val="0"/>
          <w:sz w:val="24"/>
          <w:szCs w:val="24"/>
          <w:lang w:val="en-GB"/>
        </w:rPr>
        <w:t>Liquidity ratios assess a company's ability to meet short-term financial obligations. (Brigham &amp; Ehrhardt,2020)</w:t>
      </w:r>
    </w:p>
    <w:p w:rsidR="7684ECFF" w:rsidP="7B919D8B" w:rsidRDefault="7684ECFF" w14:paraId="73EA277D" w14:textId="439924E8">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Current Ratio</w:t>
      </w:r>
    </w:p>
    <w:p w:rsidR="7684ECFF" w:rsidP="7B919D8B" w:rsidRDefault="7684ECFF" w14:paraId="3F083B42" w14:textId="72DAE49C">
      <w:pPr>
        <w:spacing w:before="120" w:beforeAutospacing="off" w:after="120" w:afterAutospacing="off"/>
        <w:jc w:val="left"/>
      </w:pPr>
      <w:r w:rsidRPr="7B919D8B" w:rsidR="7684ECFF">
        <w:rPr>
          <w:rFonts w:ascii="Aptos" w:hAnsi="Aptos" w:eastAsia="Aptos" w:cs="Aptos"/>
          <w:noProof w:val="0"/>
          <w:sz w:val="24"/>
          <w:szCs w:val="24"/>
          <w:lang w:val="en-GB"/>
        </w:rPr>
        <w:t xml:space="preserve">Nintendo’s current ratio increased from 4.2:1 in 2019 to 5.5:1 in 2020. It suggests the company has more than enough short-term assets on hand to comfortably meet its immediate obligations. A ratio above 1 suggests that a company can meet its own obligations, and Nintendo’s ratio is significantly higher than this benchmark. This suggests that the company has a strong financial position and a low risk of liquidity problems. However, excessively high liquidity may indicate resources are not being used efficiently. </w:t>
      </w:r>
    </w:p>
    <w:p w:rsidR="7B919D8B" w:rsidP="7B919D8B" w:rsidRDefault="7B919D8B" w14:paraId="411531E5" w14:textId="18519A58">
      <w:pPr>
        <w:spacing w:before="120" w:beforeAutospacing="off" w:after="120" w:afterAutospacing="off"/>
        <w:jc w:val="left"/>
      </w:pPr>
    </w:p>
    <w:p w:rsidR="7684ECFF" w:rsidP="7B919D8B" w:rsidRDefault="7684ECFF" w14:paraId="075E983B" w14:textId="5E1B713D">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 xml:space="preserve">Quick Ratio </w:t>
      </w:r>
    </w:p>
    <w:p w:rsidR="7684ECFF" w:rsidP="7B919D8B" w:rsidRDefault="7684ECFF" w14:paraId="4DC2DF5E" w14:textId="7634A5B9">
      <w:pPr>
        <w:spacing w:before="120" w:beforeAutospacing="off" w:after="120" w:afterAutospacing="off"/>
        <w:jc w:val="left"/>
      </w:pPr>
      <w:r w:rsidRPr="7B919D8B" w:rsidR="7684ECFF">
        <w:rPr>
          <w:rFonts w:ascii="Aptos" w:hAnsi="Aptos" w:eastAsia="Aptos" w:cs="Aptos"/>
          <w:noProof w:val="0"/>
          <w:sz w:val="24"/>
          <w:szCs w:val="24"/>
          <w:lang w:val="en-GB"/>
        </w:rPr>
        <w:t>The quick ratio decreased slightly from 4.9:1 in 2019 to 4.1:1 in 2020, but it remains high. This ratio strips out inventory and looks only at the quickest assets like cash and receivables. Even with the small dip, it still shows Nintendo can easily cover its short-term debt without needing to sell stock. It points to solid cash control and a healthy balance sheet. Overall, their liquidity stays robust, meaning Nintendo is well placed to handle near term payments.</w:t>
      </w:r>
    </w:p>
    <w:p w:rsidR="7B919D8B" w:rsidP="7B919D8B" w:rsidRDefault="7B919D8B" w14:paraId="3BAC652F" w14:textId="71DD7878">
      <w:pPr>
        <w:spacing w:before="120" w:beforeAutospacing="off" w:after="120" w:afterAutospacing="off"/>
        <w:jc w:val="left"/>
      </w:pPr>
    </w:p>
    <w:p w:rsidR="7684ECFF" w:rsidP="7B919D8B" w:rsidRDefault="7684ECFF" w14:paraId="035E51AC" w14:textId="29D1E9C8">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 xml:space="preserve">Efficiency analysis </w:t>
      </w:r>
    </w:p>
    <w:p w:rsidR="7684ECFF" w:rsidP="7B919D8B" w:rsidRDefault="7684ECFF" w14:paraId="0F8A1D06" w14:textId="04E45E25">
      <w:pPr>
        <w:spacing w:before="120" w:beforeAutospacing="off" w:after="120" w:afterAutospacing="off"/>
        <w:jc w:val="left"/>
      </w:pPr>
      <w:r w:rsidRPr="7B919D8B" w:rsidR="7684ECFF">
        <w:rPr>
          <w:rFonts w:ascii="Aptos" w:hAnsi="Aptos" w:eastAsia="Aptos" w:cs="Aptos"/>
          <w:noProof w:val="0"/>
          <w:sz w:val="24"/>
          <w:szCs w:val="24"/>
          <w:lang w:val="en-GB"/>
        </w:rPr>
        <w:t xml:space="preserve">The efficiency ratio measures how effectively a company manages its operations and resources. </w:t>
      </w:r>
    </w:p>
    <w:p w:rsidR="7684ECFF" w:rsidP="7B919D8B" w:rsidRDefault="7684ECFF" w14:paraId="2F053E62" w14:textId="6AA89AF5">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 xml:space="preserve">Inventory turnover </w:t>
      </w:r>
    </w:p>
    <w:p w:rsidR="7684ECFF" w:rsidP="7B919D8B" w:rsidRDefault="7684ECFF" w14:paraId="30E44C34" w14:textId="660B82C5">
      <w:pPr>
        <w:spacing w:before="120" w:beforeAutospacing="off" w:after="120" w:afterAutospacing="off"/>
        <w:jc w:val="left"/>
      </w:pPr>
      <w:r w:rsidRPr="7B919D8B" w:rsidR="7684ECFF">
        <w:rPr>
          <w:rFonts w:ascii="Aptos" w:hAnsi="Aptos" w:eastAsia="Aptos" w:cs="Aptos"/>
          <w:noProof w:val="0"/>
          <w:sz w:val="24"/>
          <w:szCs w:val="24"/>
          <w:lang w:val="en-GB"/>
        </w:rPr>
        <w:t xml:space="preserve">Inventory turnover improved significantly, with the number of days decreasing from 74 days in 2019 to 41 days in 2020. This indicates that Nintendo sold its inventory much faster in 2020. A lower inventory period is generally favourable as it can suggest strong demand and efficient inventory management. Faster turnover also improves cash flow and reduces the risk of unsold stock. This improvement likely reflects increased demand for gaming products and successful product distribution strategies. </w:t>
      </w:r>
    </w:p>
    <w:p w:rsidR="7B919D8B" w:rsidP="7B919D8B" w:rsidRDefault="7B919D8B" w14:paraId="05159370" w14:textId="7158DA24">
      <w:pPr>
        <w:spacing w:before="120" w:beforeAutospacing="off" w:after="120" w:afterAutospacing="off"/>
        <w:jc w:val="left"/>
      </w:pPr>
    </w:p>
    <w:p w:rsidR="7684ECFF" w:rsidP="7B919D8B" w:rsidRDefault="7684ECFF" w14:paraId="37859E99" w14:textId="3B4F9518">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 xml:space="preserve">Trade payable days </w:t>
      </w:r>
    </w:p>
    <w:p w:rsidR="7684ECFF" w:rsidP="7B919D8B" w:rsidRDefault="7684ECFF" w14:paraId="20C0AE3A" w14:textId="3F5F9A39">
      <w:pPr>
        <w:spacing w:before="120" w:beforeAutospacing="off" w:after="120" w:afterAutospacing="off"/>
        <w:jc w:val="left"/>
      </w:pPr>
      <w:r w:rsidRPr="7B919D8B" w:rsidR="7684ECFF">
        <w:rPr>
          <w:rFonts w:ascii="Aptos" w:hAnsi="Aptos" w:eastAsia="Aptos" w:cs="Aptos"/>
          <w:noProof w:val="0"/>
          <w:sz w:val="24"/>
          <w:szCs w:val="24"/>
          <w:lang w:val="en-GB"/>
        </w:rPr>
        <w:t xml:space="preserve">Trade payable days edged up from 18 days in 2019 to 20 days in 2020 which means Nintendo took a few extra days to settle with suppliers. This could be a deliberate move to free up cash for other uses which </w:t>
      </w:r>
      <w:r w:rsidRPr="7B919D8B" w:rsidR="7684ECFF">
        <w:rPr>
          <w:rFonts w:ascii="Aptos" w:hAnsi="Aptos" w:eastAsia="Aptos" w:cs="Aptos"/>
          <w:noProof w:val="0"/>
          <w:sz w:val="24"/>
          <w:szCs w:val="24"/>
          <w:lang w:val="en-GB"/>
        </w:rPr>
        <w:t>keeping</w:t>
      </w:r>
      <w:r w:rsidRPr="7B919D8B" w:rsidR="7684ECFF">
        <w:rPr>
          <w:rFonts w:ascii="Aptos" w:hAnsi="Aptos" w:eastAsia="Aptos" w:cs="Aptos"/>
          <w:noProof w:val="0"/>
          <w:sz w:val="24"/>
          <w:szCs w:val="24"/>
          <w:lang w:val="en-GB"/>
        </w:rPr>
        <w:t xml:space="preserve"> suppliers happy. </w:t>
      </w:r>
      <w:r w:rsidRPr="7B919D8B" w:rsidR="7684ECFF">
        <w:rPr>
          <w:rFonts w:ascii="Aptos" w:hAnsi="Aptos" w:eastAsia="Aptos" w:cs="Aptos"/>
          <w:noProof w:val="0"/>
          <w:sz w:val="24"/>
          <w:szCs w:val="24"/>
          <w:lang w:val="en-GB"/>
        </w:rPr>
        <w:t>A small increase</w:t>
      </w:r>
      <w:r w:rsidRPr="7B919D8B" w:rsidR="7684ECFF">
        <w:rPr>
          <w:rFonts w:ascii="Aptos" w:hAnsi="Aptos" w:eastAsia="Aptos" w:cs="Aptos"/>
          <w:noProof w:val="0"/>
          <w:sz w:val="24"/>
          <w:szCs w:val="24"/>
          <w:lang w:val="en-GB"/>
        </w:rPr>
        <w:t xml:space="preserve"> is </w:t>
      </w:r>
      <w:r w:rsidRPr="7B919D8B" w:rsidR="7684ECFF">
        <w:rPr>
          <w:rFonts w:ascii="Aptos" w:hAnsi="Aptos" w:eastAsia="Aptos" w:cs="Aptos"/>
          <w:noProof w:val="0"/>
          <w:sz w:val="24"/>
          <w:szCs w:val="24"/>
          <w:lang w:val="en-GB"/>
        </w:rPr>
        <w:t>generally not</w:t>
      </w:r>
      <w:r w:rsidRPr="7B919D8B" w:rsidR="7684ECFF">
        <w:rPr>
          <w:rFonts w:ascii="Aptos" w:hAnsi="Aptos" w:eastAsia="Aptos" w:cs="Aptos"/>
          <w:noProof w:val="0"/>
          <w:sz w:val="24"/>
          <w:szCs w:val="24"/>
          <w:lang w:val="en-GB"/>
        </w:rPr>
        <w:t xml:space="preserve"> a concern, especially when supported by strong liquidity. Overall efficiency improved, particularly in inventory management. </w:t>
      </w:r>
    </w:p>
    <w:p w:rsidR="7684ECFF" w:rsidP="7B919D8B" w:rsidRDefault="7684ECFF" w14:paraId="7E231DE1" w14:textId="2982BF7A">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 xml:space="preserve">Impact of external factors  </w:t>
      </w:r>
    </w:p>
    <w:p w:rsidR="7684ECFF" w:rsidP="7B919D8B" w:rsidRDefault="7684ECFF" w14:paraId="70859D16" w14:textId="07EEFECF">
      <w:pPr>
        <w:spacing w:before="120" w:beforeAutospacing="off" w:after="120" w:afterAutospacing="off"/>
        <w:jc w:val="left"/>
      </w:pPr>
      <w:r w:rsidRPr="7B919D8B" w:rsidR="7684ECFF">
        <w:rPr>
          <w:rFonts w:ascii="Aptos" w:hAnsi="Aptos" w:eastAsia="Aptos" w:cs="Aptos"/>
          <w:noProof w:val="0"/>
          <w:sz w:val="24"/>
          <w:szCs w:val="24"/>
          <w:lang w:val="en-GB"/>
        </w:rPr>
        <w:t xml:space="preserve">The improvement in Nintendo’s financial performance between 2019 and 2020 can also be attributed to external factors, particularly changes in the gaming industry and the COVID-19 pandemic. The video game industry is highly influenced by consumer trends, technological advancements and product life cycles, meaning demand can fluctuate significantly depending on the market conditions. The COVID-19 pandemic hit in early 2020, triggering lockdowns and keeping people at home. That sparked a big jump in demand for home entertainment, including video games. As a result, Nintendo experienced increased sales of both hardware and software, including the release of popular titles such as Animal Crossing: New Horizons, which further fueled demand and drove a strong sales performance. </w:t>
      </w:r>
    </w:p>
    <w:p w:rsidR="7684ECFF" w:rsidP="7B919D8B" w:rsidRDefault="7684ECFF" w14:paraId="026CE441" w14:textId="1246DF9E">
      <w:pPr>
        <w:spacing w:before="120" w:beforeAutospacing="off" w:after="120" w:afterAutospacing="off"/>
        <w:jc w:val="left"/>
      </w:pPr>
      <w:r w:rsidRPr="7B919D8B" w:rsidR="7684ECFF">
        <w:rPr>
          <w:rFonts w:ascii="Aptos" w:hAnsi="Aptos" w:eastAsia="Aptos" w:cs="Aptos"/>
          <w:noProof w:val="0"/>
          <w:sz w:val="24"/>
          <w:szCs w:val="24"/>
          <w:lang w:val="en-GB"/>
        </w:rPr>
        <w:t>Additionally, the shift towards digital distribution played a significant role in improving profitability. Digital game sales eliminate the costs of physical production and distribution, leading to higher profit margins. This is consistent with the increase in Nintendo’s net profit margin and markup ratios during the period. Furthermore, Nintendo’s strong brand recognition and established franchises provided a competitive advantage in capturing increased demand. This highlights the importance of innovation and product development in sustaining financial performance within the gaming industry.</w:t>
      </w:r>
    </w:p>
    <w:p w:rsidR="7684ECFF" w:rsidP="7B919D8B" w:rsidRDefault="7684ECFF" w14:paraId="19F4DCB6" w14:textId="00BB13FF">
      <w:pPr>
        <w:spacing w:before="120" w:beforeAutospacing="off" w:after="120" w:afterAutospacing="off"/>
        <w:jc w:val="left"/>
      </w:pPr>
      <w:r w:rsidRPr="7B919D8B" w:rsidR="7684ECFF">
        <w:rPr>
          <w:rFonts w:ascii="Aptos" w:hAnsi="Aptos" w:eastAsia="Aptos" w:cs="Aptos"/>
          <w:noProof w:val="0"/>
          <w:sz w:val="24"/>
          <w:szCs w:val="24"/>
          <w:lang w:val="en-GB"/>
        </w:rPr>
        <w:t xml:space="preserve">Overall, external factors, particularly the pandemic and industry trends, had a significant positive impact on Nintendo’s financial performance during this period. </w:t>
      </w:r>
    </w:p>
    <w:p w:rsidR="7B919D8B" w:rsidP="7B919D8B" w:rsidRDefault="7B919D8B" w14:paraId="1F84AF05" w14:textId="7E758FC2">
      <w:pPr>
        <w:spacing w:before="120" w:beforeAutospacing="off" w:after="120" w:afterAutospacing="off"/>
        <w:jc w:val="left"/>
      </w:pPr>
    </w:p>
    <w:p w:rsidR="7684ECFF" w:rsidP="7B919D8B" w:rsidRDefault="7684ECFF" w14:paraId="6DEDC809" w14:textId="2F13DCE1">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 xml:space="preserve">Overall performance evaluation </w:t>
      </w:r>
    </w:p>
    <w:p w:rsidR="7684ECFF" w:rsidP="7B919D8B" w:rsidRDefault="7684ECFF" w14:paraId="7C2B7DF1" w14:textId="038B39EA">
      <w:pPr>
        <w:spacing w:before="120" w:beforeAutospacing="off" w:after="120" w:afterAutospacing="off"/>
        <w:jc w:val="left"/>
      </w:pPr>
      <w:r w:rsidRPr="7B919D8B" w:rsidR="7684ECFF">
        <w:rPr>
          <w:rFonts w:ascii="Aptos" w:hAnsi="Aptos" w:eastAsia="Aptos" w:cs="Aptos"/>
          <w:noProof w:val="0"/>
          <w:sz w:val="24"/>
          <w:szCs w:val="24"/>
          <w:lang w:val="en-GB"/>
        </w:rPr>
        <w:t xml:space="preserve">Overall, Nintendo’s financial performance improved significantly between 2019 and 2020. Profitability ratios such as net profit margin, markup, and ROCE all increased, which indicates stronger earnings and a more efficient use of capital. Liquidity ratios show that the company maintained a strong financial position with high levels of current and liquid assets. This suggests that Nintendo faced low financial risk and could comfortably meet short-term obligations. Efficiency ratios also improved, particularly inventory turnover, which indicates strong demand and effective operational management. However, it is important to note that ratio analysis has limitations (Atrill &amp; McLaney, 2019). It is based on historical data and does not account for external factors such as market conditions or economic changes. </w:t>
      </w:r>
    </w:p>
    <w:p w:rsidR="7684ECFF" w:rsidP="7B919D8B" w:rsidRDefault="7684ECFF" w14:paraId="42EAED45" w14:textId="4BEDDB3E">
      <w:pPr>
        <w:spacing w:before="120" w:beforeAutospacing="off" w:after="120" w:afterAutospacing="off"/>
        <w:jc w:val="left"/>
      </w:pPr>
      <w:r w:rsidRPr="7B919D8B" w:rsidR="7684ECFF">
        <w:rPr>
          <w:rFonts w:ascii="Aptos" w:hAnsi="Aptos" w:eastAsia="Aptos" w:cs="Aptos"/>
          <w:noProof w:val="0"/>
          <w:sz w:val="24"/>
          <w:szCs w:val="24"/>
          <w:lang w:val="en-GB"/>
        </w:rPr>
        <w:t xml:space="preserve">Despite these limitations, the overall trend suggests that Nintendo experienced improved financial performance and effective management during this period. </w:t>
      </w:r>
    </w:p>
    <w:p w:rsidR="7B919D8B" w:rsidP="7B919D8B" w:rsidRDefault="7B919D8B" w14:paraId="49F7E9A9" w14:textId="00FC1C54">
      <w:pPr>
        <w:spacing w:before="120" w:beforeAutospacing="off" w:after="120" w:afterAutospacing="off"/>
        <w:jc w:val="left"/>
        <w:rPr>
          <w:rFonts w:ascii="Aptos" w:hAnsi="Aptos" w:eastAsia="Aptos" w:cs="Aptos"/>
          <w:noProof w:val="0"/>
          <w:sz w:val="24"/>
          <w:szCs w:val="24"/>
          <w:lang w:val="en-GB"/>
        </w:rPr>
      </w:pPr>
    </w:p>
    <w:p w:rsidR="7B919D8B" w:rsidP="7B919D8B" w:rsidRDefault="7B919D8B" w14:paraId="64FD0260" w14:textId="7C77D955">
      <w:pPr>
        <w:spacing w:before="120" w:beforeAutospacing="off" w:after="120" w:afterAutospacing="off"/>
        <w:jc w:val="left"/>
        <w:rPr>
          <w:rFonts w:ascii="Aptos" w:hAnsi="Aptos" w:eastAsia="Aptos" w:cs="Aptos"/>
          <w:noProof w:val="0"/>
          <w:sz w:val="24"/>
          <w:szCs w:val="24"/>
          <w:lang w:val="en-GB"/>
        </w:rPr>
      </w:pPr>
    </w:p>
    <w:p w:rsidR="7684ECFF" w:rsidP="7B919D8B" w:rsidRDefault="7684ECFF" w14:paraId="4A6445FD" w14:textId="45B55CA5">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 xml:space="preserve">Sustainability </w:t>
      </w:r>
    </w:p>
    <w:p w:rsidR="7684ECFF" w:rsidP="7B919D8B" w:rsidRDefault="7684ECFF" w14:paraId="6D21F1A2" w14:textId="25ACD44B">
      <w:pPr>
        <w:spacing w:before="120" w:beforeAutospacing="off" w:after="120" w:afterAutospacing="off"/>
        <w:jc w:val="left"/>
      </w:pPr>
      <w:r w:rsidRPr="7B919D8B" w:rsidR="7684ECFF">
        <w:rPr>
          <w:rFonts w:ascii="Aptos" w:hAnsi="Aptos" w:eastAsia="Aptos" w:cs="Aptos"/>
          <w:noProof w:val="0"/>
          <w:sz w:val="24"/>
          <w:szCs w:val="24"/>
          <w:lang w:val="en-GB"/>
        </w:rPr>
        <w:t xml:space="preserve">Sustainability is increasingly important for long-term business success, particularly in the gaming and technology industry. Nintendo has taken a step in the right direction to improve environmental sustainability, including reducing packaging, improving the energy efficiency of its products, and promoting digital downloads over physical game distribution. The increase in digital sales observed between 2019 and 2020 supports sustainability objectives as digital distribution reduces the need for physical materials, manufacturing, and transportation. This not only lowers costs but also reduces environmental impact, aligning financial performance with sustainable practices. Additionally, efficient inventory management, as evidenced by reduced inventory days, contributes to sustainability by minimising waste and excess production. By producing only what is needed and selling inventory more quickly, Nintendo reduces the risk of obsolete stock. </w:t>
      </w:r>
    </w:p>
    <w:p w:rsidR="34E6EC57" w:rsidP="7B919D8B" w:rsidRDefault="34E6EC57" w14:paraId="6B939AD3" w14:textId="5EFC1096">
      <w:pPr>
        <w:spacing w:before="120" w:beforeAutospacing="off" w:after="120" w:afterAutospacing="off"/>
        <w:jc w:val="left"/>
        <w:rPr>
          <w:rFonts w:ascii="Aptos" w:hAnsi="Aptos" w:eastAsia="Aptos" w:cs="Aptos"/>
          <w:b w:val="1"/>
          <w:bCs w:val="1"/>
          <w:noProof w:val="0"/>
          <w:sz w:val="24"/>
          <w:szCs w:val="24"/>
          <w:lang w:val="en-GB"/>
        </w:rPr>
      </w:pPr>
      <w:r w:rsidRPr="7B919D8B" w:rsidR="34E6EC57">
        <w:rPr>
          <w:rFonts w:ascii="Aptos" w:hAnsi="Aptos" w:eastAsia="Aptos" w:cs="Aptos"/>
          <w:b w:val="1"/>
          <w:bCs w:val="1"/>
          <w:noProof w:val="0"/>
          <w:sz w:val="24"/>
          <w:szCs w:val="24"/>
          <w:lang w:val="en-GB"/>
        </w:rPr>
        <w:t>Recommendations</w:t>
      </w:r>
    </w:p>
    <w:p w:rsidR="7684ECFF" w:rsidP="7B919D8B" w:rsidRDefault="7684ECFF" w14:paraId="5AAA3760" w14:textId="66DB09F1">
      <w:pPr>
        <w:spacing w:before="120" w:beforeAutospacing="off" w:after="120" w:afterAutospacing="off"/>
        <w:jc w:val="left"/>
      </w:pPr>
      <w:r w:rsidRPr="7B919D8B" w:rsidR="7684ECFF">
        <w:rPr>
          <w:rFonts w:ascii="Aptos" w:hAnsi="Aptos" w:eastAsia="Aptos" w:cs="Aptos"/>
          <w:noProof w:val="0"/>
          <w:sz w:val="24"/>
          <w:szCs w:val="24"/>
          <w:lang w:val="en-GB"/>
        </w:rPr>
        <w:t xml:space="preserve">To maintain sustainable growth, Nintendo should continue investing in innovation and product development. The gaming industry is highly competitive, and continuous innovation is essential to maintain market share. The company should also expand its focus on digital gaming and online services as these typically generate higher profit margins and lower distribution costs. Additionally, Nintendo should continue to improve inventory management to ensure efficient stock turnover while avoiding shortages or excess inventory. Maintaining strong liquidity is also important as it provides financial stability and allows the company to respond to future uncertainties. </w:t>
      </w:r>
    </w:p>
    <w:p w:rsidR="7684ECFF" w:rsidP="7B919D8B" w:rsidRDefault="7684ECFF" w14:paraId="1848129F" w14:textId="286AB2BA">
      <w:pPr>
        <w:spacing w:before="120" w:beforeAutospacing="off" w:after="120" w:afterAutospacing="off"/>
        <w:jc w:val="left"/>
        <w:rPr>
          <w:rFonts w:ascii="Aptos" w:hAnsi="Aptos" w:eastAsia="Aptos" w:cs="Aptos"/>
          <w:b w:val="1"/>
          <w:bCs w:val="1"/>
          <w:noProof w:val="0"/>
          <w:sz w:val="24"/>
          <w:szCs w:val="24"/>
          <w:lang w:val="en-GB"/>
        </w:rPr>
      </w:pPr>
      <w:r w:rsidRPr="7B919D8B" w:rsidR="7684ECFF">
        <w:rPr>
          <w:rFonts w:ascii="Aptos" w:hAnsi="Aptos" w:eastAsia="Aptos" w:cs="Aptos"/>
          <w:b w:val="1"/>
          <w:bCs w:val="1"/>
          <w:noProof w:val="0"/>
          <w:sz w:val="24"/>
          <w:szCs w:val="24"/>
          <w:lang w:val="en-GB"/>
        </w:rPr>
        <w:t>Conclusion</w:t>
      </w:r>
    </w:p>
    <w:p w:rsidR="7684ECFF" w:rsidP="7B919D8B" w:rsidRDefault="7684ECFF" w14:paraId="3F3637CF" w14:textId="5B9B5863">
      <w:pPr>
        <w:spacing w:before="120" w:beforeAutospacing="off" w:after="120" w:afterAutospacing="off"/>
        <w:jc w:val="left"/>
      </w:pPr>
      <w:r w:rsidRPr="7B919D8B" w:rsidR="7684ECFF">
        <w:rPr>
          <w:rFonts w:ascii="Aptos" w:hAnsi="Aptos" w:eastAsia="Aptos" w:cs="Aptos"/>
          <w:noProof w:val="0"/>
          <w:sz w:val="24"/>
          <w:szCs w:val="24"/>
          <w:lang w:val="en-GB"/>
        </w:rPr>
        <w:t>In conclusion, this report analysed Nintendo's financial performance between 2019 and 2020 using ratio analysis. The results indicate significant improvements in profitability, liquidity, and efficiency. Nintendo demonstrated strong financial management, improved operational efficiency and increased profitability during this period. Although these findings suggest the company is well-positioned for future growth, it’s worth noting that this analysis has its limits. It draws on past data, so it might not fully reflect external market shifts or broader economic changes.  Despite these limitations, Nintendo’s ability to generate higher returns while maintaining financial stability suggests that its business strategy was effective.</w:t>
      </w:r>
    </w:p>
    <w:p w:rsidR="7B919D8B" w:rsidP="7B919D8B" w:rsidRDefault="7B919D8B" w14:paraId="7CDA2E7A" w14:textId="616F3A8C">
      <w:pPr>
        <w:spacing w:before="120" w:beforeAutospacing="off" w:after="120" w:afterAutospacing="off"/>
        <w:jc w:val="left"/>
      </w:pPr>
    </w:p>
    <w:p w:rsidR="7B919D8B" w:rsidP="7B919D8B" w:rsidRDefault="7B919D8B" w14:paraId="0926D8CF" w14:textId="042C2505">
      <w:pPr>
        <w:spacing w:before="120" w:beforeAutospacing="off" w:after="120" w:afterAutospacing="off"/>
        <w:jc w:val="left"/>
      </w:pPr>
    </w:p>
    <w:p w:rsidR="7B919D8B" w:rsidP="7B919D8B" w:rsidRDefault="7B919D8B" w14:paraId="5B1B145B" w14:textId="01DA4951">
      <w:pPr>
        <w:spacing w:before="120" w:beforeAutospacing="off" w:after="120" w:afterAutospacing="off"/>
        <w:jc w:val="left"/>
      </w:pPr>
    </w:p>
    <w:p w:rsidR="7B919D8B" w:rsidP="7B919D8B" w:rsidRDefault="7B919D8B" w14:paraId="4B2F656D" w14:textId="60DBCAAF">
      <w:pPr>
        <w:spacing w:before="120" w:beforeAutospacing="off" w:after="120" w:afterAutospacing="off"/>
        <w:jc w:val="left"/>
      </w:pPr>
    </w:p>
    <w:p w:rsidR="7B919D8B" w:rsidP="7B919D8B" w:rsidRDefault="7B919D8B" w14:paraId="477EAFFE" w14:textId="5DCD4084">
      <w:pPr>
        <w:spacing w:before="120" w:beforeAutospacing="off" w:after="120" w:afterAutospacing="off"/>
        <w:jc w:val="left"/>
      </w:pPr>
    </w:p>
    <w:p w:rsidR="7B919D8B" w:rsidP="7B919D8B" w:rsidRDefault="7B919D8B" w14:paraId="0C8BB830" w14:textId="62D63CB1">
      <w:pPr>
        <w:spacing w:before="120" w:beforeAutospacing="off" w:after="120" w:afterAutospacing="off"/>
        <w:jc w:val="left"/>
      </w:pPr>
    </w:p>
    <w:p w:rsidR="40BC8ED5" w:rsidP="40BC8ED5" w:rsidRDefault="40BC8ED5" w14:paraId="01E9D05B" w14:textId="3DBCFFDE">
      <w:pPr>
        <w:pStyle w:val="Normal"/>
        <w:spacing w:before="120" w:beforeAutospacing="off" w:after="120" w:afterAutospacing="off"/>
        <w:jc w:val="left"/>
      </w:pPr>
    </w:p>
    <w:p w:rsidR="226AC89B" w:rsidP="40BC8ED5" w:rsidRDefault="226AC89B" w14:paraId="724D28FB" w14:textId="3784973B">
      <w:pPr>
        <w:pStyle w:val="Heading1"/>
        <w:spacing w:before="120" w:beforeAutospacing="off" w:after="120" w:afterAutospacing="off"/>
        <w:jc w:val="center"/>
        <w:rPr>
          <w:rFonts w:ascii="Times New Roman" w:hAnsi="Times New Roman" w:eastAsia="Times New Roman" w:cs="Times New Roman"/>
          <w:b w:val="1"/>
          <w:bCs w:val="1"/>
          <w:noProof w:val="0"/>
          <w:color w:val="auto"/>
          <w:sz w:val="24"/>
          <w:szCs w:val="24"/>
          <w:lang w:val="en-GB"/>
        </w:rPr>
      </w:pPr>
      <w:bookmarkStart w:name="_Toc1931562764" w:id="1172314645"/>
      <w:bookmarkStart w:name="_Toc41930547" w:id="436344951"/>
      <w:r w:rsidRPr="40BC8ED5" w:rsidR="226AC89B">
        <w:rPr>
          <w:rFonts w:ascii="Times New Roman" w:hAnsi="Times New Roman" w:eastAsia="Times New Roman" w:cs="Times New Roman"/>
          <w:b w:val="1"/>
          <w:bCs w:val="1"/>
          <w:noProof w:val="0"/>
          <w:color w:val="auto"/>
          <w:sz w:val="24"/>
          <w:szCs w:val="24"/>
          <w:lang w:val="en-GB"/>
        </w:rPr>
        <w:t>References</w:t>
      </w:r>
      <w:bookmarkEnd w:id="1172314645"/>
      <w:bookmarkEnd w:id="436344951"/>
    </w:p>
    <w:p w:rsidR="226AC89B" w:rsidP="40BC8ED5" w:rsidRDefault="226AC89B" w14:paraId="71346DAE" w14:textId="6A3A9B10">
      <w:pPr>
        <w:spacing w:before="0" w:beforeAutospacing="off" w:after="0" w:afterAutospacing="off" w:line="480" w:lineRule="auto"/>
        <w:ind w:left="720" w:right="0" w:hanging="720"/>
        <w:jc w:val="left"/>
      </w:pPr>
      <w:r w:rsidRPr="40BC8ED5" w:rsidR="226AC89B">
        <w:rPr>
          <w:rFonts w:ascii="Times New Roman" w:hAnsi="Times New Roman" w:eastAsia="Times New Roman" w:cs="Times New Roman"/>
          <w:i w:val="1"/>
          <w:iCs w:val="1"/>
          <w:noProof w:val="0"/>
          <w:sz w:val="24"/>
          <w:szCs w:val="24"/>
          <w:lang w:val="en-GB"/>
        </w:rPr>
        <w:t>Annual Report 2020</w:t>
      </w:r>
      <w:r w:rsidRPr="40BC8ED5" w:rsidR="226AC89B">
        <w:rPr>
          <w:rFonts w:ascii="Times New Roman" w:hAnsi="Times New Roman" w:eastAsia="Times New Roman" w:cs="Times New Roman"/>
          <w:noProof w:val="0"/>
          <w:sz w:val="24"/>
          <w:szCs w:val="24"/>
          <w:lang w:val="en-GB"/>
        </w:rPr>
        <w:t xml:space="preserve">. (n.d.). </w:t>
      </w:r>
      <w:hyperlink r:id="Rb9515f85bf084e4b">
        <w:r w:rsidRPr="40BC8ED5" w:rsidR="226AC89B">
          <w:rPr>
            <w:rStyle w:val="Hyperlink"/>
            <w:rFonts w:ascii="Times New Roman" w:hAnsi="Times New Roman" w:eastAsia="Times New Roman" w:cs="Times New Roman"/>
            <w:noProof w:val="0"/>
            <w:sz w:val="24"/>
            <w:szCs w:val="24"/>
            <w:lang w:val="en-GB"/>
          </w:rPr>
          <w:t>https://www.nintendo.co.jp/ir/pdf/2020/annual2003e.pdf</w:t>
        </w:r>
      </w:hyperlink>
    </w:p>
    <w:p w:rsidR="226AC89B" w:rsidP="40BC8ED5" w:rsidRDefault="226AC89B" w14:paraId="1A9393A3" w14:textId="74953804">
      <w:pPr>
        <w:spacing w:before="0" w:beforeAutospacing="off" w:after="0" w:afterAutospacing="off" w:line="480" w:lineRule="auto"/>
        <w:ind w:left="720" w:right="0" w:hanging="720"/>
        <w:jc w:val="left"/>
      </w:pPr>
      <w:r w:rsidRPr="40BC8ED5" w:rsidR="226AC89B">
        <w:rPr>
          <w:rFonts w:ascii="Times New Roman" w:hAnsi="Times New Roman" w:eastAsia="Times New Roman" w:cs="Times New Roman"/>
          <w:noProof w:val="0"/>
          <w:sz w:val="24"/>
          <w:szCs w:val="24"/>
          <w:lang w:val="en-GB"/>
        </w:rPr>
        <w:t xml:space="preserve">Atrill, P., &amp; Mclaney, E. J. (2017). </w:t>
      </w:r>
      <w:r w:rsidRPr="40BC8ED5" w:rsidR="226AC89B">
        <w:rPr>
          <w:rFonts w:ascii="Times New Roman" w:hAnsi="Times New Roman" w:eastAsia="Times New Roman" w:cs="Times New Roman"/>
          <w:i w:val="1"/>
          <w:iCs w:val="1"/>
          <w:noProof w:val="0"/>
          <w:sz w:val="24"/>
          <w:szCs w:val="24"/>
          <w:lang w:val="en-GB"/>
        </w:rPr>
        <w:t>Accounting and finance for non-specialists</w:t>
      </w:r>
      <w:r w:rsidRPr="40BC8ED5" w:rsidR="226AC89B">
        <w:rPr>
          <w:rFonts w:ascii="Times New Roman" w:hAnsi="Times New Roman" w:eastAsia="Times New Roman" w:cs="Times New Roman"/>
          <w:noProof w:val="0"/>
          <w:sz w:val="24"/>
          <w:szCs w:val="24"/>
          <w:lang w:val="en-GB"/>
        </w:rPr>
        <w:t>. Pearson.</w:t>
      </w:r>
    </w:p>
    <w:p w:rsidR="226AC89B" w:rsidP="40BC8ED5" w:rsidRDefault="226AC89B" w14:paraId="035FC76E" w14:textId="2BB6B082">
      <w:pPr>
        <w:spacing w:before="0" w:beforeAutospacing="off" w:after="0" w:afterAutospacing="off" w:line="480" w:lineRule="auto"/>
        <w:ind w:left="720" w:right="0" w:hanging="720"/>
        <w:jc w:val="left"/>
      </w:pPr>
      <w:r w:rsidRPr="40BC8ED5" w:rsidR="226AC89B">
        <w:rPr>
          <w:rFonts w:ascii="Times New Roman" w:hAnsi="Times New Roman" w:eastAsia="Times New Roman" w:cs="Times New Roman"/>
          <w:noProof w:val="0"/>
          <w:sz w:val="24"/>
          <w:szCs w:val="24"/>
          <w:lang w:val="en-GB"/>
        </w:rPr>
        <w:t xml:space="preserve">Ehrhardt, M. C., &amp; Brigham, E. F. (2020). </w:t>
      </w:r>
      <w:r w:rsidRPr="40BC8ED5" w:rsidR="226AC89B">
        <w:rPr>
          <w:rFonts w:ascii="Times New Roman" w:hAnsi="Times New Roman" w:eastAsia="Times New Roman" w:cs="Times New Roman"/>
          <w:i w:val="1"/>
          <w:iCs w:val="1"/>
          <w:noProof w:val="0"/>
          <w:sz w:val="24"/>
          <w:szCs w:val="24"/>
          <w:lang w:val="en-GB"/>
        </w:rPr>
        <w:t>Financial Management: Theory &amp; Practice</w:t>
      </w:r>
      <w:r w:rsidRPr="40BC8ED5" w:rsidR="226AC89B">
        <w:rPr>
          <w:rFonts w:ascii="Times New Roman" w:hAnsi="Times New Roman" w:eastAsia="Times New Roman" w:cs="Times New Roman"/>
          <w:noProof w:val="0"/>
          <w:sz w:val="24"/>
          <w:szCs w:val="24"/>
          <w:lang w:val="en-GB"/>
        </w:rPr>
        <w:t xml:space="preserve"> (16th ed.). Cengage.</w:t>
      </w:r>
    </w:p>
    <w:p w:rsidR="226AC89B" w:rsidP="40BC8ED5" w:rsidRDefault="226AC89B" w14:paraId="7738E03C" w14:textId="3AB89B20">
      <w:pPr>
        <w:spacing w:before="0" w:beforeAutospacing="off" w:after="0" w:afterAutospacing="off" w:line="480" w:lineRule="auto"/>
        <w:ind w:left="720" w:right="0" w:hanging="720"/>
        <w:jc w:val="left"/>
      </w:pPr>
      <w:r w:rsidRPr="40BC8ED5" w:rsidR="226AC89B">
        <w:rPr>
          <w:rFonts w:ascii="Times New Roman" w:hAnsi="Times New Roman" w:eastAsia="Times New Roman" w:cs="Times New Roman"/>
          <w:noProof w:val="0"/>
          <w:sz w:val="24"/>
          <w:szCs w:val="24"/>
          <w:lang w:val="en-GB"/>
        </w:rPr>
        <w:t xml:space="preserve">Penman, S. H. (2013). </w:t>
      </w:r>
      <w:r w:rsidRPr="40BC8ED5" w:rsidR="226AC89B">
        <w:rPr>
          <w:rFonts w:ascii="Times New Roman" w:hAnsi="Times New Roman" w:eastAsia="Times New Roman" w:cs="Times New Roman"/>
          <w:i w:val="1"/>
          <w:iCs w:val="1"/>
          <w:noProof w:val="0"/>
          <w:sz w:val="24"/>
          <w:szCs w:val="24"/>
          <w:lang w:val="en-GB"/>
        </w:rPr>
        <w:t>Financial Statement Analysis and Security Valuation</w:t>
      </w:r>
      <w:r w:rsidRPr="40BC8ED5" w:rsidR="226AC89B">
        <w:rPr>
          <w:rFonts w:ascii="Times New Roman" w:hAnsi="Times New Roman" w:eastAsia="Times New Roman" w:cs="Times New Roman"/>
          <w:noProof w:val="0"/>
          <w:sz w:val="24"/>
          <w:szCs w:val="24"/>
          <w:lang w:val="en-GB"/>
        </w:rPr>
        <w:t xml:space="preserve"> (5th ed.). Mcgraw-Hill Irwin.</w:t>
      </w:r>
    </w:p>
    <w:p w:rsidR="226AC89B" w:rsidP="40BC8ED5" w:rsidRDefault="226AC89B" w14:paraId="544547B0" w14:textId="1226880C">
      <w:pPr>
        <w:spacing w:before="0" w:beforeAutospacing="off" w:after="0" w:afterAutospacing="off" w:line="480" w:lineRule="auto"/>
        <w:ind w:left="720" w:right="0" w:hanging="720"/>
        <w:jc w:val="left"/>
      </w:pPr>
      <w:r w:rsidRPr="40BC8ED5" w:rsidR="226AC89B">
        <w:rPr>
          <w:rFonts w:ascii="Times New Roman" w:hAnsi="Times New Roman" w:eastAsia="Times New Roman" w:cs="Times New Roman"/>
          <w:noProof w:val="0"/>
          <w:sz w:val="24"/>
          <w:szCs w:val="24"/>
          <w:lang w:val="en-GB"/>
        </w:rPr>
        <w:t xml:space="preserve">(2019). Nintendo Co., Ltd. </w:t>
      </w:r>
      <w:hyperlink r:id="R264abc3157514182">
        <w:r w:rsidRPr="40BC8ED5" w:rsidR="226AC89B">
          <w:rPr>
            <w:rStyle w:val="Hyperlink"/>
            <w:rFonts w:ascii="Times New Roman" w:hAnsi="Times New Roman" w:eastAsia="Times New Roman" w:cs="Times New Roman"/>
            <w:noProof w:val="0"/>
            <w:sz w:val="24"/>
            <w:szCs w:val="24"/>
            <w:lang w:val="en-GB"/>
          </w:rPr>
          <w:t>https://www.nintendo.co.jp/ir/en/library/annual/index.html</w:t>
        </w:r>
      </w:hyperlink>
    </w:p>
    <w:p w:rsidR="40BC8ED5" w:rsidP="40BC8ED5" w:rsidRDefault="40BC8ED5" w14:paraId="0CD0B457" w14:textId="7BD8B274">
      <w:pPr>
        <w:pStyle w:val="Normal"/>
        <w:spacing w:before="120" w:beforeAutospacing="off" w:after="120" w:afterAutospacing="off"/>
        <w:jc w:val="left"/>
        <w:rPr>
          <w:rFonts w:ascii="Aptos" w:hAnsi="Aptos" w:eastAsia="Aptos" w:cs="Aptos"/>
          <w:noProof w:val="0"/>
          <w:sz w:val="24"/>
          <w:szCs w:val="24"/>
          <w:lang w:val="en-GB"/>
        </w:rPr>
      </w:pPr>
    </w:p>
    <w:p w:rsidR="40BC8ED5" w:rsidP="40BC8ED5" w:rsidRDefault="40BC8ED5" w14:paraId="7674497F" w14:textId="581C602E">
      <w:pPr>
        <w:pStyle w:val="Normal"/>
        <w:spacing w:before="120" w:beforeAutospacing="off" w:after="120" w:afterAutospacing="off"/>
        <w:jc w:val="left"/>
      </w:pPr>
    </w:p>
    <w:p w:rsidR="40BC8ED5" w:rsidP="40BC8ED5" w:rsidRDefault="40BC8ED5" w14:paraId="2DFA16A1" w14:textId="5F663E5F">
      <w:pPr>
        <w:pStyle w:val="Normal"/>
        <w:spacing w:before="120" w:beforeAutospacing="off" w:after="120" w:afterAutospacing="off"/>
        <w:jc w:val="left"/>
      </w:pPr>
    </w:p>
    <w:p w:rsidR="40BC8ED5" w:rsidP="40BC8ED5" w:rsidRDefault="40BC8ED5" w14:paraId="0818989C" w14:textId="551AEF43">
      <w:pPr>
        <w:pStyle w:val="Normal"/>
        <w:spacing w:before="120" w:beforeAutospacing="off" w:after="120" w:afterAutospacing="off"/>
        <w:jc w:val="left"/>
      </w:pPr>
    </w:p>
    <w:p w:rsidR="40BC8ED5" w:rsidP="40BC8ED5" w:rsidRDefault="40BC8ED5" w14:paraId="09EEFD71" w14:textId="24D82FA9">
      <w:pPr>
        <w:pStyle w:val="Normal"/>
        <w:spacing w:before="120" w:beforeAutospacing="off" w:after="120" w:afterAutospacing="off"/>
        <w:jc w:val="left"/>
      </w:pPr>
    </w:p>
    <w:p w:rsidR="40BC8ED5" w:rsidP="40BC8ED5" w:rsidRDefault="40BC8ED5" w14:paraId="1C026FA3" w14:textId="4F3F3218">
      <w:pPr>
        <w:pStyle w:val="Normal"/>
        <w:spacing w:before="120" w:beforeAutospacing="off" w:after="120" w:afterAutospacing="off"/>
        <w:jc w:val="left"/>
      </w:pPr>
    </w:p>
    <w:p w:rsidR="40BC8ED5" w:rsidP="40BC8ED5" w:rsidRDefault="40BC8ED5" w14:paraId="31E54B11" w14:textId="25D1F9DE">
      <w:pPr>
        <w:pStyle w:val="Normal"/>
        <w:spacing w:before="120" w:beforeAutospacing="off" w:after="120" w:afterAutospacing="off"/>
        <w:jc w:val="left"/>
      </w:pPr>
    </w:p>
    <w:p w:rsidR="40BC8ED5" w:rsidP="40BC8ED5" w:rsidRDefault="40BC8ED5" w14:paraId="3C34E8E9" w14:textId="1214408C">
      <w:pPr>
        <w:pStyle w:val="Normal"/>
        <w:spacing w:before="120" w:beforeAutospacing="off" w:after="120" w:afterAutospacing="off"/>
        <w:jc w:val="left"/>
      </w:pPr>
    </w:p>
    <w:p w:rsidR="40BC8ED5" w:rsidP="40BC8ED5" w:rsidRDefault="40BC8ED5" w14:paraId="0648B0E8" w14:textId="433F630F">
      <w:pPr>
        <w:pStyle w:val="Normal"/>
        <w:spacing w:before="120" w:beforeAutospacing="off" w:after="120" w:afterAutospacing="off"/>
        <w:jc w:val="left"/>
      </w:pPr>
    </w:p>
    <w:p w:rsidR="40BC8ED5" w:rsidP="40BC8ED5" w:rsidRDefault="40BC8ED5" w14:paraId="5A5869D3" w14:textId="43CA23B0">
      <w:pPr>
        <w:pStyle w:val="Normal"/>
        <w:spacing w:before="120" w:beforeAutospacing="off" w:after="120" w:afterAutospacing="off"/>
        <w:jc w:val="left"/>
      </w:pPr>
    </w:p>
    <w:p w:rsidR="40BC8ED5" w:rsidP="40BC8ED5" w:rsidRDefault="40BC8ED5" w14:paraId="5A33A712" w14:textId="14B34227">
      <w:pPr>
        <w:pStyle w:val="Normal"/>
        <w:spacing w:before="120" w:beforeAutospacing="off" w:after="120" w:afterAutospacing="off"/>
        <w:jc w:val="left"/>
      </w:pPr>
    </w:p>
    <w:p w:rsidR="40BC8ED5" w:rsidP="40BC8ED5" w:rsidRDefault="40BC8ED5" w14:paraId="244BF8BC" w14:textId="7398858E">
      <w:pPr>
        <w:pStyle w:val="Normal"/>
        <w:spacing w:before="120" w:beforeAutospacing="off" w:after="120" w:afterAutospacing="off"/>
        <w:jc w:val="left"/>
      </w:pPr>
    </w:p>
    <w:p w:rsidR="40BC8ED5" w:rsidP="40BC8ED5" w:rsidRDefault="40BC8ED5" w14:paraId="4BA91BF0" w14:textId="14FBF19C">
      <w:pPr>
        <w:spacing w:before="120" w:beforeAutospacing="off" w:after="120" w:afterAutospacing="off"/>
        <w:jc w:val="left"/>
      </w:pPr>
    </w:p>
    <w:p w:rsidR="40BC8ED5" w:rsidP="40BC8ED5" w:rsidRDefault="40BC8ED5" w14:paraId="53E280F0" w14:textId="3D0641A3">
      <w:pPr>
        <w:spacing w:before="120" w:beforeAutospacing="off" w:after="120" w:afterAutospacing="off"/>
        <w:jc w:val="left"/>
      </w:pPr>
    </w:p>
    <w:p w:rsidR="40BC8ED5" w:rsidP="40BC8ED5" w:rsidRDefault="40BC8ED5" w14:paraId="28572EF2" w14:textId="40EB820A">
      <w:pPr>
        <w:spacing w:before="120" w:beforeAutospacing="off" w:after="120" w:afterAutospacing="off"/>
        <w:jc w:val="left"/>
      </w:pPr>
    </w:p>
    <w:p w:rsidR="40BC8ED5" w:rsidP="40BC8ED5" w:rsidRDefault="40BC8ED5" w14:paraId="03D28EDC" w14:textId="23A9911E">
      <w:pPr>
        <w:spacing w:before="120" w:beforeAutospacing="off" w:after="120" w:afterAutospacing="off"/>
        <w:jc w:val="left"/>
      </w:pPr>
    </w:p>
    <w:p w:rsidR="40BC8ED5" w:rsidRDefault="40BC8ED5" w14:paraId="176C834D" w14:textId="5929600D"/>
    <w:sectPr>
      <w:pgSz w:w="11906" w:h="16838" w:orient="portrait"/>
      <w:pgMar w:top="1440" w:right="1440" w:bottom="1440" w:left="1440" w:header="720" w:footer="720" w:gutter="0"/>
      <w:cols w:space="720"/>
      <w:docGrid w:linePitch="360"/>
      <w:headerReference w:type="default" r:id="R08fdd726beeb4982"/>
      <w:footerReference w:type="default" r:id="R09a93766113a48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89405C8" w:rsidTr="489405C8" w14:paraId="3BE25E5D">
      <w:trPr>
        <w:trHeight w:val="300"/>
      </w:trPr>
      <w:tc>
        <w:tcPr>
          <w:tcW w:w="3005" w:type="dxa"/>
          <w:tcMar/>
        </w:tcPr>
        <w:p w:rsidR="489405C8" w:rsidP="489405C8" w:rsidRDefault="489405C8" w14:paraId="0D6FC74F" w14:textId="259A3826">
          <w:pPr>
            <w:pStyle w:val="Header"/>
            <w:bidi w:val="0"/>
            <w:ind w:left="-115"/>
            <w:jc w:val="left"/>
          </w:pPr>
        </w:p>
      </w:tc>
      <w:tc>
        <w:tcPr>
          <w:tcW w:w="3005" w:type="dxa"/>
          <w:tcMar/>
        </w:tcPr>
        <w:p w:rsidR="489405C8" w:rsidP="489405C8" w:rsidRDefault="489405C8" w14:paraId="4837A54D" w14:textId="4822ED98">
          <w:pPr>
            <w:pStyle w:val="Header"/>
            <w:bidi w:val="0"/>
            <w:jc w:val="center"/>
          </w:pPr>
        </w:p>
      </w:tc>
      <w:tc>
        <w:tcPr>
          <w:tcW w:w="3005" w:type="dxa"/>
          <w:tcMar/>
        </w:tcPr>
        <w:p w:rsidR="489405C8" w:rsidP="489405C8" w:rsidRDefault="489405C8" w14:paraId="7DF41C8A" w14:textId="11C5833A">
          <w:pPr>
            <w:pStyle w:val="Header"/>
            <w:bidi w:val="0"/>
            <w:ind w:right="-115"/>
            <w:jc w:val="right"/>
          </w:pPr>
        </w:p>
      </w:tc>
    </w:tr>
  </w:tbl>
  <w:p w:rsidR="489405C8" w:rsidP="489405C8" w:rsidRDefault="489405C8" w14:paraId="6497DA66" w14:textId="63CDBA8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89405C8" w:rsidTr="489405C8" w14:paraId="4C5CEC53">
      <w:trPr>
        <w:trHeight w:val="300"/>
      </w:trPr>
      <w:tc>
        <w:tcPr>
          <w:tcW w:w="3005" w:type="dxa"/>
          <w:tcMar/>
        </w:tcPr>
        <w:p w:rsidR="489405C8" w:rsidP="489405C8" w:rsidRDefault="489405C8" w14:paraId="49AEC024" w14:textId="7E9D673B">
          <w:pPr>
            <w:pStyle w:val="Header"/>
            <w:bidi w:val="0"/>
            <w:ind w:left="-115"/>
            <w:jc w:val="left"/>
          </w:pPr>
          <w:r w:rsidR="489405C8">
            <w:rPr/>
            <w:t>BMSP4017</w:t>
          </w:r>
        </w:p>
      </w:tc>
      <w:tc>
        <w:tcPr>
          <w:tcW w:w="3005" w:type="dxa"/>
          <w:tcMar/>
        </w:tcPr>
        <w:p w:rsidR="489405C8" w:rsidP="489405C8" w:rsidRDefault="489405C8" w14:paraId="05C607A0" w14:textId="252E6265">
          <w:pPr>
            <w:pStyle w:val="Header"/>
            <w:bidi w:val="0"/>
            <w:jc w:val="center"/>
          </w:pPr>
        </w:p>
      </w:tc>
      <w:tc>
        <w:tcPr>
          <w:tcW w:w="3005" w:type="dxa"/>
          <w:tcMar/>
        </w:tcPr>
        <w:p w:rsidR="489405C8" w:rsidP="489405C8" w:rsidRDefault="489405C8" w14:paraId="1361FD15" w14:textId="6B69BC4B">
          <w:pPr>
            <w:pStyle w:val="Header"/>
            <w:bidi w:val="0"/>
            <w:ind w:right="-115"/>
            <w:jc w:val="right"/>
          </w:pPr>
          <w:r w:rsidR="489405C8">
            <w:rPr/>
            <w:t>Sophie Walters</w:t>
          </w:r>
        </w:p>
      </w:tc>
    </w:tr>
  </w:tbl>
  <w:p w:rsidR="489405C8" w:rsidP="489405C8" w:rsidRDefault="489405C8" w14:paraId="23113DFA" w14:textId="04EA6FF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E764B1"/>
    <w:rsid w:val="016EB365"/>
    <w:rsid w:val="03DD768E"/>
    <w:rsid w:val="05E4190E"/>
    <w:rsid w:val="080C95B7"/>
    <w:rsid w:val="0A8D8187"/>
    <w:rsid w:val="0BB4FD24"/>
    <w:rsid w:val="0E51D37B"/>
    <w:rsid w:val="1062D11B"/>
    <w:rsid w:val="114690BD"/>
    <w:rsid w:val="1155E221"/>
    <w:rsid w:val="12F38F9C"/>
    <w:rsid w:val="133FEDDF"/>
    <w:rsid w:val="1503CD5D"/>
    <w:rsid w:val="175BA27A"/>
    <w:rsid w:val="187A3B5C"/>
    <w:rsid w:val="18E1C82F"/>
    <w:rsid w:val="1BAC1C66"/>
    <w:rsid w:val="1E2B30DC"/>
    <w:rsid w:val="21603787"/>
    <w:rsid w:val="226AC89B"/>
    <w:rsid w:val="235D29C5"/>
    <w:rsid w:val="23D174CD"/>
    <w:rsid w:val="26E764B1"/>
    <w:rsid w:val="290ADD3D"/>
    <w:rsid w:val="2A39835A"/>
    <w:rsid w:val="2C118FFA"/>
    <w:rsid w:val="2D79654E"/>
    <w:rsid w:val="2E6A9E2A"/>
    <w:rsid w:val="3118F0D0"/>
    <w:rsid w:val="315113C7"/>
    <w:rsid w:val="3151C342"/>
    <w:rsid w:val="34E6EC57"/>
    <w:rsid w:val="3509B13D"/>
    <w:rsid w:val="3CD52D82"/>
    <w:rsid w:val="3DCFB801"/>
    <w:rsid w:val="3E6C7E19"/>
    <w:rsid w:val="40BC8ED5"/>
    <w:rsid w:val="474FCB9F"/>
    <w:rsid w:val="489405C8"/>
    <w:rsid w:val="4ACB4F16"/>
    <w:rsid w:val="4E4C78C5"/>
    <w:rsid w:val="4EB4E2C0"/>
    <w:rsid w:val="4EFBE3E3"/>
    <w:rsid w:val="50F3C411"/>
    <w:rsid w:val="5318F610"/>
    <w:rsid w:val="536FDFD1"/>
    <w:rsid w:val="548B6225"/>
    <w:rsid w:val="5830D2CC"/>
    <w:rsid w:val="58DC56A0"/>
    <w:rsid w:val="59021F0C"/>
    <w:rsid w:val="5A0B1782"/>
    <w:rsid w:val="5A726051"/>
    <w:rsid w:val="5BA5127D"/>
    <w:rsid w:val="5CBFDCDF"/>
    <w:rsid w:val="5CDE1011"/>
    <w:rsid w:val="5DD843AF"/>
    <w:rsid w:val="6166EC51"/>
    <w:rsid w:val="62712EFF"/>
    <w:rsid w:val="63697E36"/>
    <w:rsid w:val="65895902"/>
    <w:rsid w:val="65BF69C4"/>
    <w:rsid w:val="663D0DB7"/>
    <w:rsid w:val="67731CC0"/>
    <w:rsid w:val="69528EE0"/>
    <w:rsid w:val="69FCA4AE"/>
    <w:rsid w:val="6A7095F2"/>
    <w:rsid w:val="6C0A6F27"/>
    <w:rsid w:val="6C52A5DF"/>
    <w:rsid w:val="6CD5DC3F"/>
    <w:rsid w:val="6D73177C"/>
    <w:rsid w:val="6DDA337E"/>
    <w:rsid w:val="70079148"/>
    <w:rsid w:val="7137A891"/>
    <w:rsid w:val="72827F83"/>
    <w:rsid w:val="72C8ED7B"/>
    <w:rsid w:val="73D1E2CD"/>
    <w:rsid w:val="73DF473B"/>
    <w:rsid w:val="74B31996"/>
    <w:rsid w:val="7684ECFF"/>
    <w:rsid w:val="7B23B94B"/>
    <w:rsid w:val="7B919D8B"/>
    <w:rsid w:val="7BB22C62"/>
    <w:rsid w:val="7BB98E4A"/>
    <w:rsid w:val="7CABE5B1"/>
    <w:rsid w:val="7D67B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764B1"/>
  <w15:chartTrackingRefBased/>
  <w15:docId w15:val="{7EB5F89F-9018-495E-9A59-C22EE2C6F8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89405C8"/>
    <w:pPr>
      <w:tabs>
        <w:tab w:val="center" w:leader="none" w:pos="4680"/>
        <w:tab w:val="right" w:leader="none" w:pos="9360"/>
      </w:tabs>
      <w:spacing w:after="0" w:line="240" w:lineRule="auto"/>
    </w:pPr>
  </w:style>
  <w:style w:type="paragraph" w:styleId="Footer">
    <w:uiPriority w:val="99"/>
    <w:name w:val="footer"/>
    <w:basedOn w:val="Normal"/>
    <w:unhideWhenUsed/>
    <w:rsid w:val="489405C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0BC8ED5"/>
    <w:rPr>
      <w:color w:val="467886"/>
      <w:u w:val="single"/>
    </w:rPr>
  </w:style>
  <w:style w:type="paragraph" w:styleId="Heading1">
    <w:uiPriority w:val="9"/>
    <w:name w:val="heading 1"/>
    <w:basedOn w:val="Normal"/>
    <w:next w:val="Normal"/>
    <w:qFormat/>
    <w:rsid w:val="40BC8ED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40BC8ED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8fdd726beeb4982" /><Relationship Type="http://schemas.openxmlformats.org/officeDocument/2006/relationships/footer" Target="/word/footer.xml" Id="R09a93766113a48c6" /><Relationship Type="http://schemas.openxmlformats.org/officeDocument/2006/relationships/hyperlink" Target="https://www.nintendo.co.jp/ir/pdf/2020/annual2003e.pdf" TargetMode="External" Id="Rb9515f85bf084e4b" /><Relationship Type="http://schemas.openxmlformats.org/officeDocument/2006/relationships/hyperlink" Target="https://www.nintendo.co.jp/ir/en/library/annual/index.html" TargetMode="External" Id="R264abc31575141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Walters (2517510)</dc:creator>
  <keywords/>
  <dc:description/>
  <lastModifiedBy>Sophie Walters (2517510)</lastModifiedBy>
  <revision>4</revision>
  <dcterms:created xsi:type="dcterms:W3CDTF">2026-03-09T14:43:05.8007506Z</dcterms:created>
  <dcterms:modified xsi:type="dcterms:W3CDTF">2026-04-20T13:12:38.1069727Z</dcterms:modified>
</coreProperties>
</file>