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9FA29A" w14:textId="5BA743E7" w:rsidR="007303CD" w:rsidRDefault="008D3897">
      <w:pPr>
        <w:spacing w:line="360" w:lineRule="auto"/>
        <w:jc w:val="center"/>
        <w:rPr>
          <w:rFonts w:ascii="Aptos" w:hAnsi="Aptos" w:cs="Arial"/>
          <w:b/>
          <w:bCs/>
          <w:sz w:val="28"/>
          <w:szCs w:val="28"/>
        </w:rPr>
      </w:pPr>
      <w:r>
        <w:rPr>
          <w:noProof/>
        </w:rPr>
        <w:drawing>
          <wp:anchor distT="0" distB="0" distL="114300" distR="114300" simplePos="0" relativeHeight="251658240" behindDoc="0" locked="0" layoutInCell="1" allowOverlap="1" wp14:anchorId="571EF496" wp14:editId="3AE4D833">
            <wp:simplePos x="0" y="0"/>
            <wp:positionH relativeFrom="margin">
              <wp:align>center</wp:align>
            </wp:positionH>
            <wp:positionV relativeFrom="paragraph">
              <wp:posOffset>-347754</wp:posOffset>
            </wp:positionV>
            <wp:extent cx="2516505" cy="1383030"/>
            <wp:effectExtent l="0" t="0" r="0" b="7620"/>
            <wp:wrapNone/>
            <wp:docPr id="1500275575"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6505" cy="1383030"/>
                    </a:xfrm>
                    <a:prstGeom prst="rect">
                      <a:avLst/>
                    </a:prstGeom>
                    <a:noFill/>
                    <a:ln>
                      <a:noFill/>
                    </a:ln>
                  </pic:spPr>
                </pic:pic>
              </a:graphicData>
            </a:graphic>
          </wp:anchor>
        </w:drawing>
      </w:r>
    </w:p>
    <w:p w14:paraId="702DE3CE" w14:textId="1F74E2D5" w:rsidR="007303CD" w:rsidRDefault="007303CD">
      <w:pPr>
        <w:spacing w:line="360" w:lineRule="auto"/>
        <w:jc w:val="center"/>
        <w:rPr>
          <w:rFonts w:ascii="Aptos" w:hAnsi="Aptos" w:cs="Arial"/>
          <w:b/>
          <w:bCs/>
          <w:sz w:val="28"/>
          <w:szCs w:val="28"/>
        </w:rPr>
      </w:pPr>
    </w:p>
    <w:p w14:paraId="2B894B66" w14:textId="77777777" w:rsidR="007303CD" w:rsidRPr="006221BE" w:rsidRDefault="007303CD">
      <w:pPr>
        <w:spacing w:line="360" w:lineRule="auto"/>
        <w:jc w:val="center"/>
        <w:rPr>
          <w:rFonts w:ascii="Arial" w:hAnsi="Arial" w:cs="Arial"/>
          <w:b/>
          <w:bCs/>
          <w:sz w:val="22"/>
        </w:rPr>
      </w:pPr>
    </w:p>
    <w:p w14:paraId="4D1E61BE" w14:textId="77777777" w:rsidR="007303CD" w:rsidRPr="006221BE" w:rsidRDefault="00000000">
      <w:pPr>
        <w:spacing w:line="360" w:lineRule="auto"/>
        <w:jc w:val="center"/>
        <w:rPr>
          <w:rFonts w:ascii="Arial" w:hAnsi="Arial" w:cs="Arial"/>
          <w:b/>
          <w:bCs/>
          <w:sz w:val="22"/>
        </w:rPr>
      </w:pPr>
      <w:r w:rsidRPr="006221BE">
        <w:rPr>
          <w:rFonts w:ascii="Arial" w:hAnsi="Arial" w:cs="Arial"/>
          <w:b/>
          <w:bCs/>
          <w:sz w:val="22"/>
        </w:rPr>
        <w:t>Course: BSc (Hons) Health and Social Care</w:t>
      </w:r>
    </w:p>
    <w:p w14:paraId="2198A020" w14:textId="2537A689" w:rsidR="007303CD" w:rsidRPr="006221BE" w:rsidRDefault="00000000">
      <w:pPr>
        <w:spacing w:line="360" w:lineRule="auto"/>
        <w:jc w:val="center"/>
        <w:rPr>
          <w:rFonts w:ascii="Arial" w:hAnsi="Arial" w:cs="Arial"/>
          <w:b/>
          <w:bCs/>
          <w:sz w:val="22"/>
        </w:rPr>
      </w:pPr>
      <w:r w:rsidRPr="006221BE">
        <w:rPr>
          <w:rFonts w:ascii="Arial" w:hAnsi="Arial" w:cs="Arial"/>
          <w:b/>
          <w:bCs/>
          <w:sz w:val="22"/>
        </w:rPr>
        <w:t>Module: Independent Project (BMHP6020_BIRM)</w:t>
      </w:r>
    </w:p>
    <w:p w14:paraId="7743A6E4" w14:textId="50E77CB0" w:rsidR="007303CD" w:rsidRPr="006221BE" w:rsidRDefault="007303CD">
      <w:pPr>
        <w:spacing w:line="360" w:lineRule="auto"/>
        <w:jc w:val="center"/>
        <w:rPr>
          <w:rFonts w:ascii="Arial" w:hAnsi="Arial" w:cs="Arial"/>
          <w:sz w:val="22"/>
        </w:rPr>
      </w:pPr>
    </w:p>
    <w:p w14:paraId="79666CAA" w14:textId="36F1CF8F" w:rsidR="007303CD" w:rsidRPr="006221BE" w:rsidRDefault="00000000">
      <w:pPr>
        <w:spacing w:line="360" w:lineRule="auto"/>
        <w:jc w:val="center"/>
        <w:rPr>
          <w:rFonts w:ascii="Arial" w:hAnsi="Arial" w:cs="Arial"/>
          <w:b/>
          <w:bCs/>
          <w:sz w:val="22"/>
        </w:rPr>
      </w:pPr>
      <w:r w:rsidRPr="006221BE">
        <w:rPr>
          <w:rFonts w:ascii="Arial" w:hAnsi="Arial" w:cs="Arial"/>
          <w:b/>
          <w:bCs/>
          <w:sz w:val="22"/>
        </w:rPr>
        <w:t xml:space="preserve">Component 1: </w:t>
      </w:r>
      <w:r w:rsidRPr="006221BE">
        <w:rPr>
          <w:rFonts w:ascii="Arial" w:hAnsi="Arial" w:cs="Arial"/>
          <w:sz w:val="22"/>
        </w:rPr>
        <w:t xml:space="preserve">Element 1 - Project Proposal </w:t>
      </w:r>
    </w:p>
    <w:p w14:paraId="6963AF11" w14:textId="50C74CC4" w:rsidR="007303CD" w:rsidRPr="006221BE" w:rsidRDefault="007303CD">
      <w:pPr>
        <w:spacing w:line="360" w:lineRule="auto"/>
        <w:rPr>
          <w:rFonts w:ascii="Arial" w:hAnsi="Arial" w:cs="Arial"/>
          <w:sz w:val="22"/>
        </w:rPr>
      </w:pPr>
    </w:p>
    <w:p w14:paraId="303FFC03" w14:textId="4FB9B092" w:rsidR="007303CD" w:rsidRPr="006221BE" w:rsidRDefault="007303CD">
      <w:pPr>
        <w:spacing w:line="360" w:lineRule="auto"/>
        <w:rPr>
          <w:rFonts w:ascii="Arial" w:hAnsi="Arial" w:cs="Arial"/>
          <w:sz w:val="22"/>
        </w:rPr>
      </w:pPr>
    </w:p>
    <w:p w14:paraId="21B3DAF4" w14:textId="49CA76DE" w:rsidR="007303CD" w:rsidRPr="006221BE" w:rsidRDefault="00000000" w:rsidP="008D3897">
      <w:pPr>
        <w:spacing w:line="360" w:lineRule="auto"/>
        <w:jc w:val="center"/>
        <w:rPr>
          <w:rFonts w:ascii="Arial" w:hAnsi="Arial" w:cs="Arial"/>
          <w:sz w:val="22"/>
        </w:rPr>
      </w:pPr>
      <w:r w:rsidRPr="006221BE">
        <w:rPr>
          <w:rFonts w:ascii="Arial" w:hAnsi="Arial" w:cs="Arial"/>
          <w:b/>
          <w:bCs/>
          <w:sz w:val="22"/>
        </w:rPr>
        <w:t>Student ID</w:t>
      </w:r>
      <w:r w:rsidRPr="006221BE">
        <w:rPr>
          <w:rFonts w:ascii="Arial" w:hAnsi="Arial" w:cs="Arial"/>
          <w:sz w:val="22"/>
        </w:rPr>
        <w:t>: 2323101</w:t>
      </w:r>
    </w:p>
    <w:p w14:paraId="0BE390A5" w14:textId="33A4E95D" w:rsidR="007303CD" w:rsidRPr="006221BE" w:rsidRDefault="007303CD" w:rsidP="008D3897">
      <w:pPr>
        <w:spacing w:line="360" w:lineRule="auto"/>
        <w:jc w:val="center"/>
        <w:rPr>
          <w:rFonts w:ascii="Arial" w:hAnsi="Arial" w:cs="Arial"/>
          <w:sz w:val="22"/>
        </w:rPr>
      </w:pPr>
    </w:p>
    <w:p w14:paraId="3430C0CA" w14:textId="09098E5A" w:rsidR="007303CD" w:rsidRDefault="00000000" w:rsidP="008D3897">
      <w:pPr>
        <w:spacing w:line="360" w:lineRule="auto"/>
        <w:jc w:val="center"/>
        <w:rPr>
          <w:rFonts w:ascii="Arial" w:hAnsi="Arial" w:cs="Arial"/>
          <w:sz w:val="22"/>
        </w:rPr>
      </w:pPr>
      <w:r w:rsidRPr="006221BE">
        <w:rPr>
          <w:rFonts w:ascii="Arial" w:hAnsi="Arial" w:cs="Arial"/>
          <w:b/>
          <w:bCs/>
          <w:sz w:val="22"/>
        </w:rPr>
        <w:t>Student Name</w:t>
      </w:r>
      <w:r w:rsidRPr="006221BE">
        <w:rPr>
          <w:rFonts w:ascii="Arial" w:hAnsi="Arial" w:cs="Arial"/>
          <w:sz w:val="22"/>
        </w:rPr>
        <w:t>: Mercy Nyarkoa Quist Anane</w:t>
      </w:r>
    </w:p>
    <w:p w14:paraId="310DF7B0" w14:textId="5688E357" w:rsidR="008D3897" w:rsidRPr="006221BE" w:rsidRDefault="008D3897">
      <w:pPr>
        <w:spacing w:line="360" w:lineRule="auto"/>
        <w:rPr>
          <w:rFonts w:ascii="Arial" w:hAnsi="Arial" w:cs="Arial"/>
          <w:sz w:val="22"/>
        </w:rPr>
      </w:pPr>
    </w:p>
    <w:p w14:paraId="4D60DDB9" w14:textId="77777777" w:rsidR="007303CD" w:rsidRPr="006221BE" w:rsidRDefault="007303CD">
      <w:pPr>
        <w:spacing w:line="360" w:lineRule="auto"/>
        <w:rPr>
          <w:rFonts w:ascii="Arial" w:hAnsi="Arial" w:cs="Arial"/>
          <w:sz w:val="22"/>
        </w:rPr>
      </w:pPr>
    </w:p>
    <w:p w14:paraId="1826E1F8" w14:textId="77777777" w:rsidR="007303CD" w:rsidRPr="006221BE" w:rsidRDefault="007303CD">
      <w:pPr>
        <w:spacing w:line="360" w:lineRule="auto"/>
        <w:rPr>
          <w:rFonts w:ascii="Arial" w:hAnsi="Arial" w:cs="Arial"/>
          <w:sz w:val="22"/>
        </w:rPr>
      </w:pPr>
    </w:p>
    <w:p w14:paraId="26B79FD1" w14:textId="77777777" w:rsidR="007303CD" w:rsidRPr="006221BE" w:rsidRDefault="00000000">
      <w:pPr>
        <w:spacing w:line="360" w:lineRule="auto"/>
        <w:rPr>
          <w:rFonts w:ascii="Arial" w:hAnsi="Arial" w:cs="Arial"/>
          <w:sz w:val="22"/>
        </w:rPr>
      </w:pPr>
      <w:r w:rsidRPr="006221BE">
        <w:rPr>
          <w:rFonts w:ascii="Arial" w:hAnsi="Arial" w:cs="Arial"/>
          <w:sz w:val="22"/>
        </w:rPr>
        <w:br w:type="page"/>
      </w:r>
    </w:p>
    <w:p w14:paraId="6D7ADBA8" w14:textId="77777777" w:rsidR="007303CD" w:rsidRPr="00D3195A" w:rsidRDefault="00000000" w:rsidP="00D3195A">
      <w:pPr>
        <w:pStyle w:val="Heading1"/>
      </w:pPr>
      <w:r w:rsidRPr="00D3195A">
        <w:lastRenderedPageBreak/>
        <w:t>Element 1 - Project Proposal</w:t>
      </w:r>
    </w:p>
    <w:p w14:paraId="1D49A7DB" w14:textId="77777777" w:rsidR="007303CD" w:rsidRPr="00D3195A" w:rsidRDefault="007303CD">
      <w:pPr>
        <w:rPr>
          <w:rFonts w:ascii="Arial" w:hAnsi="Arial" w:cs="Arial"/>
          <w:bCs/>
          <w:sz w:val="22"/>
        </w:rPr>
      </w:pPr>
    </w:p>
    <w:p w14:paraId="2DB93EB9" w14:textId="7E9E6223" w:rsidR="007303CD" w:rsidRPr="00D3195A" w:rsidRDefault="00000000">
      <w:pPr>
        <w:pStyle w:val="Heading2"/>
        <w:rPr>
          <w:b w:val="0"/>
          <w:i w:val="0"/>
          <w:sz w:val="22"/>
          <w:szCs w:val="22"/>
        </w:rPr>
      </w:pPr>
      <w:r w:rsidRPr="00D3195A">
        <w:rPr>
          <w:b w:val="0"/>
          <w:i w:val="0"/>
          <w:sz w:val="22"/>
          <w:szCs w:val="22"/>
        </w:rPr>
        <w:t>My project title: An Exploration of Panic Attacks in the U</w:t>
      </w:r>
      <w:r w:rsidR="00156540" w:rsidRPr="00D3195A">
        <w:rPr>
          <w:b w:val="0"/>
          <w:i w:val="0"/>
          <w:sz w:val="22"/>
          <w:szCs w:val="22"/>
        </w:rPr>
        <w:t>K:</w:t>
      </w:r>
      <w:r w:rsidRPr="00D3195A">
        <w:rPr>
          <w:b w:val="0"/>
          <w:i w:val="0"/>
          <w:sz w:val="22"/>
          <w:szCs w:val="22"/>
        </w:rPr>
        <w:t xml:space="preserve"> Prevalence, Triggers, and What Support People Actually Need</w:t>
      </w:r>
    </w:p>
    <w:p w14:paraId="5474A6FB" w14:textId="50651FAB" w:rsidR="00D3195A" w:rsidRDefault="00D3195A" w:rsidP="00D3195A">
      <w:pPr>
        <w:spacing w:line="360" w:lineRule="auto"/>
        <w:rPr>
          <w:rFonts w:ascii="Arial" w:eastAsiaTheme="majorEastAsia" w:hAnsi="Arial" w:cs="Arial"/>
          <w:bCs/>
          <w:sz w:val="22"/>
        </w:rPr>
      </w:pPr>
      <w:r w:rsidRPr="00D3195A">
        <w:rPr>
          <w:rFonts w:ascii="Arial" w:eastAsiaTheme="majorEastAsia" w:hAnsi="Arial" w:cs="Arial"/>
          <w:bCs/>
          <w:sz w:val="22"/>
        </w:rPr>
        <w:br/>
        <w:t xml:space="preserve">My project title: “Panic attacks in the UK: prevalence, triggers and support required” </w:t>
      </w:r>
      <w:r w:rsidRPr="00D3195A">
        <w:rPr>
          <w:rFonts w:ascii="Arial" w:eastAsiaTheme="majorEastAsia" w:hAnsi="Arial" w:cs="Arial"/>
          <w:bCs/>
          <w:sz w:val="22"/>
        </w:rPr>
        <w:br/>
      </w:r>
      <w:r w:rsidRPr="00D3195A">
        <w:rPr>
          <w:rFonts w:ascii="Arial" w:eastAsiaTheme="majorEastAsia" w:hAnsi="Arial" w:cs="Arial"/>
          <w:bCs/>
          <w:sz w:val="22"/>
        </w:rPr>
        <w:br/>
      </w:r>
      <w:r w:rsidRPr="00D3195A">
        <w:rPr>
          <w:rFonts w:ascii="Arial" w:eastAsiaTheme="majorEastAsia" w:hAnsi="Arial" w:cs="Arial"/>
          <w:b/>
          <w:sz w:val="22"/>
        </w:rPr>
        <w:t>Objectives</w:t>
      </w:r>
      <w:r w:rsidRPr="00D3195A">
        <w:rPr>
          <w:rFonts w:ascii="Arial" w:eastAsiaTheme="majorEastAsia" w:hAnsi="Arial" w:cs="Arial"/>
          <w:bCs/>
          <w:sz w:val="22"/>
        </w:rPr>
        <w:t xml:space="preserve">: </w:t>
      </w:r>
      <w:r w:rsidRPr="00D3195A">
        <w:rPr>
          <w:rFonts w:ascii="Arial" w:eastAsiaTheme="majorEastAsia" w:hAnsi="Arial" w:cs="Arial"/>
          <w:bCs/>
          <w:sz w:val="22"/>
        </w:rPr>
        <w:br/>
        <w:t xml:space="preserve">This study aims to bring together current evidence about panic attacks in adults in the UK, including common triggers, the impact on day-to-day functioning and the effectiveness of existing support and treatment pathways. The review will not just describe what is there, but will critically examine disparities in access to services, variation in diagnosis and lacunae in guidance. The purpose is to provide targeted, evidence-based recommendations for improving care within health and social care settings. </w:t>
      </w:r>
      <w:r w:rsidRPr="00D3195A">
        <w:rPr>
          <w:rFonts w:ascii="Arial" w:eastAsiaTheme="majorEastAsia" w:hAnsi="Arial" w:cs="Arial"/>
          <w:bCs/>
          <w:sz w:val="22"/>
        </w:rPr>
        <w:br/>
      </w:r>
      <w:r w:rsidRPr="00D3195A">
        <w:rPr>
          <w:rFonts w:ascii="Arial" w:eastAsiaTheme="majorEastAsia" w:hAnsi="Arial" w:cs="Arial"/>
          <w:bCs/>
          <w:sz w:val="22"/>
        </w:rPr>
        <w:br/>
      </w:r>
      <w:r w:rsidRPr="00D3195A">
        <w:rPr>
          <w:rFonts w:ascii="Arial" w:eastAsiaTheme="majorEastAsia" w:hAnsi="Arial" w:cs="Arial"/>
          <w:b/>
          <w:sz w:val="22"/>
        </w:rPr>
        <w:t>Objectives</w:t>
      </w:r>
      <w:r w:rsidRPr="00D3195A">
        <w:rPr>
          <w:rFonts w:ascii="Arial" w:eastAsiaTheme="majorEastAsia" w:hAnsi="Arial" w:cs="Arial"/>
          <w:bCs/>
          <w:sz w:val="22"/>
        </w:rPr>
        <w:t>:</w:t>
      </w:r>
    </w:p>
    <w:p w14:paraId="017E0BC4" w14:textId="77777777" w:rsidR="00D3195A" w:rsidRDefault="00D3195A" w:rsidP="00D3195A">
      <w:pPr>
        <w:spacing w:line="360" w:lineRule="auto"/>
        <w:rPr>
          <w:rFonts w:ascii="Arial" w:eastAsiaTheme="majorEastAsia" w:hAnsi="Arial" w:cs="Arial"/>
          <w:b/>
          <w:sz w:val="22"/>
        </w:rPr>
      </w:pPr>
      <w:r w:rsidRPr="00D3195A">
        <w:rPr>
          <w:rFonts w:ascii="Arial" w:eastAsiaTheme="majorEastAsia" w:hAnsi="Arial" w:cs="Arial"/>
          <w:bCs/>
          <w:sz w:val="22"/>
        </w:rPr>
        <w:t xml:space="preserve"> • Distinguish between panic attacks, generalised anxiety disorder, phobias and medical problems with similar symptoms. Describe the clinical presentation of panic attacks and their different presentations in adults (NICE, 2020; APA, 2022). • Refer to peer reviewed literature, national surveys and policy documents for prevalence rates, triggers and wider psychosocial effects for different demographic groups of adults including age, gender and socio-economic status (McManus et al.,2023; NHS Digital, 2024). </w:t>
      </w:r>
      <w:r w:rsidRPr="00D3195A">
        <w:rPr>
          <w:rFonts w:ascii="Arial" w:eastAsiaTheme="majorEastAsia" w:hAnsi="Arial" w:cs="Arial"/>
          <w:bCs/>
          <w:sz w:val="22"/>
        </w:rPr>
        <w:br/>
        <w:t xml:space="preserve">• Critically appraise the evidence base for current interventions including cognitive behavioural therapy, pharmacotherapy and self-management approaches and evaluate the barriers to timely access such as waiting times, regional inequalities and stigma (Clark et al., 2022; DHSC, 2025) </w:t>
      </w:r>
      <w:r w:rsidRPr="00D3195A">
        <w:rPr>
          <w:rFonts w:ascii="Arial" w:eastAsiaTheme="majorEastAsia" w:hAnsi="Arial" w:cs="Arial"/>
          <w:bCs/>
          <w:sz w:val="22"/>
        </w:rPr>
        <w:br/>
        <w:t xml:space="preserve">• Develop recommendations for practitioners, service commissioners and providers to improve early recognition, person-centred response and equitable support for adults experiencing panic attacks (Royal College of Psychiatrists, 2023). </w:t>
      </w:r>
      <w:r w:rsidRPr="00D3195A">
        <w:rPr>
          <w:rFonts w:ascii="Arial" w:eastAsiaTheme="majorEastAsia" w:hAnsi="Arial" w:cs="Arial"/>
          <w:bCs/>
          <w:sz w:val="22"/>
        </w:rPr>
        <w:br/>
      </w:r>
      <w:r w:rsidRPr="00D3195A">
        <w:rPr>
          <w:rFonts w:ascii="Arial" w:eastAsiaTheme="majorEastAsia" w:hAnsi="Arial" w:cs="Arial"/>
          <w:bCs/>
          <w:sz w:val="22"/>
        </w:rPr>
        <w:br/>
      </w:r>
      <w:r w:rsidRPr="00D3195A">
        <w:rPr>
          <w:rFonts w:ascii="Arial" w:eastAsiaTheme="majorEastAsia" w:hAnsi="Arial" w:cs="Arial"/>
          <w:b/>
          <w:sz w:val="22"/>
        </w:rPr>
        <w:t>Background/Rationale:</w:t>
      </w:r>
      <w:r w:rsidRPr="00D3195A">
        <w:rPr>
          <w:rFonts w:ascii="Arial" w:eastAsiaTheme="majorEastAsia" w:hAnsi="Arial" w:cs="Arial"/>
          <w:bCs/>
          <w:sz w:val="22"/>
        </w:rPr>
        <w:t xml:space="preserve"> </w:t>
      </w:r>
      <w:r w:rsidRPr="00D3195A">
        <w:rPr>
          <w:rFonts w:ascii="Arial" w:eastAsiaTheme="majorEastAsia" w:hAnsi="Arial" w:cs="Arial"/>
          <w:bCs/>
          <w:sz w:val="22"/>
        </w:rPr>
        <w:br/>
        <w:t xml:space="preserve">Panic attacks are brief episodes of intense and frightening fear with physical symptoms including chest pain, palpitations, breathlessness and dizziness that are so dramatic they are often mistaken </w:t>
      </w:r>
      <w:r>
        <w:rPr>
          <w:rFonts w:ascii="Arial" w:eastAsiaTheme="majorEastAsia" w:hAnsi="Arial" w:cs="Arial"/>
          <w:bCs/>
          <w:sz w:val="22"/>
        </w:rPr>
        <w:t>for</w:t>
      </w:r>
      <w:r w:rsidRPr="00D3195A">
        <w:rPr>
          <w:rFonts w:ascii="Arial" w:eastAsiaTheme="majorEastAsia" w:hAnsi="Arial" w:cs="Arial"/>
          <w:bCs/>
          <w:sz w:val="22"/>
        </w:rPr>
        <w:t xml:space="preserve"> a cardiac or respiratory emergency (NICE, 2020; APA, 2022). </w:t>
      </w:r>
      <w:r w:rsidRPr="00D3195A">
        <w:rPr>
          <w:rFonts w:ascii="Arial" w:eastAsiaTheme="majorEastAsia" w:hAnsi="Arial" w:cs="Arial"/>
          <w:bCs/>
          <w:sz w:val="22"/>
        </w:rPr>
        <w:br/>
        <w:t>They are very misunderstood and very experienced. (McManus et al., 2023). Up to one in 10 adults experience panic attacks at times</w:t>
      </w:r>
      <w:r>
        <w:rPr>
          <w:rFonts w:ascii="Arial" w:eastAsiaTheme="majorEastAsia" w:hAnsi="Arial" w:cs="Arial"/>
          <w:bCs/>
          <w:sz w:val="22"/>
        </w:rPr>
        <w:t>,</w:t>
      </w:r>
      <w:r w:rsidRPr="00D3195A">
        <w:rPr>
          <w:rFonts w:ascii="Arial" w:eastAsiaTheme="majorEastAsia" w:hAnsi="Arial" w:cs="Arial"/>
          <w:bCs/>
          <w:sz w:val="22"/>
        </w:rPr>
        <w:t xml:space="preserve"> and 2 to 3% of the population develop a panic </w:t>
      </w:r>
      <w:r w:rsidRPr="00D3195A">
        <w:rPr>
          <w:rFonts w:ascii="Arial" w:eastAsiaTheme="majorEastAsia" w:hAnsi="Arial" w:cs="Arial"/>
          <w:bCs/>
          <w:sz w:val="22"/>
        </w:rPr>
        <w:lastRenderedPageBreak/>
        <w:t>disorder. However, research indicates that many people delay seeking help for months or years</w:t>
      </w:r>
      <w:r>
        <w:rPr>
          <w:rFonts w:ascii="Arial" w:eastAsiaTheme="majorEastAsia" w:hAnsi="Arial" w:cs="Arial"/>
          <w:bCs/>
          <w:sz w:val="22"/>
        </w:rPr>
        <w:t>,</w:t>
      </w:r>
      <w:r w:rsidRPr="00D3195A">
        <w:rPr>
          <w:rFonts w:ascii="Arial" w:eastAsiaTheme="majorEastAsia" w:hAnsi="Arial" w:cs="Arial"/>
          <w:bCs/>
          <w:sz w:val="22"/>
        </w:rPr>
        <w:t xml:space="preserve"> and a high percentage of patients encounter inconsistent or inappropriate care (Tyrer, 2021). </w:t>
      </w:r>
      <w:r w:rsidRPr="00D3195A">
        <w:rPr>
          <w:rFonts w:ascii="Arial" w:eastAsiaTheme="majorEastAsia" w:hAnsi="Arial" w:cs="Arial"/>
          <w:bCs/>
          <w:sz w:val="22"/>
        </w:rPr>
        <w:br/>
        <w:t xml:space="preserve">In recent years, the demand for mental health support has grown rapidly across the UK, but access to timely and evidence-based interventions remains inconsistent. Access varies by age and socio-economic status (NHS Digital, 2024) Panic attacks have been strongly associated with reduced employment participation, a reduced quality of life and strained relationships. They are also often living with physical health conditions over the longer term, creating a cycle of vulnerability and compounded disadvantage that reinforces itself (Clarks et al., 2022) </w:t>
      </w:r>
      <w:r w:rsidRPr="00D3195A">
        <w:rPr>
          <w:rFonts w:ascii="Arial" w:eastAsiaTheme="majorEastAsia" w:hAnsi="Arial" w:cs="Arial"/>
          <w:bCs/>
          <w:sz w:val="22"/>
        </w:rPr>
        <w:br/>
        <w:t xml:space="preserve">The key point however is that while individual studies have focused on particular aspects of panic – such as the effectiveness of treatment, or the experiences of patients – there are no recent reviews that bring these together to assess how well the UK’s health and social care systems are actually performing. And that is what this project will accomplish. It is more than a description of symptoms, it questions the accessibility, equity and effectiveness of the current provision. And. Systemic change is most urgently needed (Royal College of Psychiatrists, 2023). </w:t>
      </w:r>
      <w:r w:rsidRPr="00D3195A">
        <w:rPr>
          <w:rFonts w:ascii="Arial" w:eastAsiaTheme="majorEastAsia" w:hAnsi="Arial" w:cs="Arial"/>
          <w:bCs/>
          <w:sz w:val="22"/>
        </w:rPr>
        <w:br/>
      </w:r>
      <w:r w:rsidRPr="00D3195A">
        <w:rPr>
          <w:rFonts w:ascii="Arial" w:eastAsiaTheme="majorEastAsia" w:hAnsi="Arial" w:cs="Arial"/>
          <w:bCs/>
          <w:sz w:val="22"/>
        </w:rPr>
        <w:br/>
        <w:t xml:space="preserve">4) Methods: </w:t>
      </w:r>
      <w:r w:rsidRPr="00D3195A">
        <w:rPr>
          <w:rFonts w:ascii="Arial" w:eastAsiaTheme="majorEastAsia" w:hAnsi="Arial" w:cs="Arial"/>
          <w:bCs/>
          <w:sz w:val="22"/>
        </w:rPr>
        <w:br/>
        <w:t xml:space="preserve">Methodology: Secondary research – existing published evidence. The data didn’t sample any new people. </w:t>
      </w:r>
      <w:r w:rsidRPr="00D3195A">
        <w:rPr>
          <w:rFonts w:ascii="Arial" w:eastAsiaTheme="majorEastAsia" w:hAnsi="Arial" w:cs="Arial"/>
          <w:bCs/>
          <w:sz w:val="22"/>
        </w:rPr>
        <w:br/>
        <w:t xml:space="preserve">Databases and resources University library search, CINAHL, PubMed, PsycINFO, Google Scholar, NHS Digital and government publications. • Inclusion criteria for UK adult studies 2016-2026 Peer-reviewed publications Clinical guidelines and official reports • Analytical method: Thematic analysis: data read through, coded for key ideas and then grouped into clear themes such as • Who’s affected? </w:t>
      </w:r>
      <w:proofErr w:type="gramStart"/>
      <w:r w:rsidRPr="00D3195A">
        <w:rPr>
          <w:rFonts w:ascii="Arial" w:eastAsiaTheme="majorEastAsia" w:hAnsi="Arial" w:cs="Arial"/>
          <w:bCs/>
          <w:sz w:val="22"/>
        </w:rPr>
        <w:t>Prevalence .</w:t>
      </w:r>
      <w:proofErr w:type="gramEnd"/>
      <w:r w:rsidRPr="00D3195A">
        <w:rPr>
          <w:rFonts w:ascii="Arial" w:eastAsiaTheme="majorEastAsia" w:hAnsi="Arial" w:cs="Arial"/>
          <w:bCs/>
          <w:sz w:val="22"/>
        </w:rPr>
        <w:t xml:space="preserve"> • Shared classes • Ethical behaviour in daily life. </w:t>
      </w:r>
      <w:r w:rsidRPr="00D3195A">
        <w:rPr>
          <w:rFonts w:ascii="Arial" w:eastAsiaTheme="majorEastAsia" w:hAnsi="Arial" w:cs="Arial"/>
          <w:bCs/>
          <w:sz w:val="22"/>
        </w:rPr>
        <w:br/>
        <w:t xml:space="preserve">• What work does it support? And where it’s not • Ethics: No direct contact with people We do not collect data. All sources are anonymous and in the public domain. </w:t>
      </w:r>
      <w:r w:rsidRPr="00D3195A">
        <w:rPr>
          <w:rFonts w:ascii="Arial" w:eastAsiaTheme="majorEastAsia" w:hAnsi="Arial" w:cs="Arial"/>
          <w:bCs/>
          <w:sz w:val="22"/>
        </w:rPr>
        <w:br/>
      </w:r>
      <w:r w:rsidRPr="00D3195A">
        <w:rPr>
          <w:rFonts w:ascii="Arial" w:eastAsiaTheme="majorEastAsia" w:hAnsi="Arial" w:cs="Arial"/>
          <w:bCs/>
          <w:sz w:val="22"/>
        </w:rPr>
        <w:br/>
      </w:r>
      <w:r w:rsidRPr="00D3195A">
        <w:rPr>
          <w:rFonts w:ascii="Arial" w:eastAsiaTheme="majorEastAsia" w:hAnsi="Arial" w:cs="Arial"/>
          <w:bCs/>
          <w:sz w:val="22"/>
        </w:rPr>
        <w:br/>
      </w:r>
      <w:r w:rsidRPr="00D3195A">
        <w:rPr>
          <w:rFonts w:ascii="Arial" w:eastAsiaTheme="majorEastAsia" w:hAnsi="Arial" w:cs="Arial"/>
          <w:b/>
          <w:sz w:val="22"/>
        </w:rPr>
        <w:t>Resources:</w:t>
      </w:r>
      <w:r w:rsidRPr="00D3195A">
        <w:rPr>
          <w:rFonts w:ascii="Arial" w:eastAsiaTheme="majorEastAsia" w:hAnsi="Arial" w:cs="Arial"/>
          <w:bCs/>
          <w:sz w:val="22"/>
        </w:rPr>
        <w:t xml:space="preserve"> </w:t>
      </w:r>
      <w:r w:rsidRPr="00D3195A">
        <w:rPr>
          <w:rFonts w:ascii="Arial" w:eastAsiaTheme="majorEastAsia" w:hAnsi="Arial" w:cs="Arial"/>
          <w:bCs/>
          <w:sz w:val="22"/>
        </w:rPr>
        <w:br/>
        <w:t xml:space="preserve">CINAHL Google scholar Online databases PubMed PsycINFO </w:t>
      </w:r>
      <w:r w:rsidRPr="00D3195A">
        <w:rPr>
          <w:rFonts w:ascii="Arial" w:eastAsiaTheme="majorEastAsia" w:hAnsi="Arial" w:cs="Arial"/>
          <w:bCs/>
          <w:sz w:val="22"/>
        </w:rPr>
        <w:br/>
        <w:t xml:space="preserve">University library and government official sources. </w:t>
      </w:r>
      <w:r w:rsidRPr="00D3195A">
        <w:rPr>
          <w:rFonts w:ascii="Arial" w:eastAsiaTheme="majorEastAsia" w:hAnsi="Arial" w:cs="Arial"/>
          <w:bCs/>
          <w:sz w:val="22"/>
        </w:rPr>
        <w:br/>
        <w:t xml:space="preserve">Microsoft Word and writing and organising reference tools. </w:t>
      </w:r>
      <w:r w:rsidRPr="00D3195A">
        <w:rPr>
          <w:rFonts w:ascii="Arial" w:eastAsiaTheme="majorEastAsia" w:hAnsi="Arial" w:cs="Arial"/>
          <w:bCs/>
          <w:sz w:val="22"/>
        </w:rPr>
        <w:br/>
      </w:r>
      <w:r w:rsidRPr="00D3195A">
        <w:rPr>
          <w:rFonts w:ascii="Arial" w:eastAsiaTheme="majorEastAsia" w:hAnsi="Arial" w:cs="Arial"/>
          <w:bCs/>
          <w:sz w:val="22"/>
        </w:rPr>
        <w:br/>
        <w:t xml:space="preserve">6) Time frame </w:t>
      </w:r>
      <w:r w:rsidRPr="00D3195A">
        <w:rPr>
          <w:rFonts w:ascii="Arial" w:eastAsiaTheme="majorEastAsia" w:hAnsi="Arial" w:cs="Arial"/>
          <w:bCs/>
          <w:sz w:val="22"/>
        </w:rPr>
        <w:br/>
      </w:r>
      <w:r w:rsidRPr="00D3195A">
        <w:rPr>
          <w:rFonts w:ascii="Arial" w:eastAsiaTheme="majorEastAsia" w:hAnsi="Arial" w:cs="Arial"/>
          <w:bCs/>
          <w:sz w:val="22"/>
        </w:rPr>
        <w:lastRenderedPageBreak/>
        <w:t xml:space="preserve">1st-2nd week: Literature search, screening and selection of relevant sources </w:t>
      </w:r>
      <w:r w:rsidRPr="00D3195A">
        <w:rPr>
          <w:rFonts w:ascii="Arial" w:eastAsiaTheme="majorEastAsia" w:hAnsi="Arial" w:cs="Arial"/>
          <w:bCs/>
          <w:sz w:val="22"/>
        </w:rPr>
        <w:br/>
        <w:t xml:space="preserve">Week 3-4: Data extraction, critical appraisal of studies and thematic analysis of the findings. </w:t>
      </w:r>
      <w:r w:rsidRPr="00D3195A">
        <w:rPr>
          <w:rFonts w:ascii="Arial" w:eastAsiaTheme="majorEastAsia" w:hAnsi="Arial" w:cs="Arial"/>
          <w:bCs/>
          <w:sz w:val="22"/>
        </w:rPr>
        <w:br/>
        <w:t xml:space="preserve">Recommendations. Draft chapters. Weeks 5-6. Finishing touches. Quality check Last updated: 17 Oct 2026 </w:t>
      </w:r>
      <w:r w:rsidRPr="00D3195A">
        <w:rPr>
          <w:rFonts w:ascii="Arial" w:eastAsiaTheme="majorEastAsia" w:hAnsi="Arial" w:cs="Arial"/>
          <w:bCs/>
          <w:sz w:val="22"/>
        </w:rPr>
        <w:br/>
        <w:t xml:space="preserve">7) Self-reflection of researcher: strengths and challenges </w:t>
      </w:r>
      <w:r w:rsidRPr="00D3195A">
        <w:rPr>
          <w:rFonts w:ascii="Arial" w:eastAsiaTheme="majorEastAsia" w:hAnsi="Arial" w:cs="Arial"/>
          <w:bCs/>
          <w:sz w:val="22"/>
        </w:rPr>
        <w:br/>
        <w:t xml:space="preserve">I am very passionate about it. That’s my greatest strength.” I know this is a very important </w:t>
      </w:r>
      <w:proofErr w:type="gramStart"/>
      <w:r w:rsidRPr="00D3195A">
        <w:rPr>
          <w:rFonts w:ascii="Arial" w:eastAsiaTheme="majorEastAsia" w:hAnsi="Arial" w:cs="Arial"/>
          <w:bCs/>
          <w:sz w:val="22"/>
        </w:rPr>
        <w:t>thing</w:t>
      </w:r>
      <w:proofErr w:type="gramEnd"/>
      <w:r w:rsidRPr="00D3195A">
        <w:rPr>
          <w:rFonts w:ascii="Arial" w:eastAsiaTheme="majorEastAsia" w:hAnsi="Arial" w:cs="Arial"/>
          <w:bCs/>
          <w:sz w:val="22"/>
        </w:rPr>
        <w:t xml:space="preserve"> and I want to get it right. I’m worried. I think the academic part will be tough, like analysing studies, writing in a formal way. I am always open to learning and will ask for help when I need to get it right. </w:t>
      </w:r>
      <w:r w:rsidRPr="00D3195A">
        <w:rPr>
          <w:rFonts w:ascii="Arial" w:eastAsiaTheme="majorEastAsia" w:hAnsi="Arial" w:cs="Arial"/>
          <w:bCs/>
          <w:sz w:val="22"/>
        </w:rPr>
        <w:br/>
      </w:r>
      <w:r w:rsidRPr="00D3195A">
        <w:rPr>
          <w:rFonts w:ascii="Arial" w:eastAsiaTheme="majorEastAsia" w:hAnsi="Arial" w:cs="Arial"/>
          <w:bCs/>
          <w:sz w:val="22"/>
        </w:rPr>
        <w:br/>
      </w:r>
    </w:p>
    <w:p w14:paraId="27846E23" w14:textId="77777777" w:rsidR="00D3195A" w:rsidRDefault="00D3195A" w:rsidP="00D3195A">
      <w:pPr>
        <w:spacing w:line="360" w:lineRule="auto"/>
        <w:rPr>
          <w:rFonts w:ascii="Arial" w:eastAsiaTheme="majorEastAsia" w:hAnsi="Arial" w:cs="Arial"/>
          <w:b/>
          <w:sz w:val="22"/>
        </w:rPr>
      </w:pPr>
    </w:p>
    <w:p w14:paraId="79B26617" w14:textId="77777777" w:rsidR="00D3195A" w:rsidRDefault="00D3195A" w:rsidP="00D3195A">
      <w:pPr>
        <w:spacing w:line="360" w:lineRule="auto"/>
        <w:rPr>
          <w:rFonts w:ascii="Arial" w:eastAsiaTheme="majorEastAsia" w:hAnsi="Arial" w:cs="Arial"/>
          <w:b/>
          <w:sz w:val="22"/>
        </w:rPr>
      </w:pPr>
    </w:p>
    <w:p w14:paraId="3ABB9E7A" w14:textId="77777777" w:rsidR="00D3195A" w:rsidRDefault="00D3195A" w:rsidP="00D3195A">
      <w:pPr>
        <w:spacing w:line="360" w:lineRule="auto"/>
        <w:rPr>
          <w:rFonts w:ascii="Arial" w:eastAsiaTheme="majorEastAsia" w:hAnsi="Arial" w:cs="Arial"/>
          <w:b/>
          <w:sz w:val="22"/>
        </w:rPr>
      </w:pPr>
    </w:p>
    <w:p w14:paraId="15DF5007" w14:textId="77777777" w:rsidR="00D3195A" w:rsidRDefault="00D3195A" w:rsidP="00D3195A">
      <w:pPr>
        <w:spacing w:line="360" w:lineRule="auto"/>
        <w:rPr>
          <w:rFonts w:ascii="Arial" w:eastAsiaTheme="majorEastAsia" w:hAnsi="Arial" w:cs="Arial"/>
          <w:b/>
          <w:sz w:val="22"/>
        </w:rPr>
      </w:pPr>
    </w:p>
    <w:p w14:paraId="36C3A107" w14:textId="77777777" w:rsidR="00D3195A" w:rsidRDefault="00D3195A" w:rsidP="00D3195A">
      <w:pPr>
        <w:spacing w:line="360" w:lineRule="auto"/>
        <w:rPr>
          <w:rFonts w:ascii="Arial" w:eastAsiaTheme="majorEastAsia" w:hAnsi="Arial" w:cs="Arial"/>
          <w:b/>
          <w:sz w:val="22"/>
        </w:rPr>
      </w:pPr>
    </w:p>
    <w:p w14:paraId="0BE7D698" w14:textId="77777777" w:rsidR="00D3195A" w:rsidRDefault="00D3195A" w:rsidP="00D3195A">
      <w:pPr>
        <w:spacing w:line="360" w:lineRule="auto"/>
        <w:rPr>
          <w:rFonts w:ascii="Arial" w:eastAsiaTheme="majorEastAsia" w:hAnsi="Arial" w:cs="Arial"/>
          <w:b/>
          <w:sz w:val="22"/>
        </w:rPr>
      </w:pPr>
    </w:p>
    <w:p w14:paraId="6A92CF26" w14:textId="77777777" w:rsidR="00D3195A" w:rsidRDefault="00D3195A" w:rsidP="00D3195A">
      <w:pPr>
        <w:spacing w:line="360" w:lineRule="auto"/>
        <w:rPr>
          <w:rFonts w:ascii="Arial" w:eastAsiaTheme="majorEastAsia" w:hAnsi="Arial" w:cs="Arial"/>
          <w:b/>
          <w:sz w:val="22"/>
        </w:rPr>
      </w:pPr>
    </w:p>
    <w:p w14:paraId="35225484" w14:textId="77777777" w:rsidR="00D3195A" w:rsidRDefault="00D3195A" w:rsidP="00D3195A">
      <w:pPr>
        <w:spacing w:line="360" w:lineRule="auto"/>
        <w:rPr>
          <w:rFonts w:ascii="Arial" w:eastAsiaTheme="majorEastAsia" w:hAnsi="Arial" w:cs="Arial"/>
          <w:b/>
          <w:sz w:val="22"/>
        </w:rPr>
      </w:pPr>
    </w:p>
    <w:p w14:paraId="08D85A73" w14:textId="77777777" w:rsidR="00D3195A" w:rsidRDefault="00D3195A" w:rsidP="00D3195A">
      <w:pPr>
        <w:spacing w:line="360" w:lineRule="auto"/>
        <w:rPr>
          <w:rFonts w:ascii="Arial" w:eastAsiaTheme="majorEastAsia" w:hAnsi="Arial" w:cs="Arial"/>
          <w:b/>
          <w:sz w:val="22"/>
        </w:rPr>
      </w:pPr>
    </w:p>
    <w:p w14:paraId="38A17936" w14:textId="77777777" w:rsidR="00D3195A" w:rsidRDefault="00D3195A" w:rsidP="00D3195A">
      <w:pPr>
        <w:spacing w:line="360" w:lineRule="auto"/>
        <w:rPr>
          <w:rFonts w:ascii="Arial" w:eastAsiaTheme="majorEastAsia" w:hAnsi="Arial" w:cs="Arial"/>
          <w:b/>
          <w:sz w:val="22"/>
        </w:rPr>
      </w:pPr>
    </w:p>
    <w:p w14:paraId="7F0D85A9" w14:textId="77777777" w:rsidR="00D3195A" w:rsidRDefault="00D3195A" w:rsidP="00D3195A">
      <w:pPr>
        <w:spacing w:line="360" w:lineRule="auto"/>
        <w:rPr>
          <w:rFonts w:ascii="Arial" w:eastAsiaTheme="majorEastAsia" w:hAnsi="Arial" w:cs="Arial"/>
          <w:b/>
          <w:sz w:val="22"/>
        </w:rPr>
      </w:pPr>
    </w:p>
    <w:p w14:paraId="1D33B5BB" w14:textId="77777777" w:rsidR="00D3195A" w:rsidRDefault="00D3195A" w:rsidP="00D3195A">
      <w:pPr>
        <w:spacing w:line="360" w:lineRule="auto"/>
        <w:rPr>
          <w:rFonts w:ascii="Arial" w:eastAsiaTheme="majorEastAsia" w:hAnsi="Arial" w:cs="Arial"/>
          <w:b/>
          <w:sz w:val="22"/>
        </w:rPr>
      </w:pPr>
    </w:p>
    <w:p w14:paraId="2DDF0E8B" w14:textId="77777777" w:rsidR="00D3195A" w:rsidRDefault="00D3195A" w:rsidP="00D3195A">
      <w:pPr>
        <w:spacing w:line="360" w:lineRule="auto"/>
        <w:rPr>
          <w:rFonts w:ascii="Arial" w:eastAsiaTheme="majorEastAsia" w:hAnsi="Arial" w:cs="Arial"/>
          <w:b/>
          <w:sz w:val="22"/>
        </w:rPr>
      </w:pPr>
    </w:p>
    <w:p w14:paraId="19FB04E8" w14:textId="77777777" w:rsidR="00D3195A" w:rsidRDefault="00D3195A" w:rsidP="00D3195A">
      <w:pPr>
        <w:spacing w:line="360" w:lineRule="auto"/>
        <w:rPr>
          <w:rFonts w:ascii="Arial" w:eastAsiaTheme="majorEastAsia" w:hAnsi="Arial" w:cs="Arial"/>
          <w:b/>
          <w:sz w:val="22"/>
        </w:rPr>
      </w:pPr>
    </w:p>
    <w:p w14:paraId="3EE4F791" w14:textId="77777777" w:rsidR="00D3195A" w:rsidRDefault="00D3195A" w:rsidP="00D3195A">
      <w:pPr>
        <w:spacing w:line="360" w:lineRule="auto"/>
        <w:rPr>
          <w:rFonts w:ascii="Arial" w:eastAsiaTheme="majorEastAsia" w:hAnsi="Arial" w:cs="Arial"/>
          <w:b/>
          <w:sz w:val="22"/>
        </w:rPr>
      </w:pPr>
    </w:p>
    <w:p w14:paraId="4C8FFAB9" w14:textId="77777777" w:rsidR="00D3195A" w:rsidRDefault="00D3195A" w:rsidP="00D3195A">
      <w:pPr>
        <w:spacing w:line="360" w:lineRule="auto"/>
        <w:rPr>
          <w:rFonts w:ascii="Arial" w:eastAsiaTheme="majorEastAsia" w:hAnsi="Arial" w:cs="Arial"/>
          <w:b/>
          <w:sz w:val="22"/>
        </w:rPr>
      </w:pPr>
    </w:p>
    <w:p w14:paraId="6B80A2F2" w14:textId="77777777" w:rsidR="00D3195A" w:rsidRDefault="00D3195A" w:rsidP="00D3195A">
      <w:pPr>
        <w:spacing w:line="360" w:lineRule="auto"/>
        <w:rPr>
          <w:rFonts w:ascii="Arial" w:eastAsiaTheme="majorEastAsia" w:hAnsi="Arial" w:cs="Arial"/>
          <w:b/>
          <w:sz w:val="22"/>
        </w:rPr>
      </w:pPr>
    </w:p>
    <w:p w14:paraId="06F655B0" w14:textId="77777777" w:rsidR="00D3195A" w:rsidRDefault="00D3195A" w:rsidP="00D3195A">
      <w:pPr>
        <w:spacing w:line="360" w:lineRule="auto"/>
        <w:rPr>
          <w:rFonts w:ascii="Arial" w:eastAsiaTheme="majorEastAsia" w:hAnsi="Arial" w:cs="Arial"/>
          <w:b/>
          <w:sz w:val="22"/>
        </w:rPr>
      </w:pPr>
    </w:p>
    <w:p w14:paraId="04027B6B" w14:textId="77777777" w:rsidR="00D3195A" w:rsidRDefault="00D3195A" w:rsidP="00D3195A">
      <w:pPr>
        <w:spacing w:line="360" w:lineRule="auto"/>
        <w:rPr>
          <w:rFonts w:ascii="Arial" w:eastAsiaTheme="majorEastAsia" w:hAnsi="Arial" w:cs="Arial"/>
          <w:b/>
          <w:sz w:val="22"/>
        </w:rPr>
      </w:pPr>
    </w:p>
    <w:p w14:paraId="7653FC99" w14:textId="77777777" w:rsidR="00D3195A" w:rsidRDefault="00D3195A" w:rsidP="00D3195A">
      <w:pPr>
        <w:spacing w:line="360" w:lineRule="auto"/>
        <w:rPr>
          <w:rFonts w:ascii="Arial" w:eastAsiaTheme="majorEastAsia" w:hAnsi="Arial" w:cs="Arial"/>
          <w:bCs/>
          <w:sz w:val="22"/>
        </w:rPr>
      </w:pPr>
      <w:r w:rsidRPr="00D3195A">
        <w:rPr>
          <w:rFonts w:ascii="Arial" w:eastAsiaTheme="majorEastAsia" w:hAnsi="Arial" w:cs="Arial"/>
          <w:b/>
          <w:sz w:val="22"/>
        </w:rPr>
        <w:t xml:space="preserve">References </w:t>
      </w:r>
      <w:r w:rsidRPr="00D3195A">
        <w:rPr>
          <w:rFonts w:ascii="Arial" w:eastAsiaTheme="majorEastAsia" w:hAnsi="Arial" w:cs="Arial"/>
          <w:bCs/>
          <w:sz w:val="22"/>
        </w:rPr>
        <w:br/>
      </w:r>
      <w:r w:rsidRPr="00D3195A">
        <w:rPr>
          <w:rFonts w:ascii="Arial" w:eastAsiaTheme="majorEastAsia" w:hAnsi="Arial" w:cs="Arial"/>
          <w:bCs/>
          <w:sz w:val="22"/>
        </w:rPr>
        <w:br/>
      </w:r>
      <w:r w:rsidRPr="00D3195A">
        <w:rPr>
          <w:rFonts w:ascii="Arial" w:eastAsiaTheme="majorEastAsia" w:hAnsi="Arial" w:cs="Arial"/>
          <w:bCs/>
          <w:sz w:val="22"/>
        </w:rPr>
        <w:br/>
        <w:t>American Psychological Association. Panic disorder: Your most important questions answered. American Psychological Association.</w:t>
      </w:r>
    </w:p>
    <w:p w14:paraId="38FB6A6C" w14:textId="77777777" w:rsidR="00D3195A" w:rsidRDefault="00D3195A" w:rsidP="00D3195A">
      <w:pPr>
        <w:spacing w:line="360" w:lineRule="auto"/>
        <w:rPr>
          <w:rFonts w:ascii="Arial" w:eastAsiaTheme="majorEastAsia" w:hAnsi="Arial" w:cs="Arial"/>
          <w:bCs/>
          <w:sz w:val="22"/>
        </w:rPr>
      </w:pPr>
      <w:r w:rsidRPr="00D3195A">
        <w:rPr>
          <w:rFonts w:ascii="Arial" w:eastAsiaTheme="majorEastAsia" w:hAnsi="Arial" w:cs="Arial"/>
          <w:bCs/>
          <w:sz w:val="22"/>
        </w:rPr>
        <w:t xml:space="preserve"> Retrieved from https://www.apa.org/topics/anxiety/panic-disorder (Accessed 19 September 2026). </w:t>
      </w:r>
    </w:p>
    <w:p w14:paraId="34D0C71E" w14:textId="77777777" w:rsidR="00D3195A" w:rsidRDefault="00D3195A" w:rsidP="00D3195A">
      <w:pPr>
        <w:spacing w:line="360" w:lineRule="auto"/>
        <w:rPr>
          <w:rFonts w:ascii="Arial" w:eastAsiaTheme="majorEastAsia" w:hAnsi="Arial" w:cs="Arial"/>
          <w:bCs/>
          <w:sz w:val="22"/>
        </w:rPr>
      </w:pPr>
      <w:r w:rsidRPr="00D3195A">
        <w:rPr>
          <w:rFonts w:ascii="Arial" w:eastAsiaTheme="majorEastAsia" w:hAnsi="Arial" w:cs="Arial"/>
          <w:bCs/>
          <w:sz w:val="22"/>
        </w:rPr>
        <w:br/>
        <w:t>Clark, D.M. et al. 2022. Evidence and challenges in the delivery of cognitive behavioural therapy for panic disorder.</w:t>
      </w:r>
    </w:p>
    <w:p w14:paraId="170FBED4" w14:textId="77777777" w:rsidR="00D3195A" w:rsidRDefault="00D3195A" w:rsidP="00D3195A">
      <w:pPr>
        <w:spacing w:line="360" w:lineRule="auto"/>
        <w:rPr>
          <w:rFonts w:ascii="Arial" w:eastAsiaTheme="majorEastAsia" w:hAnsi="Arial" w:cs="Arial"/>
          <w:bCs/>
          <w:sz w:val="22"/>
        </w:rPr>
      </w:pPr>
      <w:r w:rsidRPr="00D3195A">
        <w:rPr>
          <w:rFonts w:ascii="Arial" w:eastAsiaTheme="majorEastAsia" w:hAnsi="Arial" w:cs="Arial"/>
          <w:bCs/>
          <w:sz w:val="22"/>
        </w:rPr>
        <w:t xml:space="preserve"> A present view. J Psychother Psychosom 91: 245-258. Available at: https://doi.org/10.1159/000524567 [accessed 19 September 2023]. </w:t>
      </w:r>
    </w:p>
    <w:p w14:paraId="1015A0D2" w14:textId="77777777" w:rsidR="00D3195A" w:rsidRDefault="00D3195A" w:rsidP="00D3195A">
      <w:pPr>
        <w:spacing w:line="360" w:lineRule="auto"/>
        <w:rPr>
          <w:rFonts w:ascii="Arial" w:eastAsiaTheme="majorEastAsia" w:hAnsi="Arial" w:cs="Arial"/>
          <w:bCs/>
          <w:sz w:val="22"/>
        </w:rPr>
      </w:pPr>
      <w:r w:rsidRPr="00D3195A">
        <w:rPr>
          <w:rFonts w:ascii="Arial" w:eastAsiaTheme="majorEastAsia" w:hAnsi="Arial" w:cs="Arial"/>
          <w:bCs/>
          <w:sz w:val="22"/>
        </w:rPr>
        <w:br/>
        <w:t xml:space="preserve">Department of Health and Social Care (DHSC) (2025) Annual Report on Mental Health Services Waiting Times (2024-25). London: The Stationery Office. Available at: https://www.gov.uk/government/publications (accessed 23 September 2026). </w:t>
      </w:r>
    </w:p>
    <w:p w14:paraId="27C45020" w14:textId="77777777" w:rsidR="00D3195A" w:rsidRDefault="00D3195A" w:rsidP="00D3195A">
      <w:pPr>
        <w:spacing w:line="360" w:lineRule="auto"/>
        <w:rPr>
          <w:rFonts w:ascii="Arial" w:eastAsiaTheme="majorEastAsia" w:hAnsi="Arial" w:cs="Arial"/>
          <w:bCs/>
          <w:sz w:val="22"/>
        </w:rPr>
      </w:pPr>
      <w:r w:rsidRPr="00D3195A">
        <w:rPr>
          <w:rFonts w:ascii="Arial" w:eastAsiaTheme="majorEastAsia" w:hAnsi="Arial" w:cs="Arial"/>
          <w:bCs/>
          <w:sz w:val="22"/>
        </w:rPr>
        <w:br/>
        <w:t>McManus, S et al</w:t>
      </w:r>
      <w:r>
        <w:rPr>
          <w:rFonts w:ascii="Arial" w:eastAsiaTheme="majorEastAsia" w:hAnsi="Arial" w:cs="Arial"/>
          <w:bCs/>
          <w:sz w:val="22"/>
        </w:rPr>
        <w:t>.</w:t>
      </w:r>
      <w:r w:rsidRPr="00D3195A">
        <w:rPr>
          <w:rFonts w:ascii="Arial" w:eastAsiaTheme="majorEastAsia" w:hAnsi="Arial" w:cs="Arial"/>
          <w:bCs/>
          <w:sz w:val="22"/>
        </w:rPr>
        <w:t xml:space="preserve"> (2023) Adult psychiatric morbidity survey 2023: Mental health and wellbeing in England. Leeds: NHS Digital; 2013</w:t>
      </w:r>
      <w:r>
        <w:rPr>
          <w:rFonts w:ascii="Arial" w:eastAsiaTheme="majorEastAsia" w:hAnsi="Arial" w:cs="Arial"/>
          <w:bCs/>
          <w:sz w:val="22"/>
        </w:rPr>
        <w:t>.</w:t>
      </w:r>
      <w:r w:rsidRPr="00D3195A">
        <w:rPr>
          <w:rFonts w:ascii="Arial" w:eastAsiaTheme="majorEastAsia" w:hAnsi="Arial" w:cs="Arial"/>
          <w:bCs/>
          <w:sz w:val="22"/>
        </w:rPr>
        <w:t xml:space="preserve"> Available at: https://digital.nhs.uk/statistics-and-data-collections/mental-health. (Accessed: 23 September 2026). </w:t>
      </w:r>
    </w:p>
    <w:p w14:paraId="5D35BB56" w14:textId="7160C076" w:rsidR="00D3195A" w:rsidRDefault="00D3195A" w:rsidP="00D3195A">
      <w:pPr>
        <w:spacing w:line="360" w:lineRule="auto"/>
        <w:rPr>
          <w:rFonts w:ascii="Arial" w:eastAsiaTheme="majorEastAsia" w:hAnsi="Arial" w:cs="Arial"/>
          <w:bCs/>
          <w:sz w:val="22"/>
        </w:rPr>
      </w:pPr>
      <w:r w:rsidRPr="00D3195A">
        <w:rPr>
          <w:rFonts w:ascii="Arial" w:eastAsiaTheme="majorEastAsia" w:hAnsi="Arial" w:cs="Arial"/>
          <w:bCs/>
          <w:sz w:val="22"/>
        </w:rPr>
        <w:br/>
        <w:t xml:space="preserve">NICE. (2020). Panic disorder: diagnosis and management. National Institute for Health and Care Excellence. London: NICE, 2014. Clinical guideline. CG113. Available at: https://www.nice.org.uk/guidance/cg113 [Accessed 21 Sept 2026] </w:t>
      </w:r>
      <w:r w:rsidRPr="00D3195A">
        <w:rPr>
          <w:rFonts w:ascii="Arial" w:eastAsiaTheme="majorEastAsia" w:hAnsi="Arial" w:cs="Arial"/>
          <w:bCs/>
          <w:sz w:val="22"/>
        </w:rPr>
        <w:br/>
        <w:t>NHS Digital. 2024 Mental health services statistics – England: 2023-24. Leeds: NHS Digital</w:t>
      </w:r>
      <w:r>
        <w:rPr>
          <w:rFonts w:ascii="Arial" w:eastAsiaTheme="majorEastAsia" w:hAnsi="Arial" w:cs="Arial"/>
          <w:bCs/>
          <w:sz w:val="22"/>
        </w:rPr>
        <w:t>.</w:t>
      </w:r>
      <w:r w:rsidRPr="00D3195A">
        <w:rPr>
          <w:rFonts w:ascii="Arial" w:eastAsiaTheme="majorEastAsia" w:hAnsi="Arial" w:cs="Arial"/>
          <w:bCs/>
          <w:sz w:val="22"/>
        </w:rPr>
        <w:t xml:space="preserve"> Available at: https://digital.nhs.uk/data-and-information/publications/statistical/mental-health-services-statistics (Accessed: 21 September 2026). </w:t>
      </w:r>
    </w:p>
    <w:p w14:paraId="01564882" w14:textId="4ED50536" w:rsidR="00D3195A" w:rsidRDefault="00D3195A" w:rsidP="00D3195A">
      <w:pPr>
        <w:spacing w:line="360" w:lineRule="auto"/>
        <w:rPr>
          <w:rFonts w:ascii="Arial" w:eastAsiaTheme="majorEastAsia" w:hAnsi="Arial" w:cs="Arial"/>
          <w:bCs/>
          <w:sz w:val="22"/>
        </w:rPr>
      </w:pPr>
      <w:r w:rsidRPr="00D3195A">
        <w:rPr>
          <w:rFonts w:ascii="Arial" w:eastAsiaTheme="majorEastAsia" w:hAnsi="Arial" w:cs="Arial"/>
          <w:bCs/>
          <w:sz w:val="22"/>
        </w:rPr>
        <w:br/>
        <w:t xml:space="preserve">Royal College of Psychiatrists (2023) Improved access to care for people with panic attacks and panic disorder. </w:t>
      </w:r>
      <w:proofErr w:type="spellStart"/>
      <w:r w:rsidRPr="00D3195A">
        <w:rPr>
          <w:rFonts w:ascii="Arial" w:eastAsiaTheme="majorEastAsia" w:hAnsi="Arial" w:cs="Arial"/>
          <w:bCs/>
          <w:sz w:val="22"/>
        </w:rPr>
        <w:t>RCPsych</w:t>
      </w:r>
      <w:proofErr w:type="spellEnd"/>
      <w:r w:rsidRPr="00D3195A">
        <w:rPr>
          <w:rFonts w:ascii="Arial" w:eastAsiaTheme="majorEastAsia" w:hAnsi="Arial" w:cs="Arial"/>
          <w:bCs/>
          <w:sz w:val="22"/>
        </w:rPr>
        <w:t xml:space="preserve">. London. [28] Available at: https://www.rcpsych.ac.uk/improving-care/campaigning-for-better-mental-health/policy-reports Accessed 01 Oct 2026. </w:t>
      </w:r>
    </w:p>
    <w:p w14:paraId="33CCB1FD" w14:textId="77777777" w:rsidR="00D3195A" w:rsidRDefault="00D3195A" w:rsidP="00D3195A">
      <w:pPr>
        <w:spacing w:line="360" w:lineRule="auto"/>
        <w:rPr>
          <w:rFonts w:ascii="Arial" w:eastAsiaTheme="majorEastAsia" w:hAnsi="Arial" w:cs="Arial"/>
          <w:bCs/>
          <w:sz w:val="22"/>
        </w:rPr>
      </w:pPr>
    </w:p>
    <w:p w14:paraId="1CA40ACE" w14:textId="66285188" w:rsidR="00D3195A" w:rsidRPr="00D3195A" w:rsidRDefault="00D3195A" w:rsidP="00D3195A">
      <w:pPr>
        <w:spacing w:line="360" w:lineRule="auto"/>
        <w:rPr>
          <w:rFonts w:ascii="Arial" w:eastAsiaTheme="majorEastAsia" w:hAnsi="Arial" w:cs="Arial"/>
          <w:bCs/>
          <w:sz w:val="22"/>
        </w:rPr>
      </w:pPr>
      <w:r w:rsidRPr="00D3195A">
        <w:rPr>
          <w:rFonts w:ascii="Arial" w:eastAsiaTheme="majorEastAsia" w:hAnsi="Arial" w:cs="Arial"/>
          <w:bCs/>
          <w:sz w:val="22"/>
        </w:rPr>
        <w:br/>
        <w:t xml:space="preserve">Tyrer, P. (2021) </w:t>
      </w:r>
      <w:proofErr w:type="gramStart"/>
      <w:r w:rsidRPr="00D3195A">
        <w:rPr>
          <w:rFonts w:ascii="Arial" w:eastAsiaTheme="majorEastAsia" w:hAnsi="Arial" w:cs="Arial"/>
          <w:bCs/>
          <w:sz w:val="22"/>
        </w:rPr>
        <w:t>Panic disorder</w:t>
      </w:r>
      <w:proofErr w:type="gramEnd"/>
      <w:r w:rsidRPr="00D3195A">
        <w:rPr>
          <w:rFonts w:ascii="Arial" w:eastAsiaTheme="majorEastAsia" w:hAnsi="Arial" w:cs="Arial"/>
          <w:bCs/>
          <w:sz w:val="22"/>
        </w:rPr>
        <w:t xml:space="preserve"> is under recognised in primary care. British Journal of General Practice, 71(703), 92–93. Available from: https://doi.org/10.3399/bjgp21X715744 Accessed October 4, 2026.</w:t>
      </w:r>
    </w:p>
    <w:p w14:paraId="332A626D" w14:textId="7655D9E0" w:rsidR="00BD0FA6" w:rsidRDefault="00BD0FA6">
      <w:pPr>
        <w:spacing w:line="360" w:lineRule="auto"/>
        <w:rPr>
          <w:rFonts w:ascii="Aptos" w:hAnsi="Aptos" w:cs="Arial"/>
        </w:rPr>
      </w:pPr>
      <w:r>
        <w:rPr>
          <w:rFonts w:ascii="Aptos" w:hAnsi="Aptos" w:cs="Arial"/>
        </w:rPr>
        <w:t xml:space="preserve">Royal College of Psychiatrists (2023) Improving Access to Care for People Experiencing Panic Attacks and Panic Disorder. London: RCPsych. Available at: </w:t>
      </w:r>
      <w:hyperlink r:id="rId8" w:history="1">
        <w:r w:rsidR="00FC0261" w:rsidRPr="004A456C">
          <w:rPr>
            <w:rStyle w:val="Hyperlink"/>
            <w:rFonts w:ascii="Aptos" w:hAnsi="Aptos" w:cs="Arial"/>
          </w:rPr>
          <w:t>https://www.rcpsych.ac.uk/improving-care/campigning-for-better-mental-health/pollcy-reports</w:t>
        </w:r>
      </w:hyperlink>
      <w:r w:rsidR="00FC0261">
        <w:rPr>
          <w:rFonts w:ascii="Aptos" w:hAnsi="Aptos" w:cs="Arial"/>
        </w:rPr>
        <w:t xml:space="preserve"> (Accessed 1 October 2026).</w:t>
      </w:r>
    </w:p>
    <w:p w14:paraId="11F73E24" w14:textId="11B1873E" w:rsidR="00FC0261" w:rsidRDefault="00FC0261">
      <w:pPr>
        <w:spacing w:line="360" w:lineRule="auto"/>
        <w:rPr>
          <w:rFonts w:ascii="Aptos" w:hAnsi="Aptos" w:cs="Arial"/>
        </w:rPr>
      </w:pPr>
      <w:r>
        <w:rPr>
          <w:rFonts w:ascii="Aptos" w:hAnsi="Aptos" w:cs="Arial"/>
        </w:rPr>
        <w:t>Tyrer, P. (2021) The under-recognition of panic disorder in primary care</w:t>
      </w:r>
      <w:r w:rsidR="001823E2">
        <w:rPr>
          <w:rFonts w:ascii="Aptos" w:hAnsi="Aptos" w:cs="Arial"/>
        </w:rPr>
        <w:t xml:space="preserve">; British Journal of General Practice, 71(703), pp. 92-93. Available at: </w:t>
      </w:r>
      <w:hyperlink r:id="rId9" w:history="1">
        <w:r w:rsidR="001823E2" w:rsidRPr="004A456C">
          <w:rPr>
            <w:rStyle w:val="Hyperlink"/>
            <w:rFonts w:ascii="Aptos" w:hAnsi="Aptos" w:cs="Arial"/>
          </w:rPr>
          <w:t>https://doi.org/10.3399/bjgp21X715745</w:t>
        </w:r>
      </w:hyperlink>
      <w:r w:rsidR="001823E2">
        <w:rPr>
          <w:rFonts w:ascii="Aptos" w:hAnsi="Aptos" w:cs="Arial"/>
        </w:rPr>
        <w:t xml:space="preserve"> (Accessed 4 October 2026).</w:t>
      </w:r>
    </w:p>
    <w:p w14:paraId="3EC369D3" w14:textId="77777777" w:rsidR="00103F6B" w:rsidRDefault="00103F6B">
      <w:pPr>
        <w:spacing w:line="360" w:lineRule="auto"/>
        <w:rPr>
          <w:rFonts w:ascii="Aptos" w:hAnsi="Aptos" w:cs="Arial"/>
        </w:rPr>
      </w:pPr>
    </w:p>
    <w:p w14:paraId="2B04E9A6" w14:textId="77777777" w:rsidR="007303CD" w:rsidRDefault="00000000">
      <w:pPr>
        <w:spacing w:line="360" w:lineRule="auto"/>
        <w:rPr>
          <w:rFonts w:ascii="Aptos" w:hAnsi="Aptos" w:cs="Arial"/>
        </w:rPr>
      </w:pPr>
      <w:r>
        <w:rPr>
          <w:rFonts w:ascii="Aptos" w:hAnsi="Aptos" w:cs="Arial"/>
        </w:rPr>
        <w:br/>
      </w:r>
    </w:p>
    <w:p w14:paraId="76845ED7" w14:textId="77777777" w:rsidR="007303CD" w:rsidRDefault="007303CD">
      <w:pPr>
        <w:spacing w:line="360" w:lineRule="auto"/>
        <w:rPr>
          <w:rFonts w:ascii="Aptos" w:hAnsi="Aptos" w:cs="Arial"/>
        </w:rPr>
      </w:pPr>
    </w:p>
    <w:p w14:paraId="4F3760A1" w14:textId="77777777" w:rsidR="007303CD" w:rsidRDefault="00000000">
      <w:pPr>
        <w:spacing w:line="360" w:lineRule="auto"/>
        <w:rPr>
          <w:rFonts w:ascii="Aptos" w:hAnsi="Aptos" w:cs="Arial"/>
        </w:rPr>
      </w:pPr>
      <w:r>
        <w:rPr>
          <w:rFonts w:ascii="Aptos" w:hAnsi="Aptos" w:cs="Arial"/>
        </w:rPr>
        <w:br/>
      </w:r>
    </w:p>
    <w:sectPr w:rsidR="007303CD">
      <w:footerReference w:type="default" r:id="rId1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BEB54" w14:textId="77777777" w:rsidR="003854E4" w:rsidRDefault="003854E4">
      <w:pPr>
        <w:spacing w:line="240" w:lineRule="auto"/>
      </w:pPr>
      <w:r>
        <w:separator/>
      </w:r>
    </w:p>
  </w:endnote>
  <w:endnote w:type="continuationSeparator" w:id="0">
    <w:p w14:paraId="1A15B771" w14:textId="77777777" w:rsidR="003854E4" w:rsidRDefault="003854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AutoText"/>
      </w:docPartObj>
    </w:sdtPr>
    <w:sdtContent>
      <w:p w14:paraId="67B55661" w14:textId="77777777" w:rsidR="007303CD" w:rsidRDefault="00000000">
        <w:pPr>
          <w:pStyle w:val="Footer"/>
          <w:jc w:val="center"/>
        </w:pPr>
        <w:r>
          <w:fldChar w:fldCharType="begin"/>
        </w:r>
        <w:r>
          <w:instrText xml:space="preserve"> PAGE   \* MERGEFORMAT </w:instrText>
        </w:r>
        <w:r>
          <w:fldChar w:fldCharType="separate"/>
        </w:r>
        <w:r>
          <w:t>2</w:t>
        </w:r>
        <w:r>
          <w:fldChar w:fldCharType="end"/>
        </w:r>
      </w:p>
    </w:sdtContent>
  </w:sdt>
  <w:p w14:paraId="32BFAC9E" w14:textId="77777777" w:rsidR="007303CD" w:rsidRDefault="00730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20AF5" w14:textId="77777777" w:rsidR="003854E4" w:rsidRDefault="003854E4">
      <w:pPr>
        <w:spacing w:after="0"/>
      </w:pPr>
      <w:r>
        <w:separator/>
      </w:r>
    </w:p>
  </w:footnote>
  <w:footnote w:type="continuationSeparator" w:id="0">
    <w:p w14:paraId="1CCDE627" w14:textId="77777777" w:rsidR="003854E4" w:rsidRDefault="003854E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6D522C"/>
    <w:multiLevelType w:val="multilevel"/>
    <w:tmpl w:val="476D522C"/>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7B431161"/>
    <w:multiLevelType w:val="multilevel"/>
    <w:tmpl w:val="7B43116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21239552">
    <w:abstractNumId w:val="1"/>
  </w:num>
  <w:num w:numId="2" w16cid:durableId="1781993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990"/>
    <w:rsid w:val="0001112F"/>
    <w:rsid w:val="00041A5A"/>
    <w:rsid w:val="000A5161"/>
    <w:rsid w:val="000B67B3"/>
    <w:rsid w:val="000B7CD5"/>
    <w:rsid w:val="000E3D92"/>
    <w:rsid w:val="00103F6B"/>
    <w:rsid w:val="00136B90"/>
    <w:rsid w:val="00156540"/>
    <w:rsid w:val="001823E2"/>
    <w:rsid w:val="00196E37"/>
    <w:rsid w:val="001E4E4E"/>
    <w:rsid w:val="0020643B"/>
    <w:rsid w:val="00216C85"/>
    <w:rsid w:val="00245A44"/>
    <w:rsid w:val="00251D9A"/>
    <w:rsid w:val="00260277"/>
    <w:rsid w:val="00273EDD"/>
    <w:rsid w:val="0029596E"/>
    <w:rsid w:val="002A15DA"/>
    <w:rsid w:val="002C3965"/>
    <w:rsid w:val="003018F0"/>
    <w:rsid w:val="00321C4C"/>
    <w:rsid w:val="00331F5A"/>
    <w:rsid w:val="003854E4"/>
    <w:rsid w:val="003A2FDF"/>
    <w:rsid w:val="003B5B7F"/>
    <w:rsid w:val="003C6F24"/>
    <w:rsid w:val="00430303"/>
    <w:rsid w:val="004903AA"/>
    <w:rsid w:val="004A3E19"/>
    <w:rsid w:val="004E6C3B"/>
    <w:rsid w:val="004F235B"/>
    <w:rsid w:val="00545684"/>
    <w:rsid w:val="005C4F3E"/>
    <w:rsid w:val="005E7665"/>
    <w:rsid w:val="00600C0F"/>
    <w:rsid w:val="0061260B"/>
    <w:rsid w:val="006221BE"/>
    <w:rsid w:val="0063039B"/>
    <w:rsid w:val="00646B10"/>
    <w:rsid w:val="00681455"/>
    <w:rsid w:val="006D298C"/>
    <w:rsid w:val="00715990"/>
    <w:rsid w:val="0072077E"/>
    <w:rsid w:val="007303CD"/>
    <w:rsid w:val="00784670"/>
    <w:rsid w:val="007C41B8"/>
    <w:rsid w:val="007D74F9"/>
    <w:rsid w:val="007F1321"/>
    <w:rsid w:val="00866B7B"/>
    <w:rsid w:val="008965D6"/>
    <w:rsid w:val="008D3897"/>
    <w:rsid w:val="008E5015"/>
    <w:rsid w:val="00964338"/>
    <w:rsid w:val="009D1D1E"/>
    <w:rsid w:val="00A035FD"/>
    <w:rsid w:val="00A276A0"/>
    <w:rsid w:val="00A6153D"/>
    <w:rsid w:val="00AA332F"/>
    <w:rsid w:val="00AA4116"/>
    <w:rsid w:val="00AD758F"/>
    <w:rsid w:val="00B34A87"/>
    <w:rsid w:val="00BD0FA6"/>
    <w:rsid w:val="00BE0DFB"/>
    <w:rsid w:val="00C54573"/>
    <w:rsid w:val="00C84A0F"/>
    <w:rsid w:val="00CA307D"/>
    <w:rsid w:val="00CD21CE"/>
    <w:rsid w:val="00D025CA"/>
    <w:rsid w:val="00D3195A"/>
    <w:rsid w:val="00D4337C"/>
    <w:rsid w:val="00D769F0"/>
    <w:rsid w:val="00DF54FB"/>
    <w:rsid w:val="00E614D4"/>
    <w:rsid w:val="00EC68DA"/>
    <w:rsid w:val="00ED3505"/>
    <w:rsid w:val="00F278D4"/>
    <w:rsid w:val="00F34827"/>
    <w:rsid w:val="00F74820"/>
    <w:rsid w:val="00F94B4B"/>
    <w:rsid w:val="00FA545A"/>
    <w:rsid w:val="00FB25AA"/>
    <w:rsid w:val="00FB4301"/>
    <w:rsid w:val="00FC0261"/>
    <w:rsid w:val="00FC2B9B"/>
    <w:rsid w:val="00FF5B70"/>
    <w:rsid w:val="331370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95EB31"/>
  <w15:docId w15:val="{544A267C-C5A1-49CF-A9F0-E6E4D3E92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4"/>
      <w:szCs w:val="22"/>
      <w:lang w:eastAsia="en-US"/>
    </w:rPr>
  </w:style>
  <w:style w:type="paragraph" w:styleId="Heading1">
    <w:name w:val="heading 1"/>
    <w:basedOn w:val="Normal"/>
    <w:next w:val="Normal"/>
    <w:link w:val="Heading1Char"/>
    <w:autoRedefine/>
    <w:uiPriority w:val="9"/>
    <w:qFormat/>
    <w:rsid w:val="00D3195A"/>
    <w:pPr>
      <w:keepNext/>
      <w:keepLines/>
      <w:spacing w:before="240" w:after="0" w:line="360" w:lineRule="auto"/>
      <w:jc w:val="center"/>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basedOn w:val="Normal"/>
    <w:uiPriority w:val="99"/>
    <w:semiHidden/>
    <w:unhideWhenUsed/>
    <w:qFormat/>
    <w:rPr>
      <w:rFonts w:cs="Times New Roman"/>
      <w:szCs w:val="24"/>
    </w:rPr>
  </w:style>
  <w:style w:type="table" w:styleId="TableGrid">
    <w:name w:val="Table Grid"/>
    <w:basedOn w:val="TableNormal"/>
    <w:uiPriority w:val="39"/>
    <w:qFormat/>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qFormat/>
    <w:rsid w:val="00D3195A"/>
    <w:rPr>
      <w:rFonts w:ascii="Arial" w:eastAsiaTheme="majorEastAsia" w:hAnsi="Arial" w:cs="Arial"/>
      <w:b/>
      <w:sz w:val="22"/>
      <w:szCs w:val="22"/>
      <w:lang w:eastAsia="en-US"/>
    </w:rPr>
  </w:style>
  <w:style w:type="character" w:customStyle="1" w:styleId="Heading2Char">
    <w:name w:val="Heading 2 Char"/>
    <w:basedOn w:val="DefaultParagraphFont"/>
    <w:link w:val="Heading2"/>
    <w:uiPriority w:val="9"/>
    <w:qFormat/>
    <w:rPr>
      <w:rFonts w:ascii="Arial" w:eastAsiaTheme="majorEastAsia" w:hAnsi="Arial" w:cs="Arial"/>
      <w:b/>
      <w:bCs/>
      <w:i/>
      <w:sz w:val="28"/>
      <w:szCs w:val="26"/>
    </w:rPr>
  </w:style>
  <w:style w:type="character" w:customStyle="1" w:styleId="Heading3Char">
    <w:name w:val="Heading 3 Char"/>
    <w:basedOn w:val="DefaultParagraphFont"/>
    <w:link w:val="Heading3"/>
    <w:uiPriority w:val="9"/>
    <w:qFormat/>
    <w:rPr>
      <w:rFonts w:ascii="Arial" w:eastAsia="Times New Roman" w:hAnsi="Arial" w:cs="Times New Roman"/>
      <w:b/>
      <w:bCs/>
      <w:szCs w:val="27"/>
      <w:lang w:eastAsia="en-GB"/>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8965D6"/>
    <w:rPr>
      <w:color w:val="0563C1" w:themeColor="hyperlink"/>
      <w:u w:val="single"/>
    </w:rPr>
  </w:style>
  <w:style w:type="character" w:styleId="UnresolvedMention">
    <w:name w:val="Unresolved Mention"/>
    <w:basedOn w:val="DefaultParagraphFont"/>
    <w:uiPriority w:val="99"/>
    <w:semiHidden/>
    <w:unhideWhenUsed/>
    <w:rsid w:val="008965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cpsych.ac.uk/improving-care/campigning-for-better-mental-health/pollcy-report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399/bjgp21X7157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1189</Words>
  <Characters>6781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Mercy  Nyarkoa Quist Anane</cp:lastModifiedBy>
  <cp:revision>2</cp:revision>
  <dcterms:created xsi:type="dcterms:W3CDTF">2026-10-16T16:57:00Z</dcterms:created>
  <dcterms:modified xsi:type="dcterms:W3CDTF">2026-10-16T16:57:00Z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eyJoZGlkIjoiZjFlYzFmOGI2OTQ4MzFlMzU4MDJjNmQzYWM0MzFkMjcifQ==</vt:lpwstr>
  </property>
  <property fmtid="{D5CDD505-2E9C-101B-9397-08002B2CF9AE}" pid="3" name="KSOProductBuildVer">
    <vt:lpwstr>1033-12.1.0.28485</vt:lpwstr>
  </property>
  <property fmtid="{D5CDD505-2E9C-101B-9397-08002B2CF9AE}" pid="4" name="ICV">
    <vt:lpwstr>A1AC26F917D24C0DB46BB4D363CF1D82_12</vt:lpwstr>
  </property>
  <property fmtid="{D5CDD505-2E9C-101B-9397-08002B2CF9AE}" pid="5" name="GrammarlyDocumentId">
    <vt:lpwstr>b5dfd563b13e4e7ae9a77a0f4abe7abc9dd580897a20e12646c22cf3f10e1666</vt:lpwstr>
  </property>
</Properties>
</file>