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2B06" w:rsidRPr="00AF2478" w:rsidRDefault="000B1FCA">
      <w:pPr>
        <w:spacing w:line="259" w:lineRule="auto"/>
        <w:jc w:val="left"/>
        <w:rPr>
          <w:rFonts w:cs="Times New Roman"/>
          <w:szCs w:val="24"/>
        </w:rPr>
      </w:pPr>
      <w:r w:rsidRPr="00AF2478">
        <w:rPr>
          <w:rFonts w:cs="Times New Roman"/>
          <w:noProof/>
          <w:szCs w:val="24"/>
        </w:rPr>
        <w:drawing>
          <wp:inline distT="0" distB="0" distL="0" distR="0">
            <wp:extent cx="2676525" cy="1057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76525" cy="1057275"/>
                    </a:xfrm>
                    <a:prstGeom prst="rect">
                      <a:avLst/>
                    </a:prstGeom>
                  </pic:spPr>
                </pic:pic>
              </a:graphicData>
            </a:graphic>
          </wp:inline>
        </w:drawing>
      </w:r>
    </w:p>
    <w:p w:rsidR="00AA2B06" w:rsidRPr="00AF2478" w:rsidRDefault="000B1FCA" w:rsidP="00AA2B06">
      <w:pPr>
        <w:spacing w:line="259" w:lineRule="auto"/>
        <w:jc w:val="center"/>
        <w:rPr>
          <w:rFonts w:cs="Times New Roman"/>
          <w:b/>
          <w:szCs w:val="24"/>
        </w:rPr>
      </w:pPr>
      <w:r w:rsidRPr="00AF2478">
        <w:rPr>
          <w:rFonts w:cs="Times New Roman"/>
          <w:b/>
          <w:szCs w:val="24"/>
        </w:rPr>
        <w:t>Assessment: 2</w:t>
      </w:r>
    </w:p>
    <w:p w:rsidR="00AA2B06" w:rsidRPr="00AF2478" w:rsidRDefault="000B1FCA" w:rsidP="00AA2B06">
      <w:pPr>
        <w:spacing w:line="259" w:lineRule="auto"/>
        <w:jc w:val="center"/>
        <w:rPr>
          <w:rFonts w:cs="Times New Roman"/>
          <w:b/>
          <w:szCs w:val="24"/>
        </w:rPr>
      </w:pPr>
      <w:r w:rsidRPr="00AF2478">
        <w:rPr>
          <w:rFonts w:cs="Times New Roman"/>
          <w:b/>
          <w:szCs w:val="24"/>
        </w:rPr>
        <w:t>Programme: BA International Hotel Management</w:t>
      </w:r>
    </w:p>
    <w:p w:rsidR="00AA2B06" w:rsidRPr="00AF2478" w:rsidRDefault="000B1FCA" w:rsidP="00AA2B06">
      <w:pPr>
        <w:spacing w:line="259" w:lineRule="auto"/>
        <w:jc w:val="center"/>
        <w:rPr>
          <w:rFonts w:cs="Times New Roman"/>
          <w:b/>
          <w:szCs w:val="24"/>
        </w:rPr>
      </w:pPr>
      <w:r w:rsidRPr="00AF2478">
        <w:rPr>
          <w:rFonts w:cs="Times New Roman"/>
          <w:b/>
          <w:szCs w:val="24"/>
        </w:rPr>
        <w:t>Module Code: BMIH5007</w:t>
      </w:r>
    </w:p>
    <w:p w:rsidR="003A755D" w:rsidRPr="00AF2478" w:rsidRDefault="000B1FCA" w:rsidP="00113258">
      <w:pPr>
        <w:spacing w:line="259" w:lineRule="auto"/>
        <w:jc w:val="center"/>
        <w:rPr>
          <w:rFonts w:cs="Times New Roman"/>
          <w:b/>
          <w:szCs w:val="24"/>
        </w:rPr>
      </w:pPr>
      <w:r w:rsidRPr="00AF2478">
        <w:rPr>
          <w:rFonts w:cs="Times New Roman"/>
          <w:b/>
          <w:szCs w:val="24"/>
        </w:rPr>
        <w:t>Course: Financial Management for the Hotel Industry</w:t>
      </w:r>
    </w:p>
    <w:p w:rsidR="00F7134F" w:rsidRPr="00AF2478" w:rsidRDefault="00F7134F">
      <w:pPr>
        <w:spacing w:line="259" w:lineRule="auto"/>
        <w:jc w:val="left"/>
        <w:rPr>
          <w:rFonts w:cs="Times New Roman"/>
          <w:b/>
          <w:szCs w:val="24"/>
        </w:rPr>
      </w:pPr>
      <w:r w:rsidRPr="00AF2478">
        <w:rPr>
          <w:rFonts w:cs="Times New Roman"/>
          <w:b/>
          <w:szCs w:val="24"/>
        </w:rPr>
        <w:t>Declaration</w:t>
      </w:r>
    </w:p>
    <w:p w:rsidR="0019670D" w:rsidRDefault="00F7134F" w:rsidP="00F7134F">
      <w:pPr>
        <w:rPr>
          <w:rFonts w:cs="Times New Roman"/>
          <w:szCs w:val="24"/>
        </w:rPr>
      </w:pPr>
      <w:r w:rsidRPr="00AF2478">
        <w:rPr>
          <w:rFonts w:cs="Times New Roman"/>
          <w:szCs w:val="24"/>
        </w:rPr>
        <w:t>On 4</w:t>
      </w:r>
      <w:r w:rsidRPr="00AF2478">
        <w:rPr>
          <w:rFonts w:cs="Times New Roman"/>
          <w:szCs w:val="24"/>
          <w:vertAlign w:val="superscript"/>
        </w:rPr>
        <w:t>th</w:t>
      </w:r>
      <w:r w:rsidRPr="00AF2478">
        <w:rPr>
          <w:rFonts w:cs="Times New Roman"/>
          <w:szCs w:val="24"/>
        </w:rPr>
        <w:t xml:space="preserve"> November 2024, I used Grammarly, just to ensure that my work has not got structural things like spelling mistakes and wrong grammar. Interestingly, the tool made no calls for corrections; it only pointed out probable corrections. I manually went through all the responses and decided what to do with each one out of accepting or rejecting them. I declare to the reader that in research and completion of this assignment, no artificial intelligence tools were employed. Further, I have not used any piece of content created by AI as my own work during the course of this program. Additionally, Original drafts, notes and any other material used in creating this assignment are available and will be produced if necessary.</w:t>
      </w:r>
    </w:p>
    <w:p w:rsidR="0019670D" w:rsidRDefault="0019670D">
      <w:pPr>
        <w:spacing w:line="259" w:lineRule="auto"/>
        <w:jc w:val="left"/>
        <w:rPr>
          <w:rFonts w:cs="Times New Roman"/>
          <w:szCs w:val="24"/>
        </w:rPr>
      </w:pPr>
      <w:r>
        <w:rPr>
          <w:rFonts w:cs="Times New Roman"/>
          <w:szCs w:val="24"/>
        </w:rPr>
        <w:br w:type="page"/>
      </w:r>
    </w:p>
    <w:p w:rsidR="0019670D" w:rsidRDefault="0019670D" w:rsidP="00F7134F">
      <w:pPr>
        <w:rPr>
          <w:rFonts w:cs="Times New Roman"/>
          <w:b/>
          <w:szCs w:val="24"/>
        </w:rPr>
      </w:pPr>
      <w:r>
        <w:rPr>
          <w:rFonts w:cs="Times New Roman"/>
          <w:b/>
          <w:szCs w:val="24"/>
        </w:rPr>
        <w:lastRenderedPageBreak/>
        <w:t>Executive summary</w:t>
      </w:r>
    </w:p>
    <w:p w:rsidR="003A755D" w:rsidRPr="0019670D" w:rsidRDefault="0019670D" w:rsidP="00F7134F">
      <w:pPr>
        <w:rPr>
          <w:rFonts w:cs="Times New Roman"/>
          <w:szCs w:val="24"/>
        </w:rPr>
      </w:pPr>
      <w:r w:rsidRPr="0019670D">
        <w:rPr>
          <w:rFonts w:cs="Times New Roman"/>
          <w:szCs w:val="24"/>
        </w:rPr>
        <w:t>The City Hotel situated in the city center is experiencing the low income and occupancy rates hence is in a serious risk of closing down. Customer dissatisfaction in form of negative feedback is a threat to the stability and future reputation of the hotel. The purpose of this assessment is to review the issues affecting the hotel and propose a revival plan things which include improvement in both the profit and the customer. Based on the evaluation of the case, possible recommendations with the strategic plan to stabilize the image and performance of The City Hotel will be provided.</w:t>
      </w:r>
      <w:r w:rsidR="003A755D" w:rsidRPr="0019670D">
        <w:rPr>
          <w:rFonts w:cs="Times New Roman"/>
          <w:szCs w:val="24"/>
        </w:rPr>
        <w:br w:type="page"/>
      </w:r>
    </w:p>
    <w:p w:rsidR="00F7134F" w:rsidRPr="00AF2478" w:rsidRDefault="00F7134F">
      <w:pPr>
        <w:spacing w:line="259" w:lineRule="auto"/>
        <w:jc w:val="left"/>
        <w:rPr>
          <w:rFonts w:cs="Times New Roman"/>
          <w:b/>
          <w:szCs w:val="24"/>
        </w:rPr>
      </w:pPr>
    </w:p>
    <w:sdt>
      <w:sdtPr>
        <w:rPr>
          <w:rFonts w:ascii="Times New Roman" w:eastAsiaTheme="minorHAnsi" w:hAnsi="Times New Roman" w:cs="Times New Roman"/>
          <w:b/>
          <w:color w:val="auto"/>
          <w:sz w:val="24"/>
          <w:szCs w:val="24"/>
        </w:rPr>
        <w:id w:val="-1569640121"/>
        <w:docPartObj>
          <w:docPartGallery w:val="Table of Contents"/>
          <w:docPartUnique/>
        </w:docPartObj>
      </w:sdtPr>
      <w:sdtEndPr>
        <w:rPr>
          <w:bCs/>
          <w:noProof/>
        </w:rPr>
      </w:sdtEndPr>
      <w:sdtContent>
        <w:p w:rsidR="003A755D" w:rsidRPr="00AF2478" w:rsidRDefault="003A755D" w:rsidP="003A755D">
          <w:pPr>
            <w:pStyle w:val="TOCHeading"/>
            <w:jc w:val="center"/>
            <w:rPr>
              <w:rFonts w:ascii="Times New Roman" w:hAnsi="Times New Roman" w:cs="Times New Roman"/>
              <w:b/>
              <w:color w:val="auto"/>
              <w:sz w:val="24"/>
              <w:szCs w:val="24"/>
            </w:rPr>
          </w:pPr>
          <w:r w:rsidRPr="00AF2478">
            <w:rPr>
              <w:rFonts w:ascii="Times New Roman" w:hAnsi="Times New Roman" w:cs="Times New Roman"/>
              <w:b/>
              <w:color w:val="auto"/>
              <w:sz w:val="24"/>
              <w:szCs w:val="24"/>
            </w:rPr>
            <w:t>Table of Contents</w:t>
          </w:r>
        </w:p>
        <w:p w:rsidR="00A61254" w:rsidRDefault="003A755D">
          <w:pPr>
            <w:pStyle w:val="TOC1"/>
            <w:tabs>
              <w:tab w:val="left" w:pos="440"/>
              <w:tab w:val="right" w:leader="dot" w:pos="9350"/>
            </w:tabs>
            <w:rPr>
              <w:rFonts w:asciiTheme="minorHAnsi" w:eastAsiaTheme="minorEastAsia" w:hAnsiTheme="minorHAnsi"/>
              <w:noProof/>
              <w:sz w:val="22"/>
            </w:rPr>
          </w:pPr>
          <w:r w:rsidRPr="00AF2478">
            <w:rPr>
              <w:rFonts w:cs="Times New Roman"/>
              <w:szCs w:val="24"/>
            </w:rPr>
            <w:fldChar w:fldCharType="begin"/>
          </w:r>
          <w:r w:rsidRPr="00AF2478">
            <w:rPr>
              <w:rFonts w:cs="Times New Roman"/>
              <w:szCs w:val="24"/>
            </w:rPr>
            <w:instrText xml:space="preserve"> TOC \o "1-3" \h \z \u </w:instrText>
          </w:r>
          <w:r w:rsidRPr="00AF2478">
            <w:rPr>
              <w:rFonts w:cs="Times New Roman"/>
              <w:szCs w:val="24"/>
            </w:rPr>
            <w:fldChar w:fldCharType="separate"/>
          </w:r>
          <w:hyperlink w:anchor="_Toc181729444" w:history="1">
            <w:r w:rsidR="00A61254" w:rsidRPr="005E31C4">
              <w:rPr>
                <w:rStyle w:val="Hyperlink"/>
                <w:rFonts w:cs="Times New Roman"/>
                <w:noProof/>
              </w:rPr>
              <w:t>1.</w:t>
            </w:r>
            <w:r w:rsidR="00A61254">
              <w:rPr>
                <w:rFonts w:asciiTheme="minorHAnsi" w:eastAsiaTheme="minorEastAsia" w:hAnsiTheme="minorHAnsi"/>
                <w:noProof/>
                <w:sz w:val="22"/>
              </w:rPr>
              <w:tab/>
            </w:r>
            <w:r w:rsidR="00A61254" w:rsidRPr="005E31C4">
              <w:rPr>
                <w:rStyle w:val="Hyperlink"/>
                <w:rFonts w:cs="Times New Roman"/>
                <w:noProof/>
              </w:rPr>
              <w:t>Introduction</w:t>
            </w:r>
            <w:r w:rsidR="00A61254">
              <w:rPr>
                <w:noProof/>
                <w:webHidden/>
              </w:rPr>
              <w:tab/>
            </w:r>
            <w:r w:rsidR="00A61254">
              <w:rPr>
                <w:noProof/>
                <w:webHidden/>
              </w:rPr>
              <w:fldChar w:fldCharType="begin"/>
            </w:r>
            <w:r w:rsidR="00A61254">
              <w:rPr>
                <w:noProof/>
                <w:webHidden/>
              </w:rPr>
              <w:instrText xml:space="preserve"> PAGEREF _Toc181729444 \h </w:instrText>
            </w:r>
            <w:r w:rsidR="00A61254">
              <w:rPr>
                <w:noProof/>
                <w:webHidden/>
              </w:rPr>
            </w:r>
            <w:r w:rsidR="00A61254">
              <w:rPr>
                <w:noProof/>
                <w:webHidden/>
              </w:rPr>
              <w:fldChar w:fldCharType="separate"/>
            </w:r>
            <w:r w:rsidR="00A61254">
              <w:rPr>
                <w:noProof/>
                <w:webHidden/>
              </w:rPr>
              <w:t>4</w:t>
            </w:r>
            <w:r w:rsidR="00A61254">
              <w:rPr>
                <w:noProof/>
                <w:webHidden/>
              </w:rPr>
              <w:fldChar w:fldCharType="end"/>
            </w:r>
          </w:hyperlink>
        </w:p>
        <w:p w:rsidR="00A61254" w:rsidRDefault="00A61254">
          <w:pPr>
            <w:pStyle w:val="TOC1"/>
            <w:tabs>
              <w:tab w:val="left" w:pos="440"/>
              <w:tab w:val="right" w:leader="dot" w:pos="9350"/>
            </w:tabs>
            <w:rPr>
              <w:rFonts w:asciiTheme="minorHAnsi" w:eastAsiaTheme="minorEastAsia" w:hAnsiTheme="minorHAnsi"/>
              <w:noProof/>
              <w:sz w:val="22"/>
            </w:rPr>
          </w:pPr>
          <w:hyperlink w:anchor="_Toc181729445" w:history="1">
            <w:r w:rsidRPr="005E31C4">
              <w:rPr>
                <w:rStyle w:val="Hyperlink"/>
                <w:rFonts w:cs="Times New Roman"/>
                <w:noProof/>
              </w:rPr>
              <w:t>2.</w:t>
            </w:r>
            <w:r>
              <w:rPr>
                <w:rFonts w:asciiTheme="minorHAnsi" w:eastAsiaTheme="minorEastAsia" w:hAnsiTheme="minorHAnsi"/>
                <w:noProof/>
                <w:sz w:val="22"/>
              </w:rPr>
              <w:tab/>
            </w:r>
            <w:r w:rsidRPr="005E31C4">
              <w:rPr>
                <w:rStyle w:val="Hyperlink"/>
                <w:rFonts w:cs="Times New Roman"/>
                <w:noProof/>
              </w:rPr>
              <w:t>Financial Analysis</w:t>
            </w:r>
            <w:r>
              <w:rPr>
                <w:noProof/>
                <w:webHidden/>
              </w:rPr>
              <w:tab/>
            </w:r>
            <w:r>
              <w:rPr>
                <w:noProof/>
                <w:webHidden/>
              </w:rPr>
              <w:fldChar w:fldCharType="begin"/>
            </w:r>
            <w:r>
              <w:rPr>
                <w:noProof/>
                <w:webHidden/>
              </w:rPr>
              <w:instrText xml:space="preserve"> PAGEREF _Toc181729445 \h </w:instrText>
            </w:r>
            <w:r>
              <w:rPr>
                <w:noProof/>
                <w:webHidden/>
              </w:rPr>
            </w:r>
            <w:r>
              <w:rPr>
                <w:noProof/>
                <w:webHidden/>
              </w:rPr>
              <w:fldChar w:fldCharType="separate"/>
            </w:r>
            <w:r>
              <w:rPr>
                <w:noProof/>
                <w:webHidden/>
              </w:rPr>
              <w:t>4</w:t>
            </w:r>
            <w:r>
              <w:rPr>
                <w:noProof/>
                <w:webHidden/>
              </w:rPr>
              <w:fldChar w:fldCharType="end"/>
            </w:r>
          </w:hyperlink>
        </w:p>
        <w:p w:rsidR="00A61254" w:rsidRDefault="00A61254">
          <w:pPr>
            <w:pStyle w:val="TOC2"/>
            <w:tabs>
              <w:tab w:val="left" w:pos="880"/>
              <w:tab w:val="right" w:leader="dot" w:pos="9350"/>
            </w:tabs>
            <w:rPr>
              <w:rFonts w:asciiTheme="minorHAnsi" w:eastAsiaTheme="minorEastAsia" w:hAnsiTheme="minorHAnsi"/>
              <w:noProof/>
              <w:sz w:val="22"/>
            </w:rPr>
          </w:pPr>
          <w:hyperlink w:anchor="_Toc181729446" w:history="1">
            <w:r w:rsidRPr="005E31C4">
              <w:rPr>
                <w:rStyle w:val="Hyperlink"/>
                <w:rFonts w:cs="Times New Roman"/>
                <w:noProof/>
              </w:rPr>
              <w:t>2.1</w:t>
            </w:r>
            <w:r>
              <w:rPr>
                <w:rFonts w:asciiTheme="minorHAnsi" w:eastAsiaTheme="minorEastAsia" w:hAnsiTheme="minorHAnsi"/>
                <w:noProof/>
                <w:sz w:val="22"/>
              </w:rPr>
              <w:tab/>
            </w:r>
            <w:r w:rsidRPr="005E31C4">
              <w:rPr>
                <w:rStyle w:val="Hyperlink"/>
                <w:rFonts w:cs="Times New Roman"/>
                <w:noProof/>
              </w:rPr>
              <w:t>Revenue Analysis</w:t>
            </w:r>
            <w:r>
              <w:rPr>
                <w:noProof/>
                <w:webHidden/>
              </w:rPr>
              <w:tab/>
            </w:r>
            <w:r>
              <w:rPr>
                <w:noProof/>
                <w:webHidden/>
              </w:rPr>
              <w:fldChar w:fldCharType="begin"/>
            </w:r>
            <w:r>
              <w:rPr>
                <w:noProof/>
                <w:webHidden/>
              </w:rPr>
              <w:instrText xml:space="preserve"> PAGEREF _Toc181729446 \h </w:instrText>
            </w:r>
            <w:r>
              <w:rPr>
                <w:noProof/>
                <w:webHidden/>
              </w:rPr>
            </w:r>
            <w:r>
              <w:rPr>
                <w:noProof/>
                <w:webHidden/>
              </w:rPr>
              <w:fldChar w:fldCharType="separate"/>
            </w:r>
            <w:r>
              <w:rPr>
                <w:noProof/>
                <w:webHidden/>
              </w:rPr>
              <w:t>4</w:t>
            </w:r>
            <w:r>
              <w:rPr>
                <w:noProof/>
                <w:webHidden/>
              </w:rPr>
              <w:fldChar w:fldCharType="end"/>
            </w:r>
          </w:hyperlink>
        </w:p>
        <w:p w:rsidR="00A61254" w:rsidRDefault="00A61254">
          <w:pPr>
            <w:pStyle w:val="TOC2"/>
            <w:tabs>
              <w:tab w:val="left" w:pos="880"/>
              <w:tab w:val="right" w:leader="dot" w:pos="9350"/>
            </w:tabs>
            <w:rPr>
              <w:rFonts w:asciiTheme="minorHAnsi" w:eastAsiaTheme="minorEastAsia" w:hAnsiTheme="minorHAnsi"/>
              <w:noProof/>
              <w:sz w:val="22"/>
            </w:rPr>
          </w:pPr>
          <w:hyperlink w:anchor="_Toc181729447" w:history="1">
            <w:r w:rsidRPr="005E31C4">
              <w:rPr>
                <w:rStyle w:val="Hyperlink"/>
                <w:rFonts w:cs="Times New Roman"/>
                <w:noProof/>
              </w:rPr>
              <w:t>2.2</w:t>
            </w:r>
            <w:r>
              <w:rPr>
                <w:rFonts w:asciiTheme="minorHAnsi" w:eastAsiaTheme="minorEastAsia" w:hAnsiTheme="minorHAnsi"/>
                <w:noProof/>
                <w:sz w:val="22"/>
              </w:rPr>
              <w:tab/>
            </w:r>
            <w:r w:rsidRPr="005E31C4">
              <w:rPr>
                <w:rStyle w:val="Hyperlink"/>
                <w:rFonts w:cs="Times New Roman"/>
                <w:noProof/>
              </w:rPr>
              <w:t>Profitability</w:t>
            </w:r>
            <w:r>
              <w:rPr>
                <w:noProof/>
                <w:webHidden/>
              </w:rPr>
              <w:tab/>
            </w:r>
            <w:r>
              <w:rPr>
                <w:noProof/>
                <w:webHidden/>
              </w:rPr>
              <w:fldChar w:fldCharType="begin"/>
            </w:r>
            <w:r>
              <w:rPr>
                <w:noProof/>
                <w:webHidden/>
              </w:rPr>
              <w:instrText xml:space="preserve"> PAGEREF _Toc181729447 \h </w:instrText>
            </w:r>
            <w:r>
              <w:rPr>
                <w:noProof/>
                <w:webHidden/>
              </w:rPr>
            </w:r>
            <w:r>
              <w:rPr>
                <w:noProof/>
                <w:webHidden/>
              </w:rPr>
              <w:fldChar w:fldCharType="separate"/>
            </w:r>
            <w:r>
              <w:rPr>
                <w:noProof/>
                <w:webHidden/>
              </w:rPr>
              <w:t>6</w:t>
            </w:r>
            <w:r>
              <w:rPr>
                <w:noProof/>
                <w:webHidden/>
              </w:rPr>
              <w:fldChar w:fldCharType="end"/>
            </w:r>
          </w:hyperlink>
        </w:p>
        <w:p w:rsidR="00A61254" w:rsidRDefault="00A61254">
          <w:pPr>
            <w:pStyle w:val="TOC2"/>
            <w:tabs>
              <w:tab w:val="left" w:pos="880"/>
              <w:tab w:val="right" w:leader="dot" w:pos="9350"/>
            </w:tabs>
            <w:rPr>
              <w:rFonts w:asciiTheme="minorHAnsi" w:eastAsiaTheme="minorEastAsia" w:hAnsiTheme="minorHAnsi"/>
              <w:noProof/>
              <w:sz w:val="22"/>
            </w:rPr>
          </w:pPr>
          <w:hyperlink w:anchor="_Toc181729448" w:history="1">
            <w:r w:rsidRPr="005E31C4">
              <w:rPr>
                <w:rStyle w:val="Hyperlink"/>
                <w:rFonts w:cs="Times New Roman"/>
                <w:noProof/>
              </w:rPr>
              <w:t>2.4</w:t>
            </w:r>
            <w:r>
              <w:rPr>
                <w:rFonts w:asciiTheme="minorHAnsi" w:eastAsiaTheme="minorEastAsia" w:hAnsiTheme="minorHAnsi"/>
                <w:noProof/>
                <w:sz w:val="22"/>
              </w:rPr>
              <w:tab/>
            </w:r>
            <w:r w:rsidRPr="005E31C4">
              <w:rPr>
                <w:rStyle w:val="Hyperlink"/>
                <w:rFonts w:cs="Times New Roman"/>
                <w:noProof/>
              </w:rPr>
              <w:t>Liquidity</w:t>
            </w:r>
            <w:r>
              <w:rPr>
                <w:noProof/>
                <w:webHidden/>
              </w:rPr>
              <w:tab/>
            </w:r>
            <w:r>
              <w:rPr>
                <w:noProof/>
                <w:webHidden/>
              </w:rPr>
              <w:fldChar w:fldCharType="begin"/>
            </w:r>
            <w:r>
              <w:rPr>
                <w:noProof/>
                <w:webHidden/>
              </w:rPr>
              <w:instrText xml:space="preserve"> PAGEREF _Toc181729448 \h </w:instrText>
            </w:r>
            <w:r>
              <w:rPr>
                <w:noProof/>
                <w:webHidden/>
              </w:rPr>
            </w:r>
            <w:r>
              <w:rPr>
                <w:noProof/>
                <w:webHidden/>
              </w:rPr>
              <w:fldChar w:fldCharType="separate"/>
            </w:r>
            <w:r>
              <w:rPr>
                <w:noProof/>
                <w:webHidden/>
              </w:rPr>
              <w:t>8</w:t>
            </w:r>
            <w:r>
              <w:rPr>
                <w:noProof/>
                <w:webHidden/>
              </w:rPr>
              <w:fldChar w:fldCharType="end"/>
            </w:r>
          </w:hyperlink>
        </w:p>
        <w:p w:rsidR="00A61254" w:rsidRDefault="00A61254">
          <w:pPr>
            <w:pStyle w:val="TOC2"/>
            <w:tabs>
              <w:tab w:val="left" w:pos="880"/>
              <w:tab w:val="right" w:leader="dot" w:pos="9350"/>
            </w:tabs>
            <w:rPr>
              <w:rFonts w:asciiTheme="minorHAnsi" w:eastAsiaTheme="minorEastAsia" w:hAnsiTheme="minorHAnsi"/>
              <w:noProof/>
              <w:sz w:val="22"/>
            </w:rPr>
          </w:pPr>
          <w:hyperlink w:anchor="_Toc181729449" w:history="1">
            <w:r w:rsidRPr="005E31C4">
              <w:rPr>
                <w:rStyle w:val="Hyperlink"/>
                <w:rFonts w:cs="Times New Roman"/>
                <w:noProof/>
              </w:rPr>
              <w:t>2.5</w:t>
            </w:r>
            <w:r>
              <w:rPr>
                <w:rFonts w:asciiTheme="minorHAnsi" w:eastAsiaTheme="minorEastAsia" w:hAnsiTheme="minorHAnsi"/>
                <w:noProof/>
                <w:sz w:val="22"/>
              </w:rPr>
              <w:tab/>
            </w:r>
            <w:r w:rsidRPr="005E31C4">
              <w:rPr>
                <w:rStyle w:val="Hyperlink"/>
                <w:rFonts w:cs="Times New Roman"/>
                <w:noProof/>
              </w:rPr>
              <w:t>Solvency Ratios</w:t>
            </w:r>
            <w:r>
              <w:rPr>
                <w:noProof/>
                <w:webHidden/>
              </w:rPr>
              <w:tab/>
            </w:r>
            <w:r>
              <w:rPr>
                <w:noProof/>
                <w:webHidden/>
              </w:rPr>
              <w:fldChar w:fldCharType="begin"/>
            </w:r>
            <w:r>
              <w:rPr>
                <w:noProof/>
                <w:webHidden/>
              </w:rPr>
              <w:instrText xml:space="preserve"> PAGEREF _Toc181729449 \h </w:instrText>
            </w:r>
            <w:r>
              <w:rPr>
                <w:noProof/>
                <w:webHidden/>
              </w:rPr>
            </w:r>
            <w:r>
              <w:rPr>
                <w:noProof/>
                <w:webHidden/>
              </w:rPr>
              <w:fldChar w:fldCharType="separate"/>
            </w:r>
            <w:r>
              <w:rPr>
                <w:noProof/>
                <w:webHidden/>
              </w:rPr>
              <w:t>9</w:t>
            </w:r>
            <w:r>
              <w:rPr>
                <w:noProof/>
                <w:webHidden/>
              </w:rPr>
              <w:fldChar w:fldCharType="end"/>
            </w:r>
          </w:hyperlink>
        </w:p>
        <w:p w:rsidR="00A61254" w:rsidRDefault="00A61254">
          <w:pPr>
            <w:pStyle w:val="TOC1"/>
            <w:tabs>
              <w:tab w:val="left" w:pos="440"/>
              <w:tab w:val="right" w:leader="dot" w:pos="9350"/>
            </w:tabs>
            <w:rPr>
              <w:rFonts w:asciiTheme="minorHAnsi" w:eastAsiaTheme="minorEastAsia" w:hAnsiTheme="minorHAnsi"/>
              <w:noProof/>
              <w:sz w:val="22"/>
            </w:rPr>
          </w:pPr>
          <w:hyperlink w:anchor="_Toc181729450" w:history="1">
            <w:r w:rsidRPr="005E31C4">
              <w:rPr>
                <w:rStyle w:val="Hyperlink"/>
                <w:rFonts w:cs="Times New Roman"/>
                <w:noProof/>
              </w:rPr>
              <w:t>3</w:t>
            </w:r>
            <w:r>
              <w:rPr>
                <w:rFonts w:asciiTheme="minorHAnsi" w:eastAsiaTheme="minorEastAsia" w:hAnsiTheme="minorHAnsi"/>
                <w:noProof/>
                <w:sz w:val="22"/>
              </w:rPr>
              <w:tab/>
            </w:r>
            <w:r w:rsidRPr="005E31C4">
              <w:rPr>
                <w:rStyle w:val="Hyperlink"/>
                <w:rFonts w:cs="Times New Roman"/>
                <w:noProof/>
              </w:rPr>
              <w:t>Underlying the causes of the financial downturn</w:t>
            </w:r>
            <w:r>
              <w:rPr>
                <w:noProof/>
                <w:webHidden/>
              </w:rPr>
              <w:tab/>
            </w:r>
            <w:r>
              <w:rPr>
                <w:noProof/>
                <w:webHidden/>
              </w:rPr>
              <w:fldChar w:fldCharType="begin"/>
            </w:r>
            <w:r>
              <w:rPr>
                <w:noProof/>
                <w:webHidden/>
              </w:rPr>
              <w:instrText xml:space="preserve"> PAGEREF _Toc181729450 \h </w:instrText>
            </w:r>
            <w:r>
              <w:rPr>
                <w:noProof/>
                <w:webHidden/>
              </w:rPr>
            </w:r>
            <w:r>
              <w:rPr>
                <w:noProof/>
                <w:webHidden/>
              </w:rPr>
              <w:fldChar w:fldCharType="separate"/>
            </w:r>
            <w:r>
              <w:rPr>
                <w:noProof/>
                <w:webHidden/>
              </w:rPr>
              <w:t>11</w:t>
            </w:r>
            <w:r>
              <w:rPr>
                <w:noProof/>
                <w:webHidden/>
              </w:rPr>
              <w:fldChar w:fldCharType="end"/>
            </w:r>
          </w:hyperlink>
        </w:p>
        <w:p w:rsidR="00A61254" w:rsidRDefault="00A61254">
          <w:pPr>
            <w:pStyle w:val="TOC1"/>
            <w:tabs>
              <w:tab w:val="left" w:pos="440"/>
              <w:tab w:val="right" w:leader="dot" w:pos="9350"/>
            </w:tabs>
            <w:rPr>
              <w:rFonts w:asciiTheme="minorHAnsi" w:eastAsiaTheme="minorEastAsia" w:hAnsiTheme="minorHAnsi"/>
              <w:noProof/>
              <w:sz w:val="22"/>
            </w:rPr>
          </w:pPr>
          <w:hyperlink w:anchor="_Toc181729451" w:history="1">
            <w:r w:rsidRPr="005E31C4">
              <w:rPr>
                <w:rStyle w:val="Hyperlink"/>
                <w:rFonts w:cs="Times New Roman"/>
                <w:noProof/>
              </w:rPr>
              <w:t>4.</w:t>
            </w:r>
            <w:r>
              <w:rPr>
                <w:rFonts w:asciiTheme="minorHAnsi" w:eastAsiaTheme="minorEastAsia" w:hAnsiTheme="minorHAnsi"/>
                <w:noProof/>
                <w:sz w:val="22"/>
              </w:rPr>
              <w:tab/>
            </w:r>
            <w:r w:rsidRPr="005E31C4">
              <w:rPr>
                <w:rStyle w:val="Hyperlink"/>
                <w:rFonts w:cs="Times New Roman"/>
                <w:noProof/>
              </w:rPr>
              <w:t>Turnout Strategy</w:t>
            </w:r>
            <w:r>
              <w:rPr>
                <w:noProof/>
                <w:webHidden/>
              </w:rPr>
              <w:tab/>
            </w:r>
            <w:r>
              <w:rPr>
                <w:noProof/>
                <w:webHidden/>
              </w:rPr>
              <w:fldChar w:fldCharType="begin"/>
            </w:r>
            <w:r>
              <w:rPr>
                <w:noProof/>
                <w:webHidden/>
              </w:rPr>
              <w:instrText xml:space="preserve"> PAGEREF _Toc181729451 \h </w:instrText>
            </w:r>
            <w:r>
              <w:rPr>
                <w:noProof/>
                <w:webHidden/>
              </w:rPr>
            </w:r>
            <w:r>
              <w:rPr>
                <w:noProof/>
                <w:webHidden/>
              </w:rPr>
              <w:fldChar w:fldCharType="separate"/>
            </w:r>
            <w:r>
              <w:rPr>
                <w:noProof/>
                <w:webHidden/>
              </w:rPr>
              <w:t>11</w:t>
            </w:r>
            <w:r>
              <w:rPr>
                <w:noProof/>
                <w:webHidden/>
              </w:rPr>
              <w:fldChar w:fldCharType="end"/>
            </w:r>
          </w:hyperlink>
        </w:p>
        <w:p w:rsidR="00A61254" w:rsidRDefault="00A61254">
          <w:pPr>
            <w:pStyle w:val="TOC1"/>
            <w:tabs>
              <w:tab w:val="left" w:pos="440"/>
              <w:tab w:val="right" w:leader="dot" w:pos="9350"/>
            </w:tabs>
            <w:rPr>
              <w:rFonts w:asciiTheme="minorHAnsi" w:eastAsiaTheme="minorEastAsia" w:hAnsiTheme="minorHAnsi"/>
              <w:noProof/>
              <w:sz w:val="22"/>
            </w:rPr>
          </w:pPr>
          <w:hyperlink w:anchor="_Toc181729452" w:history="1">
            <w:r w:rsidRPr="005E31C4">
              <w:rPr>
                <w:rStyle w:val="Hyperlink"/>
                <w:rFonts w:cs="Times New Roman"/>
                <w:noProof/>
              </w:rPr>
              <w:t>5.</w:t>
            </w:r>
            <w:r>
              <w:rPr>
                <w:rFonts w:asciiTheme="minorHAnsi" w:eastAsiaTheme="minorEastAsia" w:hAnsiTheme="minorHAnsi"/>
                <w:noProof/>
                <w:sz w:val="22"/>
              </w:rPr>
              <w:tab/>
            </w:r>
            <w:r w:rsidRPr="005E31C4">
              <w:rPr>
                <w:rStyle w:val="Hyperlink"/>
                <w:rFonts w:cs="Times New Roman"/>
                <w:noProof/>
              </w:rPr>
              <w:t>Financial Projection and Viability</w:t>
            </w:r>
            <w:r>
              <w:rPr>
                <w:noProof/>
                <w:webHidden/>
              </w:rPr>
              <w:tab/>
            </w:r>
            <w:r>
              <w:rPr>
                <w:noProof/>
                <w:webHidden/>
              </w:rPr>
              <w:fldChar w:fldCharType="begin"/>
            </w:r>
            <w:r>
              <w:rPr>
                <w:noProof/>
                <w:webHidden/>
              </w:rPr>
              <w:instrText xml:space="preserve"> PAGEREF _Toc181729452 \h </w:instrText>
            </w:r>
            <w:r>
              <w:rPr>
                <w:noProof/>
                <w:webHidden/>
              </w:rPr>
            </w:r>
            <w:r>
              <w:rPr>
                <w:noProof/>
                <w:webHidden/>
              </w:rPr>
              <w:fldChar w:fldCharType="separate"/>
            </w:r>
            <w:r>
              <w:rPr>
                <w:noProof/>
                <w:webHidden/>
              </w:rPr>
              <w:t>12</w:t>
            </w:r>
            <w:r>
              <w:rPr>
                <w:noProof/>
                <w:webHidden/>
              </w:rPr>
              <w:fldChar w:fldCharType="end"/>
            </w:r>
          </w:hyperlink>
        </w:p>
        <w:p w:rsidR="00A61254" w:rsidRDefault="00A61254">
          <w:pPr>
            <w:pStyle w:val="TOC1"/>
            <w:tabs>
              <w:tab w:val="left" w:pos="440"/>
              <w:tab w:val="right" w:leader="dot" w:pos="9350"/>
            </w:tabs>
            <w:rPr>
              <w:rFonts w:asciiTheme="minorHAnsi" w:eastAsiaTheme="minorEastAsia" w:hAnsiTheme="minorHAnsi"/>
              <w:noProof/>
              <w:sz w:val="22"/>
            </w:rPr>
          </w:pPr>
          <w:hyperlink w:anchor="_Toc181729453" w:history="1">
            <w:r w:rsidRPr="005E31C4">
              <w:rPr>
                <w:rStyle w:val="Hyperlink"/>
                <w:rFonts w:cs="Times New Roman"/>
                <w:noProof/>
              </w:rPr>
              <w:t>6.</w:t>
            </w:r>
            <w:r>
              <w:rPr>
                <w:rFonts w:asciiTheme="minorHAnsi" w:eastAsiaTheme="minorEastAsia" w:hAnsiTheme="minorHAnsi"/>
                <w:noProof/>
                <w:sz w:val="22"/>
              </w:rPr>
              <w:tab/>
            </w:r>
            <w:r w:rsidRPr="005E31C4">
              <w:rPr>
                <w:rStyle w:val="Hyperlink"/>
                <w:rFonts w:cs="Times New Roman"/>
                <w:noProof/>
              </w:rPr>
              <w:t>Conclusion</w:t>
            </w:r>
            <w:r>
              <w:rPr>
                <w:noProof/>
                <w:webHidden/>
              </w:rPr>
              <w:tab/>
            </w:r>
            <w:r>
              <w:rPr>
                <w:noProof/>
                <w:webHidden/>
              </w:rPr>
              <w:fldChar w:fldCharType="begin"/>
            </w:r>
            <w:r>
              <w:rPr>
                <w:noProof/>
                <w:webHidden/>
              </w:rPr>
              <w:instrText xml:space="preserve"> PAGEREF _Toc181729453 \h </w:instrText>
            </w:r>
            <w:r>
              <w:rPr>
                <w:noProof/>
                <w:webHidden/>
              </w:rPr>
            </w:r>
            <w:r>
              <w:rPr>
                <w:noProof/>
                <w:webHidden/>
              </w:rPr>
              <w:fldChar w:fldCharType="separate"/>
            </w:r>
            <w:r>
              <w:rPr>
                <w:noProof/>
                <w:webHidden/>
              </w:rPr>
              <w:t>14</w:t>
            </w:r>
            <w:r>
              <w:rPr>
                <w:noProof/>
                <w:webHidden/>
              </w:rPr>
              <w:fldChar w:fldCharType="end"/>
            </w:r>
          </w:hyperlink>
        </w:p>
        <w:p w:rsidR="00A61254" w:rsidRDefault="00A61254">
          <w:pPr>
            <w:pStyle w:val="TOC1"/>
            <w:tabs>
              <w:tab w:val="left" w:pos="440"/>
              <w:tab w:val="right" w:leader="dot" w:pos="9350"/>
            </w:tabs>
            <w:rPr>
              <w:rFonts w:asciiTheme="minorHAnsi" w:eastAsiaTheme="minorEastAsia" w:hAnsiTheme="minorHAnsi"/>
              <w:noProof/>
              <w:sz w:val="22"/>
            </w:rPr>
          </w:pPr>
          <w:hyperlink w:anchor="_Toc181729454" w:history="1">
            <w:r w:rsidRPr="005E31C4">
              <w:rPr>
                <w:rStyle w:val="Hyperlink"/>
                <w:rFonts w:cs="Times New Roman"/>
                <w:noProof/>
              </w:rPr>
              <w:t>7.</w:t>
            </w:r>
            <w:r>
              <w:rPr>
                <w:rFonts w:asciiTheme="minorHAnsi" w:eastAsiaTheme="minorEastAsia" w:hAnsiTheme="minorHAnsi"/>
                <w:noProof/>
                <w:sz w:val="22"/>
              </w:rPr>
              <w:tab/>
            </w:r>
            <w:r w:rsidRPr="005E31C4">
              <w:rPr>
                <w:rStyle w:val="Hyperlink"/>
                <w:rFonts w:cs="Times New Roman"/>
                <w:noProof/>
              </w:rPr>
              <w:t>Recommendation</w:t>
            </w:r>
            <w:r>
              <w:rPr>
                <w:noProof/>
                <w:webHidden/>
              </w:rPr>
              <w:tab/>
            </w:r>
            <w:r>
              <w:rPr>
                <w:noProof/>
                <w:webHidden/>
              </w:rPr>
              <w:fldChar w:fldCharType="begin"/>
            </w:r>
            <w:r>
              <w:rPr>
                <w:noProof/>
                <w:webHidden/>
              </w:rPr>
              <w:instrText xml:space="preserve"> PAGEREF _Toc181729454 \h </w:instrText>
            </w:r>
            <w:r>
              <w:rPr>
                <w:noProof/>
                <w:webHidden/>
              </w:rPr>
            </w:r>
            <w:r>
              <w:rPr>
                <w:noProof/>
                <w:webHidden/>
              </w:rPr>
              <w:fldChar w:fldCharType="separate"/>
            </w:r>
            <w:r>
              <w:rPr>
                <w:noProof/>
                <w:webHidden/>
              </w:rPr>
              <w:t>14</w:t>
            </w:r>
            <w:r>
              <w:rPr>
                <w:noProof/>
                <w:webHidden/>
              </w:rPr>
              <w:fldChar w:fldCharType="end"/>
            </w:r>
          </w:hyperlink>
        </w:p>
        <w:p w:rsidR="00A61254" w:rsidRDefault="00A61254">
          <w:pPr>
            <w:pStyle w:val="TOC1"/>
            <w:tabs>
              <w:tab w:val="left" w:pos="440"/>
              <w:tab w:val="right" w:leader="dot" w:pos="9350"/>
            </w:tabs>
            <w:rPr>
              <w:rFonts w:asciiTheme="minorHAnsi" w:eastAsiaTheme="minorEastAsia" w:hAnsiTheme="minorHAnsi"/>
              <w:noProof/>
              <w:sz w:val="22"/>
            </w:rPr>
          </w:pPr>
          <w:hyperlink w:anchor="_Toc181729455" w:history="1">
            <w:r w:rsidRPr="005E31C4">
              <w:rPr>
                <w:rStyle w:val="Hyperlink"/>
                <w:rFonts w:cs="Times New Roman"/>
                <w:noProof/>
              </w:rPr>
              <w:t>8.</w:t>
            </w:r>
            <w:r>
              <w:rPr>
                <w:rFonts w:asciiTheme="minorHAnsi" w:eastAsiaTheme="minorEastAsia" w:hAnsiTheme="minorHAnsi"/>
                <w:noProof/>
                <w:sz w:val="22"/>
              </w:rPr>
              <w:tab/>
            </w:r>
            <w:r w:rsidRPr="005E31C4">
              <w:rPr>
                <w:rStyle w:val="Hyperlink"/>
                <w:rFonts w:cs="Times New Roman"/>
                <w:noProof/>
              </w:rPr>
              <w:t>References</w:t>
            </w:r>
            <w:r>
              <w:rPr>
                <w:noProof/>
                <w:webHidden/>
              </w:rPr>
              <w:tab/>
            </w:r>
            <w:r>
              <w:rPr>
                <w:noProof/>
                <w:webHidden/>
              </w:rPr>
              <w:fldChar w:fldCharType="begin"/>
            </w:r>
            <w:r>
              <w:rPr>
                <w:noProof/>
                <w:webHidden/>
              </w:rPr>
              <w:instrText xml:space="preserve"> PAGEREF _Toc181729455 \h </w:instrText>
            </w:r>
            <w:r>
              <w:rPr>
                <w:noProof/>
                <w:webHidden/>
              </w:rPr>
            </w:r>
            <w:r>
              <w:rPr>
                <w:noProof/>
                <w:webHidden/>
              </w:rPr>
              <w:fldChar w:fldCharType="separate"/>
            </w:r>
            <w:r>
              <w:rPr>
                <w:noProof/>
                <w:webHidden/>
              </w:rPr>
              <w:t>16</w:t>
            </w:r>
            <w:r>
              <w:rPr>
                <w:noProof/>
                <w:webHidden/>
              </w:rPr>
              <w:fldChar w:fldCharType="end"/>
            </w:r>
          </w:hyperlink>
        </w:p>
        <w:p w:rsidR="003A755D" w:rsidRPr="00AF2478" w:rsidRDefault="003A755D">
          <w:pPr>
            <w:rPr>
              <w:rFonts w:cs="Times New Roman"/>
              <w:szCs w:val="24"/>
            </w:rPr>
          </w:pPr>
          <w:r w:rsidRPr="00AF2478">
            <w:rPr>
              <w:rFonts w:cs="Times New Roman"/>
              <w:b/>
              <w:bCs/>
              <w:noProof/>
              <w:szCs w:val="24"/>
            </w:rPr>
            <w:fldChar w:fldCharType="end"/>
          </w:r>
        </w:p>
        <w:bookmarkStart w:id="0" w:name="_GoBack" w:displacedByCustomXml="next"/>
        <w:bookmarkEnd w:id="0" w:displacedByCustomXml="next"/>
      </w:sdtContent>
    </w:sdt>
    <w:p w:rsidR="00AA2B06" w:rsidRPr="00AF2478" w:rsidRDefault="000B1FCA" w:rsidP="00113258">
      <w:pPr>
        <w:spacing w:line="259" w:lineRule="auto"/>
        <w:jc w:val="center"/>
        <w:rPr>
          <w:rFonts w:cs="Times New Roman"/>
          <w:b/>
          <w:szCs w:val="24"/>
        </w:rPr>
      </w:pPr>
      <w:r w:rsidRPr="00AF2478">
        <w:rPr>
          <w:rFonts w:cs="Times New Roman"/>
          <w:b/>
          <w:szCs w:val="24"/>
        </w:rPr>
        <w:br w:type="page"/>
      </w:r>
    </w:p>
    <w:p w:rsidR="00B15A17" w:rsidRPr="00B56A83" w:rsidRDefault="000B1FCA" w:rsidP="00607A24">
      <w:pPr>
        <w:pStyle w:val="Heading1"/>
        <w:numPr>
          <w:ilvl w:val="0"/>
          <w:numId w:val="3"/>
        </w:numPr>
        <w:rPr>
          <w:rFonts w:cs="Times New Roman"/>
          <w:szCs w:val="24"/>
        </w:rPr>
      </w:pPr>
      <w:bookmarkStart w:id="1" w:name="_Toc181729444"/>
      <w:r w:rsidRPr="00B56A83">
        <w:rPr>
          <w:rFonts w:cs="Times New Roman"/>
          <w:szCs w:val="24"/>
        </w:rPr>
        <w:lastRenderedPageBreak/>
        <w:t>Introduction</w:t>
      </w:r>
      <w:bookmarkEnd w:id="1"/>
      <w:r w:rsidRPr="00B56A83">
        <w:rPr>
          <w:rFonts w:cs="Times New Roman"/>
          <w:szCs w:val="24"/>
        </w:rPr>
        <w:t xml:space="preserve"> </w:t>
      </w:r>
    </w:p>
    <w:p w:rsidR="00DD5488" w:rsidRPr="00B56A83" w:rsidRDefault="000B1FCA" w:rsidP="00DB502F">
      <w:pPr>
        <w:ind w:firstLine="360"/>
        <w:rPr>
          <w:rFonts w:cs="Times New Roman"/>
          <w:szCs w:val="24"/>
        </w:rPr>
      </w:pPr>
      <w:r w:rsidRPr="00B56A83">
        <w:rPr>
          <w:rFonts w:cs="Times New Roman"/>
          <w:szCs w:val="24"/>
        </w:rPr>
        <w:t>The City Hotel that owns a strategic location in the middle of the city is a reputable business now facing several significant problems. Revenue has been declining and as such occupancy rates are compromising the Hotel's operations status. Besides, customer satisfaction levels decreased recently and the feedback and reviews have proven it, which only decreases its attractiveness in a competitive atmosphere to hotel clients</w:t>
      </w:r>
      <w:r w:rsidR="00C55C3A" w:rsidRPr="00B56A83">
        <w:rPr>
          <w:rFonts w:cs="Times New Roman"/>
          <w:szCs w:val="24"/>
        </w:rPr>
        <w:t xml:space="preserve"> (</w:t>
      </w:r>
      <w:r w:rsidR="00C55C3A" w:rsidRPr="00B56A83">
        <w:rPr>
          <w:rFonts w:cs="Times New Roman"/>
          <w:szCs w:val="24"/>
          <w:shd w:val="clear" w:color="auto" w:fill="FFFFFF"/>
        </w:rPr>
        <w:t>Brealey et al., 2023</w:t>
      </w:r>
      <w:r w:rsidR="00C55C3A" w:rsidRPr="00B56A83">
        <w:rPr>
          <w:rFonts w:cs="Times New Roman"/>
          <w:szCs w:val="24"/>
        </w:rPr>
        <w:t>)</w:t>
      </w:r>
      <w:r w:rsidRPr="00B56A83">
        <w:rPr>
          <w:rFonts w:cs="Times New Roman"/>
          <w:szCs w:val="24"/>
        </w:rPr>
        <w:t>. These problems are not just a concern of the present period revenue and profit generation but also threaten organizational stability and the imag</w:t>
      </w:r>
      <w:r w:rsidR="00DB502F">
        <w:rPr>
          <w:rFonts w:cs="Times New Roman"/>
          <w:szCs w:val="24"/>
        </w:rPr>
        <w:t>e of the hotel in the long ru</w:t>
      </w:r>
      <w:r w:rsidRPr="00B56A83">
        <w:rPr>
          <w:rFonts w:cs="Times New Roman"/>
          <w:szCs w:val="24"/>
        </w:rPr>
        <w:t>n</w:t>
      </w:r>
      <w:r w:rsidR="00AF2478" w:rsidRPr="00B56A83">
        <w:rPr>
          <w:rFonts w:cs="Times New Roman"/>
          <w:szCs w:val="24"/>
        </w:rPr>
        <w:t xml:space="preserve"> (</w:t>
      </w:r>
      <w:proofErr w:type="spellStart"/>
      <w:r w:rsidR="00AF2478" w:rsidRPr="00B56A83">
        <w:rPr>
          <w:rFonts w:cs="Times New Roman"/>
          <w:color w:val="222222"/>
          <w:szCs w:val="24"/>
          <w:shd w:val="clear" w:color="auto" w:fill="FFFFFF"/>
        </w:rPr>
        <w:t>Ayoush</w:t>
      </w:r>
      <w:proofErr w:type="spellEnd"/>
      <w:r w:rsidR="00AF2478" w:rsidRPr="00B56A83">
        <w:rPr>
          <w:rFonts w:cs="Times New Roman"/>
          <w:color w:val="222222"/>
          <w:szCs w:val="24"/>
          <w:shd w:val="clear" w:color="auto" w:fill="FFFFFF"/>
        </w:rPr>
        <w:t xml:space="preserve"> et al., 2021</w:t>
      </w:r>
      <w:r w:rsidR="00AF2478" w:rsidRPr="00B56A83">
        <w:rPr>
          <w:rFonts w:cs="Times New Roman"/>
          <w:szCs w:val="24"/>
        </w:rPr>
        <w:t>)</w:t>
      </w:r>
      <w:r w:rsidRPr="00B56A83">
        <w:rPr>
          <w:rFonts w:cs="Times New Roman"/>
          <w:szCs w:val="24"/>
        </w:rPr>
        <w:t>. More specifically, the data collected on operational practices, market, and customer feedback will be used to design a</w:t>
      </w:r>
      <w:r w:rsidR="00DB502F">
        <w:rPr>
          <w:rFonts w:cs="Times New Roman"/>
          <w:szCs w:val="24"/>
        </w:rPr>
        <w:t>n effective turnaround strategy</w:t>
      </w:r>
      <w:r w:rsidR="00113258" w:rsidRPr="00B56A83">
        <w:rPr>
          <w:rFonts w:cs="Times New Roman"/>
          <w:szCs w:val="24"/>
        </w:rPr>
        <w:t>.</w:t>
      </w:r>
    </w:p>
    <w:p w:rsidR="00AA2B06" w:rsidRPr="00B56A83" w:rsidRDefault="000B1FCA" w:rsidP="00607A24">
      <w:pPr>
        <w:pStyle w:val="Heading1"/>
        <w:numPr>
          <w:ilvl w:val="0"/>
          <w:numId w:val="3"/>
        </w:numPr>
        <w:rPr>
          <w:rFonts w:cs="Times New Roman"/>
          <w:szCs w:val="24"/>
        </w:rPr>
      </w:pPr>
      <w:bookmarkStart w:id="2" w:name="_Toc181729445"/>
      <w:r w:rsidRPr="00B56A83">
        <w:rPr>
          <w:rFonts w:cs="Times New Roman"/>
          <w:szCs w:val="24"/>
        </w:rPr>
        <w:t>Financial An</w:t>
      </w:r>
      <w:r w:rsidR="00113258" w:rsidRPr="00B56A83">
        <w:rPr>
          <w:rFonts w:cs="Times New Roman"/>
          <w:szCs w:val="24"/>
        </w:rPr>
        <w:t>alysis</w:t>
      </w:r>
      <w:bookmarkEnd w:id="2"/>
      <w:r w:rsidR="00113258" w:rsidRPr="00B56A83">
        <w:rPr>
          <w:rFonts w:cs="Times New Roman"/>
          <w:szCs w:val="24"/>
        </w:rPr>
        <w:t xml:space="preserve"> </w:t>
      </w:r>
    </w:p>
    <w:p w:rsidR="00CA7230" w:rsidRPr="00B56A83" w:rsidRDefault="00CA7230">
      <w:pPr>
        <w:rPr>
          <w:rFonts w:cs="Times New Roman"/>
          <w:szCs w:val="24"/>
        </w:rPr>
      </w:pPr>
    </w:p>
    <w:p w:rsidR="00C638EA" w:rsidRPr="00B56A83" w:rsidRDefault="000B1FCA" w:rsidP="00607A24">
      <w:pPr>
        <w:pStyle w:val="Heading2"/>
        <w:numPr>
          <w:ilvl w:val="1"/>
          <w:numId w:val="3"/>
        </w:numPr>
        <w:rPr>
          <w:rFonts w:cs="Times New Roman"/>
          <w:szCs w:val="24"/>
        </w:rPr>
      </w:pPr>
      <w:bookmarkStart w:id="3" w:name="_Toc181729446"/>
      <w:r w:rsidRPr="00B56A83">
        <w:rPr>
          <w:rFonts w:cs="Times New Roman"/>
          <w:szCs w:val="24"/>
        </w:rPr>
        <w:t>Revenue</w:t>
      </w:r>
      <w:r w:rsidR="0021245F" w:rsidRPr="00B56A83">
        <w:rPr>
          <w:rFonts w:cs="Times New Roman"/>
          <w:szCs w:val="24"/>
        </w:rPr>
        <w:t xml:space="preserve"> Analysis</w:t>
      </w:r>
      <w:bookmarkEnd w:id="3"/>
      <w:r w:rsidR="0021245F" w:rsidRPr="00B56A83">
        <w:rPr>
          <w:rFonts w:cs="Times New Roman"/>
          <w:szCs w:val="24"/>
        </w:rPr>
        <w:t xml:space="preserve"> </w:t>
      </w:r>
    </w:p>
    <w:p w:rsidR="0021245F" w:rsidRPr="00B56A83" w:rsidRDefault="000B1FCA">
      <w:pPr>
        <w:rPr>
          <w:rFonts w:cs="Times New Roman"/>
          <w:b/>
          <w:i/>
          <w:szCs w:val="24"/>
        </w:rPr>
      </w:pPr>
      <w:r w:rsidRPr="00B56A83">
        <w:rPr>
          <w:rFonts w:cs="Times New Roman"/>
          <w:b/>
          <w:i/>
          <w:szCs w:val="24"/>
        </w:rPr>
        <w:t xml:space="preserve">Calculation </w:t>
      </w:r>
    </w:p>
    <w:tbl>
      <w:tblPr>
        <w:tblW w:w="5031" w:type="dxa"/>
        <w:jc w:val="center"/>
        <w:tblLook w:val="04A0" w:firstRow="1" w:lastRow="0" w:firstColumn="1" w:lastColumn="0" w:noHBand="0" w:noVBand="1"/>
      </w:tblPr>
      <w:tblGrid>
        <w:gridCol w:w="2257"/>
        <w:gridCol w:w="2774"/>
      </w:tblGrid>
      <w:tr w:rsidR="00F97A60" w:rsidRPr="00B56A83" w:rsidTr="00607A24">
        <w:trPr>
          <w:trHeight w:val="315"/>
          <w:jc w:val="center"/>
        </w:trPr>
        <w:tc>
          <w:tcPr>
            <w:tcW w:w="2257" w:type="dxa"/>
            <w:tcBorders>
              <w:top w:val="single" w:sz="8" w:space="0" w:color="auto"/>
              <w:left w:val="single" w:sz="8" w:space="0" w:color="auto"/>
              <w:bottom w:val="single" w:sz="4" w:space="0" w:color="auto"/>
              <w:right w:val="single" w:sz="4" w:space="0" w:color="auto"/>
            </w:tcBorders>
            <w:shd w:val="clear" w:color="000000" w:fill="F8CBAD"/>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2021</w:t>
            </w:r>
          </w:p>
        </w:tc>
        <w:tc>
          <w:tcPr>
            <w:tcW w:w="2774" w:type="dxa"/>
            <w:tcBorders>
              <w:top w:val="single" w:sz="8" w:space="0" w:color="auto"/>
              <w:left w:val="nil"/>
              <w:bottom w:val="single" w:sz="4" w:space="0" w:color="auto"/>
              <w:right w:val="single" w:sz="8" w:space="0" w:color="auto"/>
            </w:tcBorders>
            <w:shd w:val="clear" w:color="000000" w:fill="FCE4D6"/>
            <w:noWrap/>
            <w:vAlign w:val="bottom"/>
            <w:hideMark/>
          </w:tcPr>
          <w:p w:rsidR="00607A24" w:rsidRPr="00B56A83" w:rsidRDefault="000B1FCA" w:rsidP="00607A24">
            <w:pPr>
              <w:spacing w:after="0" w:line="240" w:lineRule="auto"/>
              <w:jc w:val="center"/>
              <w:rPr>
                <w:rFonts w:eastAsia="Times New Roman" w:cs="Times New Roman"/>
                <w:szCs w:val="24"/>
              </w:rPr>
            </w:pPr>
            <w:r w:rsidRPr="00B56A83">
              <w:rPr>
                <w:rFonts w:eastAsia="Times New Roman" w:cs="Times New Roman"/>
                <w:szCs w:val="24"/>
              </w:rPr>
              <w:t>5,248,290</w:t>
            </w:r>
          </w:p>
        </w:tc>
      </w:tr>
      <w:tr w:rsidR="00F97A60" w:rsidRPr="00B56A83" w:rsidTr="00607A24">
        <w:trPr>
          <w:trHeight w:val="315"/>
          <w:jc w:val="center"/>
        </w:trPr>
        <w:tc>
          <w:tcPr>
            <w:tcW w:w="2257" w:type="dxa"/>
            <w:tcBorders>
              <w:top w:val="nil"/>
              <w:left w:val="single" w:sz="8" w:space="0" w:color="auto"/>
              <w:bottom w:val="single" w:sz="4" w:space="0" w:color="auto"/>
              <w:right w:val="single" w:sz="4" w:space="0" w:color="auto"/>
            </w:tcBorders>
            <w:shd w:val="clear" w:color="000000" w:fill="F8CBAD"/>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2022</w:t>
            </w:r>
          </w:p>
        </w:tc>
        <w:tc>
          <w:tcPr>
            <w:tcW w:w="2774" w:type="dxa"/>
            <w:tcBorders>
              <w:top w:val="nil"/>
              <w:left w:val="nil"/>
              <w:bottom w:val="single" w:sz="4" w:space="0" w:color="auto"/>
              <w:right w:val="single" w:sz="8" w:space="0" w:color="auto"/>
            </w:tcBorders>
            <w:shd w:val="clear" w:color="000000" w:fill="FCE4D6"/>
            <w:noWrap/>
            <w:vAlign w:val="bottom"/>
            <w:hideMark/>
          </w:tcPr>
          <w:p w:rsidR="00607A24" w:rsidRPr="00B56A83" w:rsidRDefault="000B1FCA" w:rsidP="00607A24">
            <w:pPr>
              <w:spacing w:after="0" w:line="240" w:lineRule="auto"/>
              <w:jc w:val="center"/>
              <w:rPr>
                <w:rFonts w:eastAsia="Times New Roman" w:cs="Times New Roman"/>
                <w:szCs w:val="24"/>
              </w:rPr>
            </w:pPr>
            <w:r w:rsidRPr="00B56A83">
              <w:rPr>
                <w:rFonts w:eastAsia="Times New Roman" w:cs="Times New Roman"/>
                <w:szCs w:val="24"/>
              </w:rPr>
              <w:t>5,307,480</w:t>
            </w:r>
          </w:p>
        </w:tc>
      </w:tr>
      <w:tr w:rsidR="00F97A60" w:rsidRPr="00B56A83" w:rsidTr="00607A24">
        <w:trPr>
          <w:trHeight w:val="330"/>
          <w:jc w:val="center"/>
        </w:trPr>
        <w:tc>
          <w:tcPr>
            <w:tcW w:w="2257" w:type="dxa"/>
            <w:tcBorders>
              <w:top w:val="nil"/>
              <w:left w:val="single" w:sz="8" w:space="0" w:color="auto"/>
              <w:bottom w:val="single" w:sz="8" w:space="0" w:color="auto"/>
              <w:right w:val="single" w:sz="4" w:space="0" w:color="auto"/>
            </w:tcBorders>
            <w:shd w:val="clear" w:color="000000" w:fill="F8CBAD"/>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2023</w:t>
            </w:r>
          </w:p>
        </w:tc>
        <w:tc>
          <w:tcPr>
            <w:tcW w:w="2774" w:type="dxa"/>
            <w:tcBorders>
              <w:top w:val="nil"/>
              <w:left w:val="nil"/>
              <w:bottom w:val="single" w:sz="8" w:space="0" w:color="auto"/>
              <w:right w:val="single" w:sz="8" w:space="0" w:color="auto"/>
            </w:tcBorders>
            <w:shd w:val="clear" w:color="000000" w:fill="FCE4D6"/>
            <w:noWrap/>
            <w:vAlign w:val="bottom"/>
            <w:hideMark/>
          </w:tcPr>
          <w:p w:rsidR="00607A24" w:rsidRPr="00B56A83" w:rsidRDefault="000B1FCA" w:rsidP="00607A24">
            <w:pPr>
              <w:spacing w:after="0" w:line="240" w:lineRule="auto"/>
              <w:jc w:val="center"/>
              <w:rPr>
                <w:rFonts w:eastAsia="Times New Roman" w:cs="Times New Roman"/>
                <w:szCs w:val="24"/>
              </w:rPr>
            </w:pPr>
            <w:r w:rsidRPr="00B56A83">
              <w:rPr>
                <w:rFonts w:eastAsia="Times New Roman" w:cs="Times New Roman"/>
                <w:szCs w:val="24"/>
              </w:rPr>
              <w:t>2,325,440</w:t>
            </w:r>
          </w:p>
        </w:tc>
      </w:tr>
    </w:tbl>
    <w:p w:rsidR="00607A24" w:rsidRPr="00B56A83" w:rsidRDefault="00607A24">
      <w:pPr>
        <w:rPr>
          <w:rFonts w:cs="Times New Roman"/>
          <w:szCs w:val="24"/>
        </w:rPr>
      </w:pPr>
    </w:p>
    <w:tbl>
      <w:tblPr>
        <w:tblW w:w="9009" w:type="dxa"/>
        <w:tblInd w:w="20" w:type="dxa"/>
        <w:tblLook w:val="04A0" w:firstRow="1" w:lastRow="0" w:firstColumn="1" w:lastColumn="0" w:noHBand="0" w:noVBand="1"/>
      </w:tblPr>
      <w:tblGrid>
        <w:gridCol w:w="4480"/>
        <w:gridCol w:w="4529"/>
      </w:tblGrid>
      <w:tr w:rsidR="00F97A60" w:rsidRPr="00B56A83" w:rsidTr="00607A24">
        <w:trPr>
          <w:trHeight w:val="330"/>
        </w:trPr>
        <w:tc>
          <w:tcPr>
            <w:tcW w:w="4480" w:type="dxa"/>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b/>
                <w:bCs/>
                <w:szCs w:val="24"/>
              </w:rPr>
            </w:pPr>
            <w:r w:rsidRPr="00B56A83">
              <w:rPr>
                <w:rFonts w:eastAsia="Times New Roman" w:cs="Times New Roman"/>
                <w:b/>
                <w:bCs/>
                <w:szCs w:val="24"/>
              </w:rPr>
              <w:t xml:space="preserve">Revenue Growth Rate </w:t>
            </w:r>
          </w:p>
        </w:tc>
        <w:tc>
          <w:tcPr>
            <w:tcW w:w="4529"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b/>
                <w:bCs/>
                <w:szCs w:val="24"/>
              </w:rPr>
            </w:pPr>
          </w:p>
        </w:tc>
      </w:tr>
      <w:tr w:rsidR="00F97A60" w:rsidRPr="00B56A83" w:rsidTr="00607A24">
        <w:trPr>
          <w:trHeight w:val="315"/>
        </w:trPr>
        <w:tc>
          <w:tcPr>
            <w:tcW w:w="4480" w:type="dxa"/>
            <w:tcBorders>
              <w:top w:val="single" w:sz="8" w:space="0" w:color="auto"/>
              <w:left w:val="single" w:sz="8" w:space="0" w:color="auto"/>
              <w:bottom w:val="single" w:sz="4" w:space="0" w:color="auto"/>
              <w:right w:val="single" w:sz="4" w:space="0" w:color="auto"/>
            </w:tcBorders>
            <w:shd w:val="clear" w:color="000000" w:fill="ED7D31"/>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 xml:space="preserve">for the year 2022 </w:t>
            </w:r>
          </w:p>
        </w:tc>
        <w:tc>
          <w:tcPr>
            <w:tcW w:w="4529" w:type="dxa"/>
            <w:tcBorders>
              <w:top w:val="single" w:sz="8" w:space="0" w:color="auto"/>
              <w:left w:val="nil"/>
              <w:bottom w:val="single" w:sz="4" w:space="0" w:color="auto"/>
              <w:right w:val="single" w:sz="8" w:space="0" w:color="auto"/>
            </w:tcBorders>
            <w:shd w:val="clear" w:color="000000" w:fill="ED7D31"/>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for the year 2023</w:t>
            </w:r>
          </w:p>
        </w:tc>
      </w:tr>
      <w:tr w:rsidR="00F97A60" w:rsidRPr="00B56A83" w:rsidTr="00607A24">
        <w:trPr>
          <w:trHeight w:val="315"/>
        </w:trPr>
        <w:tc>
          <w:tcPr>
            <w:tcW w:w="4480" w:type="dxa"/>
            <w:tcBorders>
              <w:top w:val="nil"/>
              <w:left w:val="single" w:sz="8" w:space="0" w:color="auto"/>
              <w:bottom w:val="single" w:sz="4" w:space="0" w:color="auto"/>
              <w:right w:val="single" w:sz="4"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 xml:space="preserve">Formula </w:t>
            </w:r>
          </w:p>
        </w:tc>
        <w:tc>
          <w:tcPr>
            <w:tcW w:w="4529" w:type="dxa"/>
            <w:tcBorders>
              <w:top w:val="nil"/>
              <w:left w:val="nil"/>
              <w:bottom w:val="single" w:sz="4" w:space="0" w:color="auto"/>
              <w:right w:val="single" w:sz="8"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 xml:space="preserve">Formula    </w:t>
            </w:r>
          </w:p>
        </w:tc>
      </w:tr>
      <w:tr w:rsidR="00F97A60" w:rsidRPr="00B56A83" w:rsidTr="00607A24">
        <w:trPr>
          <w:trHeight w:val="315"/>
        </w:trPr>
        <w:tc>
          <w:tcPr>
            <w:tcW w:w="4480" w:type="dxa"/>
            <w:tcBorders>
              <w:top w:val="nil"/>
              <w:left w:val="single" w:sz="8" w:space="0" w:color="auto"/>
              <w:bottom w:val="single" w:sz="4" w:space="0" w:color="auto"/>
              <w:right w:val="single" w:sz="4"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 xml:space="preserve">    current year-previous year/ previous year</w:t>
            </w:r>
          </w:p>
        </w:tc>
        <w:tc>
          <w:tcPr>
            <w:tcW w:w="4529" w:type="dxa"/>
            <w:tcBorders>
              <w:top w:val="nil"/>
              <w:left w:val="nil"/>
              <w:bottom w:val="single" w:sz="4" w:space="0" w:color="auto"/>
              <w:right w:val="single" w:sz="8"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b/>
                <w:szCs w:val="24"/>
              </w:rPr>
            </w:pPr>
            <w:r w:rsidRPr="00B56A83">
              <w:rPr>
                <w:rFonts w:eastAsia="Times New Roman" w:cs="Times New Roman"/>
                <w:b/>
                <w:szCs w:val="24"/>
              </w:rPr>
              <w:t xml:space="preserve"> current year-previous year/ previous year</w:t>
            </w:r>
          </w:p>
        </w:tc>
      </w:tr>
      <w:tr w:rsidR="00F97A60" w:rsidRPr="00B56A83" w:rsidTr="00607A24">
        <w:trPr>
          <w:trHeight w:val="315"/>
        </w:trPr>
        <w:tc>
          <w:tcPr>
            <w:tcW w:w="4480" w:type="dxa"/>
            <w:tcBorders>
              <w:top w:val="nil"/>
              <w:left w:val="single" w:sz="8" w:space="0" w:color="auto"/>
              <w:bottom w:val="single" w:sz="4" w:space="0" w:color="auto"/>
              <w:right w:val="single" w:sz="4"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szCs w:val="24"/>
              </w:rPr>
            </w:pPr>
            <w:r w:rsidRPr="00B56A83">
              <w:rPr>
                <w:rFonts w:eastAsia="Times New Roman" w:cs="Times New Roman"/>
                <w:szCs w:val="24"/>
              </w:rPr>
              <w:t>(2022-2021)/2021</w:t>
            </w:r>
          </w:p>
        </w:tc>
        <w:tc>
          <w:tcPr>
            <w:tcW w:w="4529" w:type="dxa"/>
            <w:tcBorders>
              <w:top w:val="nil"/>
              <w:left w:val="nil"/>
              <w:bottom w:val="single" w:sz="4" w:space="0" w:color="auto"/>
              <w:right w:val="single" w:sz="8"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szCs w:val="24"/>
              </w:rPr>
            </w:pPr>
            <w:r w:rsidRPr="00B56A83">
              <w:rPr>
                <w:rFonts w:eastAsia="Times New Roman" w:cs="Times New Roman"/>
                <w:szCs w:val="24"/>
              </w:rPr>
              <w:t>(2023-2022)/2022</w:t>
            </w:r>
          </w:p>
        </w:tc>
      </w:tr>
      <w:tr w:rsidR="00F97A60" w:rsidRPr="00B56A83" w:rsidTr="00607A24">
        <w:trPr>
          <w:trHeight w:val="315"/>
        </w:trPr>
        <w:tc>
          <w:tcPr>
            <w:tcW w:w="4480" w:type="dxa"/>
            <w:tcBorders>
              <w:top w:val="nil"/>
              <w:left w:val="single" w:sz="8" w:space="0" w:color="auto"/>
              <w:bottom w:val="single" w:sz="4" w:space="0" w:color="auto"/>
              <w:right w:val="single" w:sz="4"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szCs w:val="24"/>
              </w:rPr>
            </w:pPr>
            <w:r w:rsidRPr="00B56A83">
              <w:rPr>
                <w:rFonts w:eastAsia="Times New Roman" w:cs="Times New Roman"/>
                <w:szCs w:val="24"/>
              </w:rPr>
              <w:t>0.011277959</w:t>
            </w:r>
          </w:p>
        </w:tc>
        <w:tc>
          <w:tcPr>
            <w:tcW w:w="4529" w:type="dxa"/>
            <w:tcBorders>
              <w:top w:val="nil"/>
              <w:left w:val="nil"/>
              <w:bottom w:val="single" w:sz="4" w:space="0" w:color="auto"/>
              <w:right w:val="single" w:sz="8"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szCs w:val="24"/>
              </w:rPr>
            </w:pPr>
            <w:r w:rsidRPr="00B56A83">
              <w:rPr>
                <w:rFonts w:eastAsia="Times New Roman" w:cs="Times New Roman"/>
                <w:szCs w:val="24"/>
              </w:rPr>
              <w:t>-0.561856097</w:t>
            </w:r>
          </w:p>
        </w:tc>
      </w:tr>
      <w:tr w:rsidR="00F97A60" w:rsidRPr="00B56A83" w:rsidTr="00607A24">
        <w:trPr>
          <w:trHeight w:val="315"/>
        </w:trPr>
        <w:tc>
          <w:tcPr>
            <w:tcW w:w="4480" w:type="dxa"/>
            <w:tcBorders>
              <w:top w:val="nil"/>
              <w:left w:val="single" w:sz="8" w:space="0" w:color="auto"/>
              <w:bottom w:val="single" w:sz="4" w:space="0" w:color="auto"/>
              <w:right w:val="single" w:sz="4"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Results</w:t>
            </w:r>
          </w:p>
        </w:tc>
        <w:tc>
          <w:tcPr>
            <w:tcW w:w="4529" w:type="dxa"/>
            <w:tcBorders>
              <w:top w:val="nil"/>
              <w:left w:val="nil"/>
              <w:bottom w:val="single" w:sz="4" w:space="0" w:color="auto"/>
              <w:right w:val="single" w:sz="8" w:space="0" w:color="auto"/>
            </w:tcBorders>
            <w:shd w:val="clear" w:color="000000" w:fill="FFD966"/>
            <w:noWrap/>
            <w:vAlign w:val="bottom"/>
            <w:hideMark/>
          </w:tcPr>
          <w:p w:rsidR="00607A24" w:rsidRPr="00B56A83" w:rsidRDefault="000B1FCA" w:rsidP="00607A24">
            <w:pPr>
              <w:spacing w:after="0" w:line="240" w:lineRule="auto"/>
              <w:jc w:val="left"/>
              <w:rPr>
                <w:rFonts w:eastAsia="Times New Roman" w:cs="Times New Roman"/>
                <w:szCs w:val="24"/>
              </w:rPr>
            </w:pPr>
            <w:r w:rsidRPr="00B56A83">
              <w:rPr>
                <w:rFonts w:eastAsia="Times New Roman" w:cs="Times New Roman"/>
                <w:szCs w:val="24"/>
              </w:rPr>
              <w:t> </w:t>
            </w:r>
          </w:p>
        </w:tc>
      </w:tr>
      <w:tr w:rsidR="00F97A60" w:rsidRPr="00B56A83" w:rsidTr="00607A24">
        <w:trPr>
          <w:trHeight w:val="315"/>
        </w:trPr>
        <w:tc>
          <w:tcPr>
            <w:tcW w:w="4480" w:type="dxa"/>
            <w:tcBorders>
              <w:top w:val="nil"/>
              <w:left w:val="single" w:sz="8" w:space="0" w:color="auto"/>
              <w:bottom w:val="single" w:sz="4" w:space="0" w:color="auto"/>
              <w:right w:val="single" w:sz="4"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2022</w:t>
            </w:r>
          </w:p>
        </w:tc>
        <w:tc>
          <w:tcPr>
            <w:tcW w:w="4529" w:type="dxa"/>
            <w:tcBorders>
              <w:top w:val="nil"/>
              <w:left w:val="nil"/>
              <w:bottom w:val="single" w:sz="4" w:space="0" w:color="auto"/>
              <w:right w:val="single" w:sz="8"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1.13%</w:t>
            </w:r>
          </w:p>
        </w:tc>
      </w:tr>
      <w:tr w:rsidR="00F97A60" w:rsidRPr="00B56A83" w:rsidTr="00607A24">
        <w:trPr>
          <w:trHeight w:val="330"/>
        </w:trPr>
        <w:tc>
          <w:tcPr>
            <w:tcW w:w="4480" w:type="dxa"/>
            <w:tcBorders>
              <w:top w:val="nil"/>
              <w:left w:val="single" w:sz="8" w:space="0" w:color="auto"/>
              <w:bottom w:val="single" w:sz="8" w:space="0" w:color="auto"/>
              <w:right w:val="single" w:sz="4"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2023</w:t>
            </w:r>
          </w:p>
        </w:tc>
        <w:tc>
          <w:tcPr>
            <w:tcW w:w="4529" w:type="dxa"/>
            <w:tcBorders>
              <w:top w:val="nil"/>
              <w:left w:val="nil"/>
              <w:bottom w:val="single" w:sz="8" w:space="0" w:color="auto"/>
              <w:right w:val="single" w:sz="8" w:space="0" w:color="auto"/>
            </w:tcBorders>
            <w:shd w:val="clear" w:color="000000" w:fill="FFD966"/>
            <w:noWrap/>
            <w:vAlign w:val="bottom"/>
            <w:hideMark/>
          </w:tcPr>
          <w:p w:rsidR="00607A24" w:rsidRPr="00B56A83" w:rsidRDefault="000B1FCA" w:rsidP="00607A24">
            <w:pPr>
              <w:spacing w:after="0" w:line="240" w:lineRule="auto"/>
              <w:jc w:val="center"/>
              <w:rPr>
                <w:rFonts w:eastAsia="Times New Roman" w:cs="Times New Roman"/>
                <w:b/>
                <w:bCs/>
                <w:szCs w:val="24"/>
              </w:rPr>
            </w:pPr>
            <w:r w:rsidRPr="00B56A83">
              <w:rPr>
                <w:rFonts w:eastAsia="Times New Roman" w:cs="Times New Roman"/>
                <w:b/>
                <w:bCs/>
                <w:szCs w:val="24"/>
              </w:rPr>
              <w:t>-56%</w:t>
            </w:r>
          </w:p>
        </w:tc>
      </w:tr>
    </w:tbl>
    <w:p w:rsidR="00607A24" w:rsidRPr="00B56A83" w:rsidRDefault="000B1FCA">
      <w:pPr>
        <w:rPr>
          <w:rFonts w:cs="Times New Roman"/>
          <w:b/>
          <w:i/>
          <w:szCs w:val="24"/>
        </w:rPr>
      </w:pPr>
      <w:r w:rsidRPr="00B56A83">
        <w:rPr>
          <w:rFonts w:cs="Times New Roman"/>
          <w:b/>
          <w:i/>
          <w:szCs w:val="24"/>
        </w:rPr>
        <w:t xml:space="preserve">Graphical Representation </w:t>
      </w:r>
    </w:p>
    <w:p w:rsidR="00CA7230" w:rsidRPr="00B56A83" w:rsidRDefault="000B1FCA" w:rsidP="00607A24">
      <w:pPr>
        <w:jc w:val="center"/>
        <w:rPr>
          <w:rFonts w:cs="Times New Roman"/>
          <w:szCs w:val="24"/>
        </w:rPr>
      </w:pPr>
      <w:r w:rsidRPr="00B56A83">
        <w:rPr>
          <w:rFonts w:cs="Times New Roman"/>
          <w:noProof/>
          <w:szCs w:val="24"/>
        </w:rPr>
        <w:lastRenderedPageBreak/>
        <w:drawing>
          <wp:inline distT="0" distB="0" distL="0" distR="0">
            <wp:extent cx="4572000" cy="28289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CA7230" w:rsidRPr="00B56A83" w:rsidRDefault="000B1FCA" w:rsidP="00607A24">
      <w:pPr>
        <w:jc w:val="center"/>
        <w:rPr>
          <w:rFonts w:cs="Times New Roman"/>
          <w:szCs w:val="24"/>
        </w:rPr>
      </w:pPr>
      <w:r w:rsidRPr="00B56A83">
        <w:rPr>
          <w:rFonts w:cs="Times New Roman"/>
          <w:noProof/>
          <w:szCs w:val="24"/>
        </w:rPr>
        <w:drawing>
          <wp:inline distT="0" distB="0" distL="0" distR="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607A24" w:rsidRPr="00B56A83" w:rsidRDefault="000B1FCA" w:rsidP="00607A24">
      <w:pPr>
        <w:jc w:val="left"/>
        <w:rPr>
          <w:rFonts w:cs="Times New Roman"/>
          <w:b/>
          <w:i/>
          <w:szCs w:val="24"/>
        </w:rPr>
      </w:pPr>
      <w:r w:rsidRPr="00B56A83">
        <w:rPr>
          <w:rFonts w:cs="Times New Roman"/>
          <w:b/>
          <w:i/>
          <w:szCs w:val="24"/>
        </w:rPr>
        <w:t>Interpretation</w:t>
      </w:r>
    </w:p>
    <w:p w:rsidR="0021245F" w:rsidRPr="00B56A83" w:rsidRDefault="000B1FCA">
      <w:pPr>
        <w:rPr>
          <w:rFonts w:cs="Times New Roman"/>
          <w:szCs w:val="24"/>
        </w:rPr>
      </w:pPr>
      <w:r w:rsidRPr="00B56A83">
        <w:rPr>
          <w:rFonts w:cs="Times New Roman"/>
          <w:szCs w:val="24"/>
        </w:rPr>
        <w:t>To analyze the trend of the revenue generated by The City Hotel for the past three years it would be desirable to draw a line graph indicating a dramatic decline in the revenue for 2021, 20</w:t>
      </w:r>
      <w:r w:rsidR="00607A24" w:rsidRPr="00B56A83">
        <w:rPr>
          <w:rFonts w:cs="Times New Roman"/>
          <w:szCs w:val="24"/>
        </w:rPr>
        <w:t xml:space="preserve">22, and 2023. The </w:t>
      </w:r>
      <w:r w:rsidRPr="00B56A83">
        <w:rPr>
          <w:rFonts w:cs="Times New Roman"/>
          <w:szCs w:val="24"/>
        </w:rPr>
        <w:t>graphical presentation, which exaggerates this decline, highlights the increase in this gap between the past and present top-line revenues and calls for a change of course</w:t>
      </w:r>
      <w:r w:rsidR="00AF2478" w:rsidRPr="00B56A83">
        <w:rPr>
          <w:rFonts w:cs="Times New Roman"/>
          <w:szCs w:val="24"/>
        </w:rPr>
        <w:t xml:space="preserve"> (</w:t>
      </w:r>
      <w:proofErr w:type="spellStart"/>
      <w:r w:rsidR="00AF2478" w:rsidRPr="00B56A83">
        <w:rPr>
          <w:rFonts w:cs="Times New Roman"/>
          <w:color w:val="222222"/>
          <w:szCs w:val="24"/>
          <w:shd w:val="clear" w:color="auto" w:fill="FFFFFF"/>
        </w:rPr>
        <w:t>Rafid</w:t>
      </w:r>
      <w:proofErr w:type="spellEnd"/>
      <w:r w:rsidR="00AF2478" w:rsidRPr="00B56A83">
        <w:rPr>
          <w:rFonts w:cs="Times New Roman"/>
          <w:color w:val="222222"/>
          <w:szCs w:val="24"/>
          <w:shd w:val="clear" w:color="auto" w:fill="FFFFFF"/>
        </w:rPr>
        <w:t xml:space="preserve"> et al., 2024)</w:t>
      </w:r>
      <w:r w:rsidRPr="00B56A83">
        <w:rPr>
          <w:rFonts w:cs="Times New Roman"/>
          <w:szCs w:val="24"/>
        </w:rPr>
        <w:t>.</w:t>
      </w:r>
      <w:r w:rsidR="001F0818" w:rsidRPr="00B56A83">
        <w:rPr>
          <w:rFonts w:cs="Times New Roman"/>
          <w:szCs w:val="24"/>
        </w:rPr>
        <w:t xml:space="preserve"> Moreover,  i</w:t>
      </w:r>
      <w:r w:rsidRPr="00B56A83">
        <w:rPr>
          <w:rFonts w:cs="Times New Roman"/>
          <w:szCs w:val="24"/>
        </w:rPr>
        <w:t>f the actual data had been presented would quickly have noted that a line graph would portray a declining trend, especially in 2023 where a sharp decline in profit is expected probably as a result of increased competition, and lower occupancy levels operations</w:t>
      </w:r>
      <w:r w:rsidR="00DB502F">
        <w:rPr>
          <w:rFonts w:cs="Times New Roman"/>
          <w:szCs w:val="24"/>
        </w:rPr>
        <w:t xml:space="preserve"> </w:t>
      </w:r>
      <w:r w:rsidR="00DB502F" w:rsidRPr="00B56A83">
        <w:rPr>
          <w:rFonts w:cs="Times New Roman"/>
          <w:szCs w:val="24"/>
        </w:rPr>
        <w:t>(</w:t>
      </w:r>
      <w:r w:rsidR="00DB502F" w:rsidRPr="00B56A83">
        <w:rPr>
          <w:rFonts w:cs="Times New Roman"/>
          <w:color w:val="222222"/>
          <w:szCs w:val="24"/>
          <w:shd w:val="clear" w:color="auto" w:fill="FFFFFF"/>
        </w:rPr>
        <w:t xml:space="preserve">Chen et al., </w:t>
      </w:r>
      <w:r w:rsidR="00DB502F" w:rsidRPr="00B56A83">
        <w:rPr>
          <w:rFonts w:cs="Times New Roman"/>
          <w:color w:val="222222"/>
          <w:szCs w:val="24"/>
          <w:shd w:val="clear" w:color="auto" w:fill="FFFFFF"/>
        </w:rPr>
        <w:lastRenderedPageBreak/>
        <w:t>2020</w:t>
      </w:r>
      <w:r w:rsidR="00DB502F" w:rsidRPr="00B56A83">
        <w:rPr>
          <w:rFonts w:cs="Times New Roman"/>
          <w:szCs w:val="24"/>
        </w:rPr>
        <w:t>)</w:t>
      </w:r>
      <w:r w:rsidRPr="00B56A83">
        <w:rPr>
          <w:rFonts w:cs="Times New Roman"/>
          <w:szCs w:val="24"/>
        </w:rPr>
        <w:t>.</w:t>
      </w:r>
      <w:r w:rsidR="00DB502F">
        <w:rPr>
          <w:rFonts w:cs="Times New Roman"/>
          <w:szCs w:val="24"/>
        </w:rPr>
        <w:t xml:space="preserve"> </w:t>
      </w:r>
      <w:r w:rsidRPr="00B56A83">
        <w:rPr>
          <w:rFonts w:cs="Times New Roman"/>
          <w:szCs w:val="24"/>
        </w:rPr>
        <w:t xml:space="preserve">These trends in decreased revenue pose a great danger to The City Hotel, as low revenues reduce the capacity to recover fixed expenses, fund investments in the facility, and support business </w:t>
      </w:r>
      <w:r w:rsidR="00C55C3A" w:rsidRPr="00B56A83">
        <w:rPr>
          <w:rFonts w:cs="Times New Roman"/>
          <w:szCs w:val="24"/>
        </w:rPr>
        <w:t>sustainability (</w:t>
      </w:r>
      <w:r w:rsidR="00C55C3A" w:rsidRPr="00B56A83">
        <w:rPr>
          <w:rFonts w:cs="Times New Roman"/>
          <w:szCs w:val="24"/>
          <w:shd w:val="clear" w:color="auto" w:fill="FFFFFF"/>
        </w:rPr>
        <w:t>Boisjoly et al., 2020</w:t>
      </w:r>
      <w:r w:rsidR="00C55C3A" w:rsidRPr="00B56A83">
        <w:rPr>
          <w:rFonts w:cs="Times New Roman"/>
          <w:szCs w:val="24"/>
        </w:rPr>
        <w:t>)</w:t>
      </w:r>
      <w:r w:rsidRPr="00B56A83">
        <w:rPr>
          <w:rFonts w:cs="Times New Roman"/>
          <w:szCs w:val="24"/>
        </w:rPr>
        <w:t>.</w:t>
      </w:r>
      <w:r w:rsidR="00C55C3A" w:rsidRPr="00B56A83">
        <w:rPr>
          <w:rFonts w:cs="Times New Roman"/>
          <w:szCs w:val="24"/>
        </w:rPr>
        <w:t xml:space="preserve"> </w:t>
      </w:r>
    </w:p>
    <w:p w:rsidR="00607A24" w:rsidRPr="00B56A83" w:rsidRDefault="000B1FCA" w:rsidP="00607A24">
      <w:pPr>
        <w:pStyle w:val="Heading2"/>
        <w:numPr>
          <w:ilvl w:val="1"/>
          <w:numId w:val="3"/>
        </w:numPr>
        <w:rPr>
          <w:rFonts w:cs="Times New Roman"/>
          <w:szCs w:val="24"/>
        </w:rPr>
      </w:pPr>
      <w:bookmarkStart w:id="4" w:name="_Toc181729447"/>
      <w:r w:rsidRPr="00B56A83">
        <w:rPr>
          <w:rFonts w:cs="Times New Roman"/>
          <w:szCs w:val="24"/>
        </w:rPr>
        <w:t>Profitability</w:t>
      </w:r>
      <w:bookmarkEnd w:id="4"/>
    </w:p>
    <w:p w:rsidR="00607A24" w:rsidRPr="00B56A83" w:rsidRDefault="000B1FCA" w:rsidP="00607A24">
      <w:pPr>
        <w:rPr>
          <w:rFonts w:cs="Times New Roman"/>
          <w:szCs w:val="24"/>
        </w:rPr>
      </w:pPr>
      <w:r w:rsidRPr="00B56A83">
        <w:rPr>
          <w:rFonts w:cs="Times New Roman"/>
          <w:b/>
          <w:i/>
          <w:szCs w:val="24"/>
        </w:rPr>
        <w:t>Calculation</w:t>
      </w:r>
      <w:r w:rsidRPr="00B56A83">
        <w:rPr>
          <w:rFonts w:cs="Times New Roman"/>
          <w:szCs w:val="24"/>
        </w:rPr>
        <w:t xml:space="preserve"> </w:t>
      </w:r>
    </w:p>
    <w:p w:rsidR="00607A24" w:rsidRPr="00B56A83" w:rsidRDefault="000B1FCA" w:rsidP="00607A24">
      <w:pPr>
        <w:spacing w:after="0" w:line="240" w:lineRule="auto"/>
        <w:rPr>
          <w:rFonts w:eastAsia="Times New Roman" w:cs="Times New Roman"/>
          <w:b/>
          <w:bCs/>
          <w:szCs w:val="24"/>
        </w:rPr>
      </w:pPr>
      <w:r w:rsidRPr="00B56A83">
        <w:rPr>
          <w:rFonts w:eastAsia="Times New Roman" w:cs="Times New Roman"/>
          <w:b/>
          <w:bCs/>
          <w:szCs w:val="24"/>
        </w:rPr>
        <w:t>Gross Profit Margin</w:t>
      </w:r>
    </w:p>
    <w:tbl>
      <w:tblPr>
        <w:tblW w:w="9778" w:type="dxa"/>
        <w:tblLook w:val="04A0" w:firstRow="1" w:lastRow="0" w:firstColumn="1" w:lastColumn="0" w:noHBand="0" w:noVBand="1"/>
      </w:tblPr>
      <w:tblGrid>
        <w:gridCol w:w="1663"/>
        <w:gridCol w:w="614"/>
        <w:gridCol w:w="1150"/>
        <w:gridCol w:w="81"/>
        <w:gridCol w:w="2177"/>
        <w:gridCol w:w="59"/>
        <w:gridCol w:w="1305"/>
        <w:gridCol w:w="37"/>
        <w:gridCol w:w="1328"/>
        <w:gridCol w:w="1365"/>
      </w:tblGrid>
      <w:tr w:rsidR="00F97A60" w:rsidRPr="00B56A83" w:rsidTr="00781A31">
        <w:trPr>
          <w:gridAfter w:val="2"/>
          <w:wAfter w:w="2693" w:type="dxa"/>
          <w:trHeight w:val="305"/>
        </w:trPr>
        <w:tc>
          <w:tcPr>
            <w:tcW w:w="1663" w:type="dxa"/>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b/>
                <w:bCs/>
                <w:szCs w:val="24"/>
              </w:rPr>
            </w:pPr>
            <w:r w:rsidRPr="00B56A83">
              <w:rPr>
                <w:rFonts w:eastAsia="Times New Roman" w:cs="Times New Roman"/>
                <w:b/>
                <w:bCs/>
                <w:szCs w:val="24"/>
              </w:rPr>
              <w:t>Formula:</w:t>
            </w:r>
          </w:p>
        </w:tc>
        <w:tc>
          <w:tcPr>
            <w:tcW w:w="1845" w:type="dxa"/>
            <w:gridSpan w:val="3"/>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b/>
                <w:bCs/>
                <w:szCs w:val="24"/>
              </w:rPr>
            </w:pPr>
          </w:p>
        </w:tc>
        <w:tc>
          <w:tcPr>
            <w:tcW w:w="2236"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41"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gridAfter w:val="2"/>
          <w:wAfter w:w="2692" w:type="dxa"/>
          <w:trHeight w:val="305"/>
        </w:trPr>
        <w:tc>
          <w:tcPr>
            <w:tcW w:w="7086" w:type="dxa"/>
            <w:gridSpan w:val="8"/>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szCs w:val="24"/>
              </w:rPr>
            </w:pPr>
            <w:r w:rsidRPr="00B56A83">
              <w:rPr>
                <w:rFonts w:eastAsia="Times New Roman" w:cs="Times New Roman"/>
                <w:b/>
                <w:szCs w:val="24"/>
              </w:rPr>
              <w:t>Gross Profit Margin</w:t>
            </w:r>
            <w:r w:rsidRPr="00B56A83">
              <w:rPr>
                <w:rFonts w:eastAsia="Times New Roman" w:cs="Times New Roman"/>
                <w:szCs w:val="24"/>
              </w:rPr>
              <w:t>=(Revenue Gross Profit​)×100</w:t>
            </w:r>
          </w:p>
          <w:p w:rsidR="000B1FCA" w:rsidRPr="00B56A83" w:rsidRDefault="000B1FCA" w:rsidP="00607A24">
            <w:pPr>
              <w:spacing w:after="0" w:line="240" w:lineRule="auto"/>
              <w:jc w:val="left"/>
              <w:rPr>
                <w:rFonts w:eastAsia="Times New Roman" w:cs="Times New Roman"/>
                <w:b/>
                <w:szCs w:val="24"/>
              </w:rPr>
            </w:pPr>
          </w:p>
        </w:tc>
      </w:tr>
      <w:tr w:rsidR="00F97A60" w:rsidRPr="00B56A83" w:rsidTr="00781A31">
        <w:trPr>
          <w:gridAfter w:val="2"/>
          <w:wAfter w:w="2693" w:type="dxa"/>
          <w:trHeight w:val="305"/>
        </w:trPr>
        <w:tc>
          <w:tcPr>
            <w:tcW w:w="1663"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845" w:type="dxa"/>
            <w:gridSpan w:val="3"/>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2021</w:t>
            </w:r>
          </w:p>
        </w:tc>
        <w:tc>
          <w:tcPr>
            <w:tcW w:w="2236" w:type="dxa"/>
            <w:gridSpan w:val="2"/>
            <w:tcBorders>
              <w:top w:val="single" w:sz="4" w:space="0" w:color="auto"/>
              <w:left w:val="nil"/>
              <w:bottom w:val="single" w:sz="4" w:space="0" w:color="auto"/>
              <w:right w:val="single" w:sz="4" w:space="0" w:color="auto"/>
            </w:tcBorders>
            <w:shd w:val="clear" w:color="000000" w:fill="DDEBF7"/>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92.16%</w:t>
            </w:r>
          </w:p>
        </w:tc>
        <w:tc>
          <w:tcPr>
            <w:tcW w:w="1341"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r>
      <w:tr w:rsidR="00F97A60" w:rsidRPr="00B56A83" w:rsidTr="00781A31">
        <w:trPr>
          <w:gridAfter w:val="2"/>
          <w:wAfter w:w="2693" w:type="dxa"/>
          <w:trHeight w:val="305"/>
        </w:trPr>
        <w:tc>
          <w:tcPr>
            <w:tcW w:w="1663"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845" w:type="dxa"/>
            <w:gridSpan w:val="3"/>
            <w:tcBorders>
              <w:top w:val="nil"/>
              <w:left w:val="single" w:sz="4" w:space="0" w:color="auto"/>
              <w:bottom w:val="single" w:sz="4" w:space="0" w:color="auto"/>
              <w:right w:val="single" w:sz="4" w:space="0" w:color="auto"/>
            </w:tcBorders>
            <w:shd w:val="clear" w:color="000000" w:fill="DDEBF7"/>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2022</w:t>
            </w:r>
          </w:p>
        </w:tc>
        <w:tc>
          <w:tcPr>
            <w:tcW w:w="2236" w:type="dxa"/>
            <w:gridSpan w:val="2"/>
            <w:tcBorders>
              <w:top w:val="nil"/>
              <w:left w:val="nil"/>
              <w:bottom w:val="single" w:sz="4" w:space="0" w:color="auto"/>
              <w:right w:val="single" w:sz="4" w:space="0" w:color="auto"/>
            </w:tcBorders>
            <w:shd w:val="clear" w:color="000000" w:fill="DDEBF7"/>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92.44%</w:t>
            </w:r>
          </w:p>
        </w:tc>
        <w:tc>
          <w:tcPr>
            <w:tcW w:w="1341"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r>
      <w:tr w:rsidR="00F97A60" w:rsidRPr="00B56A83" w:rsidTr="00781A31">
        <w:trPr>
          <w:gridAfter w:val="2"/>
          <w:wAfter w:w="2693" w:type="dxa"/>
          <w:trHeight w:val="305"/>
        </w:trPr>
        <w:tc>
          <w:tcPr>
            <w:tcW w:w="1663"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845" w:type="dxa"/>
            <w:gridSpan w:val="3"/>
            <w:tcBorders>
              <w:top w:val="nil"/>
              <w:left w:val="single" w:sz="4" w:space="0" w:color="auto"/>
              <w:bottom w:val="single" w:sz="4" w:space="0" w:color="auto"/>
              <w:right w:val="single" w:sz="4" w:space="0" w:color="auto"/>
            </w:tcBorders>
            <w:shd w:val="clear" w:color="000000" w:fill="DDEBF7"/>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2023</w:t>
            </w:r>
          </w:p>
        </w:tc>
        <w:tc>
          <w:tcPr>
            <w:tcW w:w="2236" w:type="dxa"/>
            <w:gridSpan w:val="2"/>
            <w:tcBorders>
              <w:top w:val="nil"/>
              <w:left w:val="nil"/>
              <w:bottom w:val="single" w:sz="4" w:space="0" w:color="auto"/>
              <w:right w:val="single" w:sz="4" w:space="0" w:color="auto"/>
            </w:tcBorders>
            <w:shd w:val="clear" w:color="000000" w:fill="DDEBF7"/>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92.42%</w:t>
            </w:r>
          </w:p>
        </w:tc>
        <w:tc>
          <w:tcPr>
            <w:tcW w:w="1341"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r>
      <w:tr w:rsidR="00F97A60" w:rsidRPr="00B56A83" w:rsidTr="00781A31">
        <w:trPr>
          <w:gridAfter w:val="2"/>
          <w:wAfter w:w="2693" w:type="dxa"/>
          <w:trHeight w:val="305"/>
        </w:trPr>
        <w:tc>
          <w:tcPr>
            <w:tcW w:w="1663"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845" w:type="dxa"/>
            <w:gridSpan w:val="3"/>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2236"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41"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3427" w:type="dxa"/>
            <w:gridSpan w:val="3"/>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b/>
                <w:bCs/>
                <w:szCs w:val="24"/>
              </w:rPr>
            </w:pPr>
            <w:r w:rsidRPr="00B56A83">
              <w:rPr>
                <w:rFonts w:eastAsia="Times New Roman" w:cs="Times New Roman"/>
                <w:b/>
                <w:bCs/>
                <w:szCs w:val="24"/>
              </w:rPr>
              <w:t>Operating Profit Margin</w:t>
            </w:r>
          </w:p>
        </w:tc>
        <w:tc>
          <w:tcPr>
            <w:tcW w:w="2258"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b/>
                <w:bCs/>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b/>
                <w:bCs/>
                <w:szCs w:val="24"/>
              </w:rPr>
            </w:pPr>
            <w:r w:rsidRPr="00B56A83">
              <w:rPr>
                <w:rFonts w:eastAsia="Times New Roman" w:cs="Times New Roman"/>
                <w:b/>
                <w:bCs/>
                <w:szCs w:val="24"/>
              </w:rPr>
              <w:t>Formula:</w:t>
            </w:r>
          </w:p>
        </w:tc>
        <w:tc>
          <w:tcPr>
            <w:tcW w:w="7501" w:type="dxa"/>
            <w:gridSpan w:val="8"/>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szCs w:val="24"/>
              </w:rPr>
            </w:pPr>
            <w:r w:rsidRPr="00B56A83">
              <w:rPr>
                <w:rFonts w:eastAsia="Times New Roman" w:cs="Times New Roman"/>
                <w:szCs w:val="24"/>
              </w:rPr>
              <w:t>Operating Profit Margin=(Revenue Operating Profit​)×100</w:t>
            </w: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150"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2258"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15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2021</w:t>
            </w:r>
          </w:p>
        </w:tc>
        <w:tc>
          <w:tcPr>
            <w:tcW w:w="2258" w:type="dxa"/>
            <w:gridSpan w:val="2"/>
            <w:tcBorders>
              <w:top w:val="single" w:sz="4" w:space="0" w:color="auto"/>
              <w:left w:val="nil"/>
              <w:bottom w:val="single" w:sz="4" w:space="0" w:color="auto"/>
              <w:right w:val="single" w:sz="4" w:space="0" w:color="auto"/>
            </w:tcBorders>
            <w:shd w:val="clear" w:color="000000" w:fill="BDD7EE"/>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12.7%</w:t>
            </w: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150" w:type="dxa"/>
            <w:tcBorders>
              <w:top w:val="nil"/>
              <w:left w:val="single" w:sz="4" w:space="0" w:color="auto"/>
              <w:bottom w:val="single" w:sz="4" w:space="0" w:color="auto"/>
              <w:right w:val="single" w:sz="4" w:space="0" w:color="auto"/>
            </w:tcBorders>
            <w:shd w:val="clear" w:color="000000" w:fill="BDD7EE"/>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2022</w:t>
            </w:r>
          </w:p>
        </w:tc>
        <w:tc>
          <w:tcPr>
            <w:tcW w:w="2258" w:type="dxa"/>
            <w:gridSpan w:val="2"/>
            <w:tcBorders>
              <w:top w:val="nil"/>
              <w:left w:val="nil"/>
              <w:bottom w:val="single" w:sz="4" w:space="0" w:color="auto"/>
              <w:right w:val="single" w:sz="4" w:space="0" w:color="auto"/>
            </w:tcBorders>
            <w:shd w:val="clear" w:color="000000" w:fill="BDD7EE"/>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12.713%</w:t>
            </w: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150" w:type="dxa"/>
            <w:tcBorders>
              <w:top w:val="nil"/>
              <w:left w:val="single" w:sz="4" w:space="0" w:color="auto"/>
              <w:bottom w:val="single" w:sz="4" w:space="0" w:color="auto"/>
              <w:right w:val="single" w:sz="4" w:space="0" w:color="auto"/>
            </w:tcBorders>
            <w:shd w:val="clear" w:color="000000" w:fill="BDD7EE"/>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2023</w:t>
            </w:r>
          </w:p>
        </w:tc>
        <w:tc>
          <w:tcPr>
            <w:tcW w:w="2258" w:type="dxa"/>
            <w:gridSpan w:val="2"/>
            <w:tcBorders>
              <w:top w:val="nil"/>
              <w:left w:val="nil"/>
              <w:bottom w:val="single" w:sz="4" w:space="0" w:color="auto"/>
              <w:right w:val="single" w:sz="4" w:space="0" w:color="auto"/>
            </w:tcBorders>
            <w:shd w:val="clear" w:color="000000" w:fill="BDD7EE"/>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-52.414%</w:t>
            </w: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3427" w:type="dxa"/>
            <w:gridSpan w:val="3"/>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b/>
                <w:bCs/>
                <w:szCs w:val="24"/>
              </w:rPr>
            </w:pPr>
            <w:r w:rsidRPr="00B56A83">
              <w:rPr>
                <w:rFonts w:eastAsia="Times New Roman" w:cs="Times New Roman"/>
                <w:b/>
                <w:bCs/>
                <w:szCs w:val="24"/>
              </w:rPr>
              <w:t>Net profit margin</w:t>
            </w:r>
          </w:p>
        </w:tc>
        <w:tc>
          <w:tcPr>
            <w:tcW w:w="2258"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b/>
                <w:bCs/>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211"/>
        </w:trPr>
        <w:tc>
          <w:tcPr>
            <w:tcW w:w="2277" w:type="dxa"/>
            <w:gridSpan w:val="2"/>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b/>
                <w:bCs/>
                <w:szCs w:val="24"/>
              </w:rPr>
            </w:pPr>
            <w:r w:rsidRPr="00B56A83">
              <w:rPr>
                <w:rFonts w:eastAsia="Times New Roman" w:cs="Times New Roman"/>
                <w:b/>
                <w:bCs/>
                <w:szCs w:val="24"/>
              </w:rPr>
              <w:t>Formula:</w:t>
            </w:r>
          </w:p>
        </w:tc>
        <w:tc>
          <w:tcPr>
            <w:tcW w:w="6137" w:type="dxa"/>
            <w:gridSpan w:val="7"/>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szCs w:val="24"/>
              </w:rPr>
            </w:pPr>
            <w:r w:rsidRPr="00B56A83">
              <w:rPr>
                <w:rFonts w:eastAsia="Times New Roman" w:cs="Times New Roman"/>
                <w:szCs w:val="24"/>
              </w:rPr>
              <w:t>Net Profit Margin=(Revenue Net Income​)×100</w:t>
            </w: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150"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2258"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150" w:type="dxa"/>
            <w:tcBorders>
              <w:top w:val="single" w:sz="4" w:space="0" w:color="auto"/>
              <w:left w:val="single" w:sz="4" w:space="0" w:color="auto"/>
              <w:bottom w:val="single" w:sz="4" w:space="0" w:color="auto"/>
              <w:right w:val="single" w:sz="4" w:space="0" w:color="auto"/>
            </w:tcBorders>
            <w:shd w:val="clear" w:color="000000" w:fill="9BC2E6"/>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2021</w:t>
            </w:r>
          </w:p>
        </w:tc>
        <w:tc>
          <w:tcPr>
            <w:tcW w:w="2258" w:type="dxa"/>
            <w:gridSpan w:val="2"/>
            <w:tcBorders>
              <w:top w:val="single" w:sz="4" w:space="0" w:color="auto"/>
              <w:left w:val="nil"/>
              <w:bottom w:val="single" w:sz="4" w:space="0" w:color="auto"/>
              <w:right w:val="single" w:sz="4" w:space="0" w:color="auto"/>
            </w:tcBorders>
            <w:shd w:val="clear" w:color="000000" w:fill="9BC2E6"/>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6.36%</w:t>
            </w: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150" w:type="dxa"/>
            <w:tcBorders>
              <w:top w:val="nil"/>
              <w:left w:val="single" w:sz="4" w:space="0" w:color="auto"/>
              <w:bottom w:val="single" w:sz="4" w:space="0" w:color="auto"/>
              <w:right w:val="single" w:sz="4" w:space="0" w:color="auto"/>
            </w:tcBorders>
            <w:shd w:val="clear" w:color="000000" w:fill="9BC2E6"/>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2022</w:t>
            </w:r>
          </w:p>
        </w:tc>
        <w:tc>
          <w:tcPr>
            <w:tcW w:w="2258" w:type="dxa"/>
            <w:gridSpan w:val="2"/>
            <w:tcBorders>
              <w:top w:val="nil"/>
              <w:left w:val="nil"/>
              <w:bottom w:val="single" w:sz="4" w:space="0" w:color="auto"/>
              <w:right w:val="single" w:sz="4" w:space="0" w:color="auto"/>
            </w:tcBorders>
            <w:shd w:val="clear" w:color="000000" w:fill="9BC2E6"/>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5.74%</w:t>
            </w: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150" w:type="dxa"/>
            <w:tcBorders>
              <w:top w:val="nil"/>
              <w:left w:val="single" w:sz="4" w:space="0" w:color="auto"/>
              <w:bottom w:val="single" w:sz="4" w:space="0" w:color="auto"/>
              <w:right w:val="single" w:sz="4" w:space="0" w:color="auto"/>
            </w:tcBorders>
            <w:shd w:val="clear" w:color="000000" w:fill="9BC2E6"/>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2023</w:t>
            </w:r>
          </w:p>
        </w:tc>
        <w:tc>
          <w:tcPr>
            <w:tcW w:w="2258" w:type="dxa"/>
            <w:gridSpan w:val="2"/>
            <w:tcBorders>
              <w:top w:val="nil"/>
              <w:left w:val="nil"/>
              <w:bottom w:val="single" w:sz="4" w:space="0" w:color="auto"/>
              <w:right w:val="single" w:sz="4" w:space="0" w:color="auto"/>
            </w:tcBorders>
            <w:shd w:val="clear" w:color="000000" w:fill="9BC2E6"/>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-48.81%</w:t>
            </w: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150"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2258"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781A31">
        <w:trPr>
          <w:trHeight w:val="305"/>
        </w:trPr>
        <w:tc>
          <w:tcPr>
            <w:tcW w:w="2277"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150"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2258"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gridSpan w:val="2"/>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364"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bl>
    <w:p w:rsidR="00607A24" w:rsidRPr="00B56A83" w:rsidRDefault="00607A24" w:rsidP="00607A24">
      <w:pPr>
        <w:rPr>
          <w:rFonts w:cs="Times New Roman"/>
          <w:szCs w:val="24"/>
        </w:rPr>
      </w:pPr>
    </w:p>
    <w:p w:rsidR="00607A24" w:rsidRPr="00B56A83" w:rsidRDefault="000B1FCA">
      <w:pPr>
        <w:rPr>
          <w:rFonts w:cs="Times New Roman"/>
          <w:b/>
          <w:i/>
          <w:szCs w:val="24"/>
        </w:rPr>
      </w:pPr>
      <w:r w:rsidRPr="00B56A83">
        <w:rPr>
          <w:rFonts w:cs="Times New Roman"/>
          <w:b/>
          <w:i/>
          <w:szCs w:val="24"/>
        </w:rPr>
        <w:t xml:space="preserve">Chart Representation </w:t>
      </w:r>
    </w:p>
    <w:p w:rsidR="00CA7230" w:rsidRPr="00B56A83" w:rsidRDefault="000B1FCA" w:rsidP="00607A24">
      <w:pPr>
        <w:jc w:val="center"/>
        <w:rPr>
          <w:rFonts w:cs="Times New Roman"/>
          <w:szCs w:val="24"/>
        </w:rPr>
      </w:pPr>
      <w:r w:rsidRPr="00B56A83">
        <w:rPr>
          <w:rFonts w:cs="Times New Roman"/>
          <w:noProof/>
          <w:szCs w:val="24"/>
          <w:shd w:val="clear" w:color="auto" w:fill="5B9BD5" w:themeFill="accent1"/>
        </w:rPr>
        <w:lastRenderedPageBreak/>
        <w:drawing>
          <wp:inline distT="0" distB="0" distL="0" distR="0">
            <wp:extent cx="3733800" cy="2614295"/>
            <wp:effectExtent l="0" t="0" r="0" b="146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A7230" w:rsidRPr="00B56A83" w:rsidRDefault="000B1FCA" w:rsidP="00607A24">
      <w:pPr>
        <w:jc w:val="center"/>
        <w:rPr>
          <w:rFonts w:cs="Times New Roman"/>
          <w:szCs w:val="24"/>
        </w:rPr>
      </w:pPr>
      <w:r w:rsidRPr="00B56A83">
        <w:rPr>
          <w:rFonts w:cs="Times New Roman"/>
          <w:noProof/>
          <w:szCs w:val="24"/>
        </w:rPr>
        <w:drawing>
          <wp:inline distT="0" distB="0" distL="0" distR="0">
            <wp:extent cx="3876676" cy="2933701"/>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1245F" w:rsidRPr="00B56A83" w:rsidRDefault="000B1FCA">
      <w:pPr>
        <w:rPr>
          <w:rFonts w:cs="Times New Roman"/>
          <w:b/>
          <w:i/>
          <w:szCs w:val="24"/>
        </w:rPr>
      </w:pPr>
      <w:r w:rsidRPr="00B56A83">
        <w:rPr>
          <w:rFonts w:cs="Times New Roman"/>
          <w:b/>
          <w:i/>
          <w:szCs w:val="24"/>
        </w:rPr>
        <w:t>Interpretation</w:t>
      </w:r>
    </w:p>
    <w:p w:rsidR="00C55C3A" w:rsidRPr="00B56A83" w:rsidRDefault="000B1FCA" w:rsidP="0021245F">
      <w:pPr>
        <w:rPr>
          <w:rFonts w:cs="Times New Roman"/>
          <w:szCs w:val="24"/>
        </w:rPr>
      </w:pPr>
      <w:r w:rsidRPr="00B56A83">
        <w:rPr>
          <w:rFonts w:cs="Times New Roman"/>
          <w:szCs w:val="24"/>
        </w:rPr>
        <w:t>The above graphical representations show about operating profit and gross profit margin in the city hotel context</w:t>
      </w:r>
      <w:r w:rsidR="00DB502F">
        <w:rPr>
          <w:rFonts w:cs="Times New Roman"/>
          <w:szCs w:val="24"/>
        </w:rPr>
        <w:t xml:space="preserve"> </w:t>
      </w:r>
      <w:r w:rsidR="00DB502F" w:rsidRPr="00B56A83">
        <w:rPr>
          <w:rFonts w:cs="Times New Roman"/>
          <w:szCs w:val="24"/>
        </w:rPr>
        <w:t>(</w:t>
      </w:r>
      <w:proofErr w:type="spellStart"/>
      <w:r w:rsidR="00DB502F" w:rsidRPr="00B56A83">
        <w:rPr>
          <w:rFonts w:cs="Times New Roman"/>
          <w:color w:val="222222"/>
          <w:szCs w:val="24"/>
          <w:shd w:val="clear" w:color="auto" w:fill="FFFFFF"/>
        </w:rPr>
        <w:t>Firmansyah</w:t>
      </w:r>
      <w:proofErr w:type="spellEnd"/>
      <w:r w:rsidR="00DB502F" w:rsidRPr="00B56A83">
        <w:rPr>
          <w:rFonts w:cs="Times New Roman"/>
          <w:color w:val="222222"/>
          <w:szCs w:val="24"/>
          <w:shd w:val="clear" w:color="auto" w:fill="FFFFFF"/>
        </w:rPr>
        <w:t xml:space="preserve"> and </w:t>
      </w:r>
      <w:proofErr w:type="spellStart"/>
      <w:r w:rsidR="00DB502F" w:rsidRPr="00B56A83">
        <w:rPr>
          <w:rFonts w:cs="Times New Roman"/>
          <w:color w:val="222222"/>
          <w:szCs w:val="24"/>
          <w:shd w:val="clear" w:color="auto" w:fill="FFFFFF"/>
        </w:rPr>
        <w:t>Bayuaji</w:t>
      </w:r>
      <w:proofErr w:type="spellEnd"/>
      <w:r w:rsidR="00DB502F" w:rsidRPr="00B56A83">
        <w:rPr>
          <w:rFonts w:cs="Times New Roman"/>
          <w:color w:val="222222"/>
          <w:szCs w:val="24"/>
          <w:shd w:val="clear" w:color="auto" w:fill="FFFFFF"/>
        </w:rPr>
        <w:t>, 2019</w:t>
      </w:r>
      <w:r w:rsidR="00DB502F" w:rsidRPr="00B56A83">
        <w:rPr>
          <w:rFonts w:cs="Times New Roman"/>
          <w:szCs w:val="24"/>
        </w:rPr>
        <w:t>)</w:t>
      </w:r>
      <w:r w:rsidRPr="00B56A83">
        <w:rPr>
          <w:rFonts w:cs="Times New Roman"/>
          <w:szCs w:val="24"/>
        </w:rPr>
        <w:t xml:space="preserve">. </w:t>
      </w:r>
      <w:r w:rsidR="001F0818" w:rsidRPr="00B56A83">
        <w:rPr>
          <w:rFonts w:cs="Times New Roman"/>
          <w:szCs w:val="24"/>
        </w:rPr>
        <w:t>Significantly, t</w:t>
      </w:r>
      <w:r w:rsidRPr="00B56A83">
        <w:rPr>
          <w:rFonts w:cs="Times New Roman"/>
          <w:szCs w:val="24"/>
        </w:rPr>
        <w:t>he Gross Profit Margin provides insight into the efficiency of a hotel in generating its profit from the gross profit (</w:t>
      </w:r>
      <w:r w:rsidRPr="00B56A83">
        <w:rPr>
          <w:rFonts w:cs="Times New Roman"/>
          <w:szCs w:val="24"/>
          <w:shd w:val="clear" w:color="auto" w:fill="FFFFFF"/>
        </w:rPr>
        <w:t>Revsine et al., 2021</w:t>
      </w:r>
      <w:r w:rsidRPr="00B56A83">
        <w:rPr>
          <w:rFonts w:cs="Times New Roman"/>
          <w:szCs w:val="24"/>
        </w:rPr>
        <w:t>). This ratio has remained constant and has slightly reduced slightly from the figures recorded as 92.43% for 2022 and 92.42% for 2023</w:t>
      </w:r>
      <w:r w:rsidR="00DB502F" w:rsidRPr="00B56A83">
        <w:rPr>
          <w:rFonts w:cs="Times New Roman"/>
          <w:szCs w:val="24"/>
        </w:rPr>
        <w:t xml:space="preserve"> (</w:t>
      </w:r>
      <w:proofErr w:type="spellStart"/>
      <w:r w:rsidR="00DB502F" w:rsidRPr="00B56A83">
        <w:rPr>
          <w:rFonts w:cs="Times New Roman"/>
          <w:color w:val="222222"/>
          <w:szCs w:val="24"/>
          <w:shd w:val="clear" w:color="auto" w:fill="FFFFFF"/>
        </w:rPr>
        <w:t>Yenni</w:t>
      </w:r>
      <w:proofErr w:type="spellEnd"/>
      <w:r w:rsidR="00DB502F" w:rsidRPr="00B56A83">
        <w:rPr>
          <w:rFonts w:cs="Times New Roman"/>
          <w:color w:val="222222"/>
          <w:szCs w:val="24"/>
          <w:shd w:val="clear" w:color="auto" w:fill="FFFFFF"/>
        </w:rPr>
        <w:t xml:space="preserve"> et al., 2021</w:t>
      </w:r>
      <w:r w:rsidR="00DB502F" w:rsidRPr="00B56A83">
        <w:rPr>
          <w:rFonts w:cs="Times New Roman"/>
          <w:szCs w:val="24"/>
        </w:rPr>
        <w:t>)</w:t>
      </w:r>
      <w:r w:rsidRPr="00B56A83">
        <w:rPr>
          <w:rFonts w:cs="Times New Roman"/>
          <w:szCs w:val="24"/>
        </w:rPr>
        <w:t xml:space="preserve">. The gross profit margin in 2021 was 92.16% which means that the company was able to exercise control over the COGS and revenue. </w:t>
      </w:r>
      <w:r w:rsidR="001F0818" w:rsidRPr="00B56A83">
        <w:rPr>
          <w:rFonts w:cs="Times New Roman"/>
          <w:szCs w:val="24"/>
        </w:rPr>
        <w:t xml:space="preserve">Subsequently, </w:t>
      </w:r>
      <w:r w:rsidRPr="00B56A83">
        <w:rPr>
          <w:rFonts w:cs="Times New Roman"/>
          <w:szCs w:val="24"/>
        </w:rPr>
        <w:t xml:space="preserve">in 2022, the company had revenue of £5,307,480 and the cost of sales </w:t>
      </w:r>
      <w:r w:rsidRPr="00B56A83">
        <w:rPr>
          <w:rFonts w:cs="Times New Roman"/>
          <w:szCs w:val="24"/>
        </w:rPr>
        <w:lastRenderedPageBreak/>
        <w:t>(COGS) was £401,510 thus the gross profit amount arrived at £4,905,970. This stability in gross profit margin signifies that even though direct costs have been well controlled in the hotel, there is still a big issue with controlling overall expenses</w:t>
      </w:r>
      <w:r w:rsidR="00F7134F" w:rsidRPr="00B56A83">
        <w:rPr>
          <w:rFonts w:cs="Times New Roman"/>
          <w:szCs w:val="24"/>
        </w:rPr>
        <w:t xml:space="preserve"> (</w:t>
      </w:r>
      <w:proofErr w:type="spellStart"/>
      <w:r w:rsidR="00F7134F" w:rsidRPr="00B56A83">
        <w:rPr>
          <w:rFonts w:cs="Times New Roman"/>
          <w:color w:val="222222"/>
          <w:szCs w:val="24"/>
          <w:shd w:val="clear" w:color="auto" w:fill="FFFFFF"/>
        </w:rPr>
        <w:t>Antczak</w:t>
      </w:r>
      <w:proofErr w:type="spellEnd"/>
      <w:r w:rsidR="00F7134F" w:rsidRPr="00B56A83">
        <w:rPr>
          <w:rFonts w:cs="Times New Roman"/>
          <w:color w:val="222222"/>
          <w:szCs w:val="24"/>
          <w:shd w:val="clear" w:color="auto" w:fill="FFFFFF"/>
        </w:rPr>
        <w:t xml:space="preserve"> et al., 2021</w:t>
      </w:r>
      <w:r w:rsidR="00F7134F" w:rsidRPr="00B56A83">
        <w:rPr>
          <w:rFonts w:cs="Times New Roman"/>
          <w:szCs w:val="24"/>
        </w:rPr>
        <w:t>)</w:t>
      </w:r>
      <w:r w:rsidRPr="00B56A83">
        <w:rPr>
          <w:rFonts w:cs="Times New Roman"/>
          <w:szCs w:val="24"/>
        </w:rPr>
        <w:t>.</w:t>
      </w:r>
    </w:p>
    <w:p w:rsidR="00781A31" w:rsidRPr="00B56A83" w:rsidRDefault="000B1FCA" w:rsidP="00781A31">
      <w:pPr>
        <w:rPr>
          <w:rFonts w:cs="Times New Roman"/>
          <w:szCs w:val="24"/>
        </w:rPr>
      </w:pPr>
      <w:r w:rsidRPr="00B56A83">
        <w:rPr>
          <w:rFonts w:cs="Times New Roman"/>
          <w:szCs w:val="24"/>
        </w:rPr>
        <w:t xml:space="preserve">The net </w:t>
      </w:r>
      <w:r w:rsidR="00607A24" w:rsidRPr="00B56A83">
        <w:rPr>
          <w:rFonts w:cs="Times New Roman"/>
          <w:szCs w:val="24"/>
        </w:rPr>
        <w:t>profit</w:t>
      </w:r>
      <w:r w:rsidRPr="00B56A83">
        <w:rPr>
          <w:rFonts w:cs="Times New Roman"/>
          <w:szCs w:val="24"/>
        </w:rPr>
        <w:t xml:space="preserve"> ratio </w:t>
      </w:r>
      <w:r w:rsidR="0021245F" w:rsidRPr="00B56A83">
        <w:rPr>
          <w:rFonts w:cs="Times New Roman"/>
          <w:szCs w:val="24"/>
        </w:rPr>
        <w:t>has a slope of 5.74% in 2022 and a slope of -48.79% in 2023; therefore the company's total expenses have been exceeding its total revenues, resulting in the or</w:t>
      </w:r>
      <w:r w:rsidRPr="00B56A83">
        <w:rPr>
          <w:rFonts w:cs="Times New Roman"/>
          <w:szCs w:val="24"/>
        </w:rPr>
        <w:t>ganization's increased losses</w:t>
      </w:r>
      <w:r w:rsidR="00C55C3A" w:rsidRPr="00B56A83">
        <w:rPr>
          <w:rFonts w:cs="Times New Roman"/>
          <w:szCs w:val="24"/>
        </w:rPr>
        <w:t xml:space="preserve"> (</w:t>
      </w:r>
      <w:r w:rsidR="00C55C3A" w:rsidRPr="00B56A83">
        <w:rPr>
          <w:rFonts w:cs="Times New Roman"/>
          <w:szCs w:val="24"/>
          <w:shd w:val="clear" w:color="auto" w:fill="FFFFFF"/>
        </w:rPr>
        <w:t>Ichsan et al., 2021</w:t>
      </w:r>
      <w:r w:rsidR="00C55C3A" w:rsidRPr="00B56A83">
        <w:rPr>
          <w:rFonts w:cs="Times New Roman"/>
          <w:szCs w:val="24"/>
        </w:rPr>
        <w:t>)</w:t>
      </w:r>
      <w:r w:rsidR="00DB502F">
        <w:rPr>
          <w:rFonts w:cs="Times New Roman"/>
          <w:szCs w:val="24"/>
        </w:rPr>
        <w:t xml:space="preserve"> </w:t>
      </w:r>
    </w:p>
    <w:p w:rsidR="00C638EA" w:rsidRPr="00B56A83" w:rsidRDefault="000B1FCA" w:rsidP="00781A31">
      <w:pPr>
        <w:pStyle w:val="Heading2"/>
        <w:numPr>
          <w:ilvl w:val="1"/>
          <w:numId w:val="5"/>
        </w:numPr>
        <w:rPr>
          <w:rFonts w:cs="Times New Roman"/>
          <w:szCs w:val="24"/>
        </w:rPr>
      </w:pPr>
      <w:bookmarkStart w:id="5" w:name="_Toc181729448"/>
      <w:r w:rsidRPr="00B56A83">
        <w:rPr>
          <w:rFonts w:cs="Times New Roman"/>
          <w:szCs w:val="24"/>
        </w:rPr>
        <w:t>Liquidity</w:t>
      </w:r>
      <w:bookmarkEnd w:id="5"/>
      <w:r w:rsidRPr="00B56A83">
        <w:rPr>
          <w:rFonts w:cs="Times New Roman"/>
          <w:szCs w:val="24"/>
        </w:rPr>
        <w:t xml:space="preserve"> </w:t>
      </w:r>
    </w:p>
    <w:p w:rsidR="00607A24" w:rsidRPr="00B56A83" w:rsidRDefault="000B1FCA" w:rsidP="00607A24">
      <w:pPr>
        <w:rPr>
          <w:rFonts w:cs="Times New Roman"/>
          <w:b/>
          <w:i/>
          <w:szCs w:val="24"/>
        </w:rPr>
      </w:pPr>
      <w:r w:rsidRPr="00B56A83">
        <w:rPr>
          <w:rFonts w:cs="Times New Roman"/>
          <w:b/>
          <w:i/>
          <w:szCs w:val="24"/>
        </w:rPr>
        <w:t>Calculation</w:t>
      </w:r>
    </w:p>
    <w:tbl>
      <w:tblPr>
        <w:tblW w:w="9689" w:type="dxa"/>
        <w:tblInd w:w="1108" w:type="dxa"/>
        <w:tblLook w:val="04A0" w:firstRow="1" w:lastRow="0" w:firstColumn="1" w:lastColumn="0" w:noHBand="0" w:noVBand="1"/>
      </w:tblPr>
      <w:tblGrid>
        <w:gridCol w:w="990"/>
        <w:gridCol w:w="1432"/>
        <w:gridCol w:w="1211"/>
        <w:gridCol w:w="1211"/>
        <w:gridCol w:w="1211"/>
        <w:gridCol w:w="1212"/>
        <w:gridCol w:w="1211"/>
        <w:gridCol w:w="1211"/>
      </w:tblGrid>
      <w:tr w:rsidR="00F97A60" w:rsidRPr="00B56A83" w:rsidTr="00607A24">
        <w:trPr>
          <w:trHeight w:val="339"/>
        </w:trPr>
        <w:tc>
          <w:tcPr>
            <w:tcW w:w="2422" w:type="dxa"/>
            <w:gridSpan w:val="2"/>
            <w:tcBorders>
              <w:top w:val="nil"/>
              <w:left w:val="nil"/>
              <w:bottom w:val="nil"/>
              <w:right w:val="nil"/>
            </w:tcBorders>
            <w:shd w:val="clear" w:color="000000" w:fill="00B050"/>
            <w:noWrap/>
            <w:vAlign w:val="bottom"/>
            <w:hideMark/>
          </w:tcPr>
          <w:p w:rsidR="00607A24" w:rsidRPr="00B56A83" w:rsidRDefault="000B1FCA" w:rsidP="00607A24">
            <w:pPr>
              <w:spacing w:after="0" w:line="240" w:lineRule="auto"/>
              <w:jc w:val="left"/>
              <w:rPr>
                <w:rFonts w:eastAsia="Times New Roman" w:cs="Times New Roman"/>
                <w:b/>
                <w:bCs/>
                <w:szCs w:val="24"/>
              </w:rPr>
            </w:pPr>
            <w:r w:rsidRPr="00B56A83">
              <w:rPr>
                <w:rFonts w:eastAsia="Times New Roman" w:cs="Times New Roman"/>
                <w:b/>
                <w:bCs/>
                <w:szCs w:val="24"/>
              </w:rPr>
              <w:t>Current Ratio</w:t>
            </w: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b/>
                <w:bCs/>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7267" w:type="dxa"/>
            <w:gridSpan w:val="6"/>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szCs w:val="24"/>
              </w:rPr>
            </w:pPr>
            <w:r w:rsidRPr="00B56A83">
              <w:rPr>
                <w:rFonts w:eastAsia="Times New Roman" w:cs="Times New Roman"/>
                <w:b/>
                <w:bCs/>
                <w:szCs w:val="24"/>
              </w:rPr>
              <w:t xml:space="preserve">Formula: </w:t>
            </w:r>
            <w:r w:rsidRPr="00B56A83">
              <w:rPr>
                <w:rFonts w:eastAsia="Times New Roman" w:cs="Times New Roman"/>
                <w:bCs/>
                <w:szCs w:val="24"/>
              </w:rPr>
              <w:t>Total current assets/ Total current liabiliti</w:t>
            </w:r>
            <w:r w:rsidRPr="00B56A83">
              <w:rPr>
                <w:rFonts w:eastAsia="Times New Roman" w:cs="Times New Roman"/>
                <w:szCs w:val="24"/>
              </w:rPr>
              <w:t>es</w:t>
            </w: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990"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43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990" w:type="dxa"/>
            <w:tcBorders>
              <w:top w:val="nil"/>
              <w:left w:val="nil"/>
              <w:bottom w:val="nil"/>
              <w:right w:val="nil"/>
            </w:tcBorders>
            <w:shd w:val="clear" w:color="auto" w:fill="auto"/>
            <w:noWrap/>
            <w:vAlign w:val="bottom"/>
          </w:tcPr>
          <w:p w:rsidR="00607A24" w:rsidRPr="00B56A83" w:rsidRDefault="00607A24" w:rsidP="00607A24">
            <w:pPr>
              <w:spacing w:after="0" w:line="240" w:lineRule="auto"/>
              <w:jc w:val="left"/>
              <w:rPr>
                <w:rFonts w:eastAsia="Times New Roman" w:cs="Times New Roman"/>
                <w:szCs w:val="24"/>
              </w:rPr>
            </w:pPr>
          </w:p>
        </w:tc>
        <w:tc>
          <w:tcPr>
            <w:tcW w:w="1432" w:type="dxa"/>
            <w:tcBorders>
              <w:top w:val="nil"/>
              <w:left w:val="nil"/>
              <w:bottom w:val="nil"/>
              <w:right w:val="nil"/>
            </w:tcBorders>
            <w:shd w:val="clear" w:color="auto" w:fill="auto"/>
            <w:noWrap/>
            <w:vAlign w:val="bottom"/>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99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2021</w:t>
            </w:r>
          </w:p>
        </w:tc>
        <w:tc>
          <w:tcPr>
            <w:tcW w:w="1432" w:type="dxa"/>
            <w:tcBorders>
              <w:top w:val="single" w:sz="4" w:space="0" w:color="auto"/>
              <w:left w:val="nil"/>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96.66%</w:t>
            </w: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990" w:type="dxa"/>
            <w:tcBorders>
              <w:top w:val="nil"/>
              <w:left w:val="single" w:sz="4" w:space="0" w:color="auto"/>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2022</w:t>
            </w:r>
          </w:p>
        </w:tc>
        <w:tc>
          <w:tcPr>
            <w:tcW w:w="1432" w:type="dxa"/>
            <w:tcBorders>
              <w:top w:val="nil"/>
              <w:left w:val="nil"/>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93.24%</w:t>
            </w: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990" w:type="dxa"/>
            <w:tcBorders>
              <w:top w:val="nil"/>
              <w:left w:val="single" w:sz="4" w:space="0" w:color="auto"/>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2023</w:t>
            </w:r>
          </w:p>
        </w:tc>
        <w:tc>
          <w:tcPr>
            <w:tcW w:w="1432" w:type="dxa"/>
            <w:tcBorders>
              <w:top w:val="nil"/>
              <w:left w:val="nil"/>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63.83%</w:t>
            </w: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990"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43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2422" w:type="dxa"/>
            <w:gridSpan w:val="2"/>
            <w:tcBorders>
              <w:top w:val="nil"/>
              <w:left w:val="nil"/>
              <w:bottom w:val="nil"/>
              <w:right w:val="nil"/>
            </w:tcBorders>
            <w:shd w:val="clear" w:color="000000" w:fill="00B050"/>
            <w:noWrap/>
            <w:vAlign w:val="bottom"/>
            <w:hideMark/>
          </w:tcPr>
          <w:p w:rsidR="00607A24" w:rsidRPr="00B56A83" w:rsidRDefault="000B1FCA" w:rsidP="00607A24">
            <w:pPr>
              <w:spacing w:after="0" w:line="240" w:lineRule="auto"/>
              <w:jc w:val="left"/>
              <w:rPr>
                <w:rFonts w:eastAsia="Times New Roman" w:cs="Times New Roman"/>
                <w:b/>
                <w:bCs/>
                <w:szCs w:val="24"/>
              </w:rPr>
            </w:pPr>
            <w:r w:rsidRPr="00B56A83">
              <w:rPr>
                <w:rFonts w:eastAsia="Times New Roman" w:cs="Times New Roman"/>
                <w:b/>
                <w:bCs/>
                <w:szCs w:val="24"/>
              </w:rPr>
              <w:t>Quick Ratio</w:t>
            </w: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b/>
                <w:bCs/>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9689" w:type="dxa"/>
            <w:gridSpan w:val="8"/>
            <w:tcBorders>
              <w:top w:val="nil"/>
              <w:left w:val="nil"/>
              <w:bottom w:val="nil"/>
              <w:right w:val="nil"/>
            </w:tcBorders>
            <w:shd w:val="clear" w:color="auto" w:fill="auto"/>
            <w:noWrap/>
            <w:vAlign w:val="bottom"/>
            <w:hideMark/>
          </w:tcPr>
          <w:p w:rsidR="00607A24" w:rsidRPr="00B56A83" w:rsidRDefault="000B1FCA" w:rsidP="00607A24">
            <w:pPr>
              <w:spacing w:after="0" w:line="240" w:lineRule="auto"/>
              <w:jc w:val="left"/>
              <w:rPr>
                <w:rFonts w:eastAsia="Times New Roman" w:cs="Times New Roman"/>
                <w:b/>
                <w:bCs/>
                <w:szCs w:val="24"/>
              </w:rPr>
            </w:pPr>
            <w:r w:rsidRPr="00B56A83">
              <w:rPr>
                <w:rFonts w:eastAsia="Times New Roman" w:cs="Times New Roman"/>
                <w:b/>
                <w:bCs/>
                <w:szCs w:val="24"/>
              </w:rPr>
              <w:t xml:space="preserve">Formula: </w:t>
            </w:r>
            <w:r w:rsidRPr="00B56A83">
              <w:rPr>
                <w:rFonts w:eastAsia="Times New Roman" w:cs="Times New Roman"/>
                <w:bCs/>
                <w:szCs w:val="24"/>
              </w:rPr>
              <w:t>Quick ratio Total current Asset - Inventory/ Total current liabilities</w:t>
            </w:r>
            <w:r w:rsidRPr="00B56A83">
              <w:rPr>
                <w:rFonts w:eastAsia="Times New Roman" w:cs="Times New Roman"/>
                <w:b/>
                <w:bCs/>
                <w:szCs w:val="24"/>
              </w:rPr>
              <w:t xml:space="preserve"> </w:t>
            </w:r>
          </w:p>
        </w:tc>
      </w:tr>
      <w:tr w:rsidR="00F97A60" w:rsidRPr="00B56A83" w:rsidTr="00607A24">
        <w:trPr>
          <w:trHeight w:val="339"/>
        </w:trPr>
        <w:tc>
          <w:tcPr>
            <w:tcW w:w="990"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b/>
                <w:bCs/>
                <w:szCs w:val="24"/>
              </w:rPr>
            </w:pPr>
          </w:p>
        </w:tc>
        <w:tc>
          <w:tcPr>
            <w:tcW w:w="143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99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2021</w:t>
            </w:r>
          </w:p>
        </w:tc>
        <w:tc>
          <w:tcPr>
            <w:tcW w:w="1432" w:type="dxa"/>
            <w:tcBorders>
              <w:top w:val="single" w:sz="4" w:space="0" w:color="auto"/>
              <w:left w:val="nil"/>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94.86%</w:t>
            </w: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990" w:type="dxa"/>
            <w:tcBorders>
              <w:top w:val="nil"/>
              <w:left w:val="single" w:sz="4" w:space="0" w:color="auto"/>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2022</w:t>
            </w:r>
          </w:p>
        </w:tc>
        <w:tc>
          <w:tcPr>
            <w:tcW w:w="1432" w:type="dxa"/>
            <w:tcBorders>
              <w:top w:val="nil"/>
              <w:left w:val="nil"/>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91.52%</w:t>
            </w: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r w:rsidR="00F97A60" w:rsidRPr="00B56A83" w:rsidTr="00607A24">
        <w:trPr>
          <w:trHeight w:val="339"/>
        </w:trPr>
        <w:tc>
          <w:tcPr>
            <w:tcW w:w="990" w:type="dxa"/>
            <w:tcBorders>
              <w:top w:val="nil"/>
              <w:left w:val="single" w:sz="4" w:space="0" w:color="auto"/>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b/>
                <w:bCs/>
                <w:szCs w:val="24"/>
              </w:rPr>
            </w:pPr>
            <w:r w:rsidRPr="00B56A83">
              <w:rPr>
                <w:rFonts w:eastAsia="Times New Roman" w:cs="Times New Roman"/>
                <w:b/>
                <w:bCs/>
                <w:szCs w:val="24"/>
              </w:rPr>
              <w:t>2023</w:t>
            </w:r>
          </w:p>
        </w:tc>
        <w:tc>
          <w:tcPr>
            <w:tcW w:w="1432" w:type="dxa"/>
            <w:tcBorders>
              <w:top w:val="nil"/>
              <w:left w:val="nil"/>
              <w:bottom w:val="single" w:sz="4" w:space="0" w:color="auto"/>
              <w:right w:val="single" w:sz="4" w:space="0" w:color="auto"/>
            </w:tcBorders>
            <w:shd w:val="clear" w:color="000000" w:fill="FCE4D6"/>
            <w:noWrap/>
            <w:vAlign w:val="bottom"/>
            <w:hideMark/>
          </w:tcPr>
          <w:p w:rsidR="00607A24" w:rsidRPr="00B56A83" w:rsidRDefault="000B1FCA" w:rsidP="00607A24">
            <w:pPr>
              <w:spacing w:after="0" w:line="240" w:lineRule="auto"/>
              <w:jc w:val="right"/>
              <w:rPr>
                <w:rFonts w:eastAsia="Times New Roman" w:cs="Times New Roman"/>
                <w:szCs w:val="24"/>
              </w:rPr>
            </w:pPr>
            <w:r w:rsidRPr="00B56A83">
              <w:rPr>
                <w:rFonts w:eastAsia="Times New Roman" w:cs="Times New Roman"/>
                <w:szCs w:val="24"/>
              </w:rPr>
              <w:t>62.37%</w:t>
            </w: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righ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2"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c>
          <w:tcPr>
            <w:tcW w:w="1211" w:type="dxa"/>
            <w:tcBorders>
              <w:top w:val="nil"/>
              <w:left w:val="nil"/>
              <w:bottom w:val="nil"/>
              <w:right w:val="nil"/>
            </w:tcBorders>
            <w:shd w:val="clear" w:color="auto" w:fill="auto"/>
            <w:noWrap/>
            <w:vAlign w:val="bottom"/>
            <w:hideMark/>
          </w:tcPr>
          <w:p w:rsidR="00607A24" w:rsidRPr="00B56A83" w:rsidRDefault="00607A24" w:rsidP="00607A24">
            <w:pPr>
              <w:spacing w:after="0" w:line="240" w:lineRule="auto"/>
              <w:jc w:val="left"/>
              <w:rPr>
                <w:rFonts w:eastAsia="Times New Roman" w:cs="Times New Roman"/>
                <w:szCs w:val="24"/>
              </w:rPr>
            </w:pPr>
          </w:p>
        </w:tc>
      </w:tr>
    </w:tbl>
    <w:p w:rsidR="00607A24" w:rsidRPr="00B56A83" w:rsidRDefault="00607A24" w:rsidP="00607A24">
      <w:pPr>
        <w:rPr>
          <w:rFonts w:cs="Times New Roman"/>
          <w:szCs w:val="24"/>
        </w:rPr>
      </w:pPr>
    </w:p>
    <w:p w:rsidR="00607A24" w:rsidRPr="00B56A83" w:rsidRDefault="000B1FCA">
      <w:pPr>
        <w:rPr>
          <w:rFonts w:cs="Times New Roman"/>
          <w:b/>
          <w:i/>
          <w:szCs w:val="24"/>
        </w:rPr>
      </w:pPr>
      <w:r w:rsidRPr="00B56A83">
        <w:rPr>
          <w:rFonts w:cs="Times New Roman"/>
          <w:b/>
          <w:i/>
          <w:szCs w:val="24"/>
        </w:rPr>
        <w:t xml:space="preserve">Chart Representation </w:t>
      </w:r>
    </w:p>
    <w:p w:rsidR="00CA7230" w:rsidRPr="00B56A83" w:rsidRDefault="000B1FCA" w:rsidP="00607A24">
      <w:pPr>
        <w:jc w:val="center"/>
        <w:rPr>
          <w:rFonts w:cs="Times New Roman"/>
          <w:szCs w:val="24"/>
        </w:rPr>
      </w:pPr>
      <w:r w:rsidRPr="00B56A83">
        <w:rPr>
          <w:rFonts w:cs="Times New Roman"/>
          <w:noProof/>
          <w:szCs w:val="24"/>
        </w:rPr>
        <w:drawing>
          <wp:inline distT="0" distB="0" distL="0" distR="0">
            <wp:extent cx="3162300" cy="157162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CA7230" w:rsidRPr="00B56A83" w:rsidRDefault="000B1FCA" w:rsidP="00607A24">
      <w:pPr>
        <w:jc w:val="center"/>
        <w:rPr>
          <w:rFonts w:cs="Times New Roman"/>
          <w:szCs w:val="24"/>
        </w:rPr>
      </w:pPr>
      <w:r w:rsidRPr="00B56A83">
        <w:rPr>
          <w:rFonts w:cs="Times New Roman"/>
          <w:noProof/>
          <w:szCs w:val="24"/>
        </w:rPr>
        <w:lastRenderedPageBreak/>
        <w:drawing>
          <wp:inline distT="0" distB="0" distL="0" distR="0">
            <wp:extent cx="3267075" cy="2147887"/>
            <wp:effectExtent l="0" t="0" r="9525" b="508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4D6C93" w:rsidRPr="00B56A83" w:rsidRDefault="000B1FCA">
      <w:pPr>
        <w:rPr>
          <w:rFonts w:cs="Times New Roman"/>
          <w:b/>
          <w:i/>
          <w:szCs w:val="24"/>
        </w:rPr>
      </w:pPr>
      <w:r w:rsidRPr="00B56A83">
        <w:rPr>
          <w:rFonts w:cs="Times New Roman"/>
          <w:b/>
          <w:i/>
          <w:szCs w:val="24"/>
        </w:rPr>
        <w:t>Interpretation</w:t>
      </w:r>
    </w:p>
    <w:p w:rsidR="004D6C93" w:rsidRPr="00B56A83" w:rsidRDefault="000B1FCA" w:rsidP="004D6C93">
      <w:pPr>
        <w:rPr>
          <w:rFonts w:cs="Times New Roman"/>
          <w:szCs w:val="24"/>
        </w:rPr>
      </w:pPr>
      <w:r w:rsidRPr="00B56A83">
        <w:rPr>
          <w:rFonts w:cs="Times New Roman"/>
          <w:szCs w:val="24"/>
        </w:rPr>
        <w:t>Liquidity analysis of the City Hotel and the trends shown by evaluating current and quick ratios reflect the worsening of the short-term solvency of the company</w:t>
      </w:r>
      <w:r w:rsidR="00F7134F" w:rsidRPr="00B56A83">
        <w:rPr>
          <w:rFonts w:cs="Times New Roman"/>
          <w:szCs w:val="24"/>
        </w:rPr>
        <w:t xml:space="preserve"> (</w:t>
      </w:r>
      <w:proofErr w:type="spellStart"/>
      <w:r w:rsidR="00F7134F" w:rsidRPr="00B56A83">
        <w:rPr>
          <w:rFonts w:cs="Times New Roman"/>
          <w:color w:val="222222"/>
          <w:szCs w:val="24"/>
          <w:shd w:val="clear" w:color="auto" w:fill="FFFFFF"/>
        </w:rPr>
        <w:t>Roychowdhury</w:t>
      </w:r>
      <w:proofErr w:type="spellEnd"/>
      <w:r w:rsidR="00F7134F" w:rsidRPr="00B56A83">
        <w:rPr>
          <w:rFonts w:cs="Times New Roman"/>
          <w:color w:val="222222"/>
          <w:szCs w:val="24"/>
          <w:shd w:val="clear" w:color="auto" w:fill="FFFFFF"/>
        </w:rPr>
        <w:t xml:space="preserve"> et al., 2019</w:t>
      </w:r>
      <w:r w:rsidR="00F7134F" w:rsidRPr="00B56A83">
        <w:rPr>
          <w:rFonts w:cs="Times New Roman"/>
          <w:szCs w:val="24"/>
        </w:rPr>
        <w:t>)</w:t>
      </w:r>
      <w:r w:rsidRPr="00B56A83">
        <w:rPr>
          <w:rFonts w:cs="Times New Roman"/>
          <w:szCs w:val="24"/>
        </w:rPr>
        <w:t>. The current ratio deteriorated from the value of 0.97 established in 2021 and edged 0.64 in 2023, and the quick ratio declined from 0.95 t</w:t>
      </w:r>
      <w:r w:rsidR="00781A31" w:rsidRPr="00B56A83">
        <w:rPr>
          <w:rFonts w:cs="Times New Roman"/>
          <w:szCs w:val="24"/>
        </w:rPr>
        <w:t>o 0.62 during the same period. However,</w:t>
      </w:r>
      <w:r w:rsidRPr="00B56A83">
        <w:rPr>
          <w:rFonts w:cs="Times New Roman"/>
          <w:szCs w:val="24"/>
        </w:rPr>
        <w:t xml:space="preserve"> decreasing and almost touching 0.5 which indicates that there is an inability to meet the short-term liabilities with the current assets</w:t>
      </w:r>
      <w:r w:rsidR="00C55C3A" w:rsidRPr="00B56A83">
        <w:rPr>
          <w:rFonts w:cs="Times New Roman"/>
          <w:szCs w:val="24"/>
        </w:rPr>
        <w:t xml:space="preserve"> (</w:t>
      </w:r>
      <w:r w:rsidR="00C55C3A" w:rsidRPr="00B56A83">
        <w:rPr>
          <w:rFonts w:cs="Times New Roman"/>
          <w:szCs w:val="24"/>
          <w:shd w:val="clear" w:color="auto" w:fill="FFFFFF"/>
        </w:rPr>
        <w:t>Olayinka, 2022</w:t>
      </w:r>
      <w:r w:rsidR="00C55C3A" w:rsidRPr="00B56A83">
        <w:rPr>
          <w:rFonts w:cs="Times New Roman"/>
          <w:szCs w:val="24"/>
        </w:rPr>
        <w:t>)</w:t>
      </w:r>
      <w:r w:rsidRPr="00B56A83">
        <w:rPr>
          <w:rFonts w:cs="Times New Roman"/>
          <w:szCs w:val="24"/>
        </w:rPr>
        <w:t>. A quick ratio below 1.0, also indicates that the firm relies on inventory as a liquidity source, which may</w:t>
      </w:r>
      <w:r w:rsidR="00781A31" w:rsidRPr="00B56A83">
        <w:rPr>
          <w:rFonts w:cs="Times New Roman"/>
          <w:szCs w:val="24"/>
        </w:rPr>
        <w:t xml:space="preserve"> not be very easily convertible</w:t>
      </w:r>
      <w:r w:rsidRPr="00B56A83">
        <w:rPr>
          <w:rFonts w:cs="Times New Roman"/>
          <w:szCs w:val="24"/>
        </w:rPr>
        <w:t>.</w:t>
      </w:r>
    </w:p>
    <w:p w:rsidR="00781A31" w:rsidRPr="00B56A83" w:rsidRDefault="000B1FCA" w:rsidP="00781A31">
      <w:pPr>
        <w:pStyle w:val="Heading2"/>
        <w:numPr>
          <w:ilvl w:val="1"/>
          <w:numId w:val="5"/>
        </w:numPr>
        <w:rPr>
          <w:rFonts w:cs="Times New Roman"/>
          <w:szCs w:val="24"/>
        </w:rPr>
      </w:pPr>
      <w:bookmarkStart w:id="6" w:name="_Toc181729449"/>
      <w:r w:rsidRPr="00B56A83">
        <w:rPr>
          <w:rFonts w:cs="Times New Roman"/>
          <w:szCs w:val="24"/>
        </w:rPr>
        <w:t>Solvency</w:t>
      </w:r>
      <w:r w:rsidR="00CA7230" w:rsidRPr="00B56A83">
        <w:rPr>
          <w:rFonts w:cs="Times New Roman"/>
          <w:szCs w:val="24"/>
        </w:rPr>
        <w:t xml:space="preserve"> Ratios</w:t>
      </w:r>
      <w:bookmarkEnd w:id="6"/>
    </w:p>
    <w:p w:rsidR="00781A31" w:rsidRPr="00B56A83" w:rsidRDefault="000B1FCA" w:rsidP="00781A31">
      <w:pPr>
        <w:rPr>
          <w:rFonts w:cs="Times New Roman"/>
          <w:b/>
          <w:i/>
          <w:szCs w:val="24"/>
        </w:rPr>
      </w:pPr>
      <w:r w:rsidRPr="00B56A83">
        <w:rPr>
          <w:rFonts w:cs="Times New Roman"/>
          <w:b/>
          <w:i/>
          <w:szCs w:val="24"/>
        </w:rPr>
        <w:t>Calculation</w:t>
      </w:r>
    </w:p>
    <w:p w:rsidR="00781A31" w:rsidRPr="00B56A83" w:rsidRDefault="00781A31" w:rsidP="00781A31">
      <w:pPr>
        <w:rPr>
          <w:rFonts w:cs="Times New Roman"/>
          <w:b/>
          <w:i/>
          <w:szCs w:val="24"/>
        </w:rPr>
      </w:pPr>
    </w:p>
    <w:p w:rsidR="00781A31" w:rsidRPr="00B56A83" w:rsidRDefault="000B1FCA" w:rsidP="00781A31">
      <w:pPr>
        <w:rPr>
          <w:rFonts w:cs="Times New Roman"/>
          <w:szCs w:val="24"/>
        </w:rPr>
      </w:pPr>
      <w:r w:rsidRPr="00B56A83">
        <w:rPr>
          <w:rFonts w:cs="Times New Roman"/>
          <w:szCs w:val="24"/>
        </w:rPr>
        <w:fldChar w:fldCharType="begin"/>
      </w:r>
      <w:r w:rsidRPr="00B56A83">
        <w:rPr>
          <w:rFonts w:cs="Times New Roman"/>
          <w:szCs w:val="24"/>
        </w:rPr>
        <w:instrText xml:space="preserve"> LINK Excel.Sheet.12 "C:\\Users\\LENOVO\\Desktop\\Oana.xlsx" "Liquidity Ratio!R4C6:R16C13" \a \f 4 \h  \* MERGEFORMAT </w:instrText>
      </w:r>
      <w:r w:rsidRPr="00B56A83">
        <w:rPr>
          <w:rFonts w:cs="Times New Roman"/>
          <w:szCs w:val="24"/>
        </w:rPr>
        <w:fldChar w:fldCharType="separate"/>
      </w:r>
    </w:p>
    <w:tbl>
      <w:tblPr>
        <w:tblW w:w="9779" w:type="dxa"/>
        <w:tblInd w:w="1018" w:type="dxa"/>
        <w:tblLook w:val="04A0" w:firstRow="1" w:lastRow="0" w:firstColumn="1" w:lastColumn="0" w:noHBand="0" w:noVBand="1"/>
      </w:tblPr>
      <w:tblGrid>
        <w:gridCol w:w="999"/>
        <w:gridCol w:w="1445"/>
        <w:gridCol w:w="1222"/>
        <w:gridCol w:w="1222"/>
        <w:gridCol w:w="1222"/>
        <w:gridCol w:w="1224"/>
        <w:gridCol w:w="1222"/>
        <w:gridCol w:w="1223"/>
      </w:tblGrid>
      <w:tr w:rsidR="00F97A60" w:rsidRPr="00B56A83" w:rsidTr="00C55C3A">
        <w:trPr>
          <w:trHeight w:val="444"/>
        </w:trPr>
        <w:tc>
          <w:tcPr>
            <w:tcW w:w="2444" w:type="dxa"/>
            <w:gridSpan w:val="2"/>
            <w:tcBorders>
              <w:top w:val="nil"/>
              <w:left w:val="nil"/>
              <w:bottom w:val="nil"/>
              <w:right w:val="nil"/>
            </w:tcBorders>
            <w:shd w:val="clear" w:color="000000" w:fill="00B050"/>
            <w:noWrap/>
            <w:vAlign w:val="bottom"/>
            <w:hideMark/>
          </w:tcPr>
          <w:p w:rsidR="00781A31" w:rsidRPr="00B56A83" w:rsidRDefault="000B1FCA" w:rsidP="00781A31">
            <w:pPr>
              <w:spacing w:after="0" w:line="240" w:lineRule="auto"/>
              <w:jc w:val="left"/>
              <w:rPr>
                <w:rFonts w:eastAsia="Times New Roman" w:cs="Times New Roman"/>
                <w:b/>
                <w:bCs/>
                <w:szCs w:val="24"/>
              </w:rPr>
            </w:pPr>
            <w:r w:rsidRPr="00B56A83">
              <w:rPr>
                <w:rFonts w:eastAsia="Times New Roman" w:cs="Times New Roman"/>
                <w:b/>
                <w:bCs/>
                <w:szCs w:val="24"/>
              </w:rPr>
              <w:t>Current Ratio</w:t>
            </w: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b/>
                <w:bCs/>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7334" w:type="dxa"/>
            <w:gridSpan w:val="6"/>
            <w:tcBorders>
              <w:top w:val="nil"/>
              <w:left w:val="nil"/>
              <w:bottom w:val="nil"/>
              <w:right w:val="nil"/>
            </w:tcBorders>
            <w:shd w:val="clear" w:color="auto" w:fill="auto"/>
            <w:noWrap/>
            <w:vAlign w:val="bottom"/>
            <w:hideMark/>
          </w:tcPr>
          <w:p w:rsidR="00781A31" w:rsidRPr="00B56A83" w:rsidRDefault="000B1FCA" w:rsidP="00781A31">
            <w:pPr>
              <w:spacing w:after="0" w:line="240" w:lineRule="auto"/>
              <w:jc w:val="left"/>
              <w:rPr>
                <w:rFonts w:eastAsia="Times New Roman" w:cs="Times New Roman"/>
                <w:szCs w:val="24"/>
              </w:rPr>
            </w:pPr>
            <w:r w:rsidRPr="00B56A83">
              <w:rPr>
                <w:rFonts w:eastAsia="Times New Roman" w:cs="Times New Roman"/>
                <w:b/>
                <w:bCs/>
                <w:szCs w:val="24"/>
              </w:rPr>
              <w:t xml:space="preserve">Formula: </w:t>
            </w:r>
            <w:r w:rsidRPr="00B56A83">
              <w:rPr>
                <w:rFonts w:eastAsia="Times New Roman" w:cs="Times New Roman"/>
                <w:bCs/>
                <w:szCs w:val="24"/>
              </w:rPr>
              <w:t>Total current assets/ Total current liabiliti</w:t>
            </w:r>
            <w:r w:rsidRPr="00B56A83">
              <w:rPr>
                <w:rFonts w:eastAsia="Times New Roman" w:cs="Times New Roman"/>
                <w:szCs w:val="24"/>
              </w:rPr>
              <w:t>es</w:t>
            </w: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999"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445"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999"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b/>
                <w:bCs/>
                <w:szCs w:val="24"/>
              </w:rPr>
            </w:pPr>
            <w:r w:rsidRPr="00B56A83">
              <w:rPr>
                <w:rFonts w:eastAsia="Times New Roman" w:cs="Times New Roman"/>
                <w:b/>
                <w:bCs/>
                <w:szCs w:val="24"/>
              </w:rPr>
              <w:t>2021</w:t>
            </w:r>
          </w:p>
        </w:tc>
        <w:tc>
          <w:tcPr>
            <w:tcW w:w="1445" w:type="dxa"/>
            <w:tcBorders>
              <w:top w:val="single" w:sz="4" w:space="0" w:color="auto"/>
              <w:left w:val="nil"/>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szCs w:val="24"/>
              </w:rPr>
            </w:pPr>
            <w:r w:rsidRPr="00B56A83">
              <w:rPr>
                <w:rFonts w:eastAsia="Times New Roman" w:cs="Times New Roman"/>
                <w:szCs w:val="24"/>
              </w:rPr>
              <w:t>96.66%</w:t>
            </w: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righ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999" w:type="dxa"/>
            <w:tcBorders>
              <w:top w:val="nil"/>
              <w:left w:val="single" w:sz="4" w:space="0" w:color="auto"/>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b/>
                <w:bCs/>
                <w:szCs w:val="24"/>
              </w:rPr>
            </w:pPr>
            <w:r w:rsidRPr="00B56A83">
              <w:rPr>
                <w:rFonts w:eastAsia="Times New Roman" w:cs="Times New Roman"/>
                <w:b/>
                <w:bCs/>
                <w:szCs w:val="24"/>
              </w:rPr>
              <w:t>2022</w:t>
            </w:r>
          </w:p>
        </w:tc>
        <w:tc>
          <w:tcPr>
            <w:tcW w:w="1445" w:type="dxa"/>
            <w:tcBorders>
              <w:top w:val="nil"/>
              <w:left w:val="nil"/>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szCs w:val="24"/>
              </w:rPr>
            </w:pPr>
            <w:r w:rsidRPr="00B56A83">
              <w:rPr>
                <w:rFonts w:eastAsia="Times New Roman" w:cs="Times New Roman"/>
                <w:szCs w:val="24"/>
              </w:rPr>
              <w:t>93.24%</w:t>
            </w: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righ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999" w:type="dxa"/>
            <w:tcBorders>
              <w:top w:val="nil"/>
              <w:left w:val="single" w:sz="4" w:space="0" w:color="auto"/>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b/>
                <w:bCs/>
                <w:szCs w:val="24"/>
              </w:rPr>
            </w:pPr>
            <w:r w:rsidRPr="00B56A83">
              <w:rPr>
                <w:rFonts w:eastAsia="Times New Roman" w:cs="Times New Roman"/>
                <w:b/>
                <w:bCs/>
                <w:szCs w:val="24"/>
              </w:rPr>
              <w:t>2023</w:t>
            </w:r>
          </w:p>
        </w:tc>
        <w:tc>
          <w:tcPr>
            <w:tcW w:w="1445" w:type="dxa"/>
            <w:tcBorders>
              <w:top w:val="nil"/>
              <w:left w:val="nil"/>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szCs w:val="24"/>
              </w:rPr>
            </w:pPr>
            <w:r w:rsidRPr="00B56A83">
              <w:rPr>
                <w:rFonts w:eastAsia="Times New Roman" w:cs="Times New Roman"/>
                <w:szCs w:val="24"/>
              </w:rPr>
              <w:t>63.83%</w:t>
            </w: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righ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999"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445"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2444" w:type="dxa"/>
            <w:gridSpan w:val="2"/>
            <w:tcBorders>
              <w:top w:val="nil"/>
              <w:left w:val="nil"/>
              <w:bottom w:val="nil"/>
              <w:right w:val="nil"/>
            </w:tcBorders>
            <w:shd w:val="clear" w:color="000000" w:fill="00B050"/>
            <w:noWrap/>
            <w:vAlign w:val="bottom"/>
            <w:hideMark/>
          </w:tcPr>
          <w:p w:rsidR="00781A31" w:rsidRPr="00B56A83" w:rsidRDefault="000B1FCA" w:rsidP="00781A31">
            <w:pPr>
              <w:spacing w:after="0" w:line="240" w:lineRule="auto"/>
              <w:jc w:val="left"/>
              <w:rPr>
                <w:rFonts w:eastAsia="Times New Roman" w:cs="Times New Roman"/>
                <w:b/>
                <w:bCs/>
                <w:szCs w:val="24"/>
              </w:rPr>
            </w:pPr>
            <w:r w:rsidRPr="00B56A83">
              <w:rPr>
                <w:rFonts w:eastAsia="Times New Roman" w:cs="Times New Roman"/>
                <w:b/>
                <w:bCs/>
                <w:szCs w:val="24"/>
              </w:rPr>
              <w:t>Quick Ratio</w:t>
            </w: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b/>
                <w:bCs/>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9779" w:type="dxa"/>
            <w:gridSpan w:val="8"/>
            <w:tcBorders>
              <w:top w:val="nil"/>
              <w:left w:val="nil"/>
              <w:bottom w:val="nil"/>
              <w:right w:val="nil"/>
            </w:tcBorders>
            <w:shd w:val="clear" w:color="auto" w:fill="auto"/>
            <w:noWrap/>
            <w:vAlign w:val="bottom"/>
            <w:hideMark/>
          </w:tcPr>
          <w:p w:rsidR="00781A31" w:rsidRPr="00B56A83" w:rsidRDefault="000B1FCA" w:rsidP="00781A31">
            <w:pPr>
              <w:spacing w:after="0" w:line="240" w:lineRule="auto"/>
              <w:jc w:val="left"/>
              <w:rPr>
                <w:rFonts w:eastAsia="Times New Roman" w:cs="Times New Roman"/>
                <w:b/>
                <w:bCs/>
                <w:szCs w:val="24"/>
              </w:rPr>
            </w:pPr>
            <w:r w:rsidRPr="00B56A83">
              <w:rPr>
                <w:rFonts w:eastAsia="Times New Roman" w:cs="Times New Roman"/>
                <w:b/>
                <w:bCs/>
                <w:szCs w:val="24"/>
              </w:rPr>
              <w:lastRenderedPageBreak/>
              <w:t xml:space="preserve">Formula: </w:t>
            </w:r>
            <w:r w:rsidRPr="00B56A83">
              <w:rPr>
                <w:rFonts w:eastAsia="Times New Roman" w:cs="Times New Roman"/>
                <w:bCs/>
                <w:szCs w:val="24"/>
              </w:rPr>
              <w:t xml:space="preserve">Quick ratio Total current Asset - Inventory/ Total current liabilities </w:t>
            </w:r>
          </w:p>
        </w:tc>
      </w:tr>
      <w:tr w:rsidR="00F97A60" w:rsidRPr="00B56A83" w:rsidTr="00C55C3A">
        <w:trPr>
          <w:trHeight w:val="444"/>
        </w:trPr>
        <w:tc>
          <w:tcPr>
            <w:tcW w:w="999"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b/>
                <w:bCs/>
                <w:szCs w:val="24"/>
              </w:rPr>
            </w:pPr>
          </w:p>
        </w:tc>
        <w:tc>
          <w:tcPr>
            <w:tcW w:w="1445"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999"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b/>
                <w:bCs/>
                <w:szCs w:val="24"/>
              </w:rPr>
            </w:pPr>
            <w:r w:rsidRPr="00B56A83">
              <w:rPr>
                <w:rFonts w:eastAsia="Times New Roman" w:cs="Times New Roman"/>
                <w:b/>
                <w:bCs/>
                <w:szCs w:val="24"/>
              </w:rPr>
              <w:t>2021</w:t>
            </w:r>
          </w:p>
        </w:tc>
        <w:tc>
          <w:tcPr>
            <w:tcW w:w="1445" w:type="dxa"/>
            <w:tcBorders>
              <w:top w:val="single" w:sz="4" w:space="0" w:color="auto"/>
              <w:left w:val="nil"/>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szCs w:val="24"/>
              </w:rPr>
            </w:pPr>
            <w:r w:rsidRPr="00B56A83">
              <w:rPr>
                <w:rFonts w:eastAsia="Times New Roman" w:cs="Times New Roman"/>
                <w:szCs w:val="24"/>
              </w:rPr>
              <w:t>94.86%</w:t>
            </w: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righ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999" w:type="dxa"/>
            <w:tcBorders>
              <w:top w:val="nil"/>
              <w:left w:val="single" w:sz="4" w:space="0" w:color="auto"/>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b/>
                <w:bCs/>
                <w:szCs w:val="24"/>
              </w:rPr>
            </w:pPr>
            <w:r w:rsidRPr="00B56A83">
              <w:rPr>
                <w:rFonts w:eastAsia="Times New Roman" w:cs="Times New Roman"/>
                <w:b/>
                <w:bCs/>
                <w:szCs w:val="24"/>
              </w:rPr>
              <w:t>2022</w:t>
            </w:r>
          </w:p>
        </w:tc>
        <w:tc>
          <w:tcPr>
            <w:tcW w:w="1445" w:type="dxa"/>
            <w:tcBorders>
              <w:top w:val="nil"/>
              <w:left w:val="nil"/>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szCs w:val="24"/>
              </w:rPr>
            </w:pPr>
            <w:r w:rsidRPr="00B56A83">
              <w:rPr>
                <w:rFonts w:eastAsia="Times New Roman" w:cs="Times New Roman"/>
                <w:szCs w:val="24"/>
              </w:rPr>
              <w:t>91.52%</w:t>
            </w: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righ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r w:rsidR="00F97A60" w:rsidRPr="00B56A83" w:rsidTr="00C55C3A">
        <w:trPr>
          <w:trHeight w:val="444"/>
        </w:trPr>
        <w:tc>
          <w:tcPr>
            <w:tcW w:w="999" w:type="dxa"/>
            <w:tcBorders>
              <w:top w:val="nil"/>
              <w:left w:val="single" w:sz="4" w:space="0" w:color="auto"/>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b/>
                <w:bCs/>
                <w:szCs w:val="24"/>
              </w:rPr>
            </w:pPr>
            <w:r w:rsidRPr="00B56A83">
              <w:rPr>
                <w:rFonts w:eastAsia="Times New Roman" w:cs="Times New Roman"/>
                <w:b/>
                <w:bCs/>
                <w:szCs w:val="24"/>
              </w:rPr>
              <w:t>2023</w:t>
            </w:r>
          </w:p>
        </w:tc>
        <w:tc>
          <w:tcPr>
            <w:tcW w:w="1445" w:type="dxa"/>
            <w:tcBorders>
              <w:top w:val="nil"/>
              <w:left w:val="nil"/>
              <w:bottom w:val="single" w:sz="4" w:space="0" w:color="auto"/>
              <w:right w:val="single" w:sz="4" w:space="0" w:color="auto"/>
            </w:tcBorders>
            <w:shd w:val="clear" w:color="000000" w:fill="FCE4D6"/>
            <w:noWrap/>
            <w:vAlign w:val="bottom"/>
            <w:hideMark/>
          </w:tcPr>
          <w:p w:rsidR="00781A31" w:rsidRPr="00B56A83" w:rsidRDefault="000B1FCA" w:rsidP="00781A31">
            <w:pPr>
              <w:spacing w:after="0" w:line="240" w:lineRule="auto"/>
              <w:jc w:val="right"/>
              <w:rPr>
                <w:rFonts w:eastAsia="Times New Roman" w:cs="Times New Roman"/>
                <w:szCs w:val="24"/>
              </w:rPr>
            </w:pPr>
            <w:r w:rsidRPr="00B56A83">
              <w:rPr>
                <w:rFonts w:eastAsia="Times New Roman" w:cs="Times New Roman"/>
                <w:szCs w:val="24"/>
              </w:rPr>
              <w:t>62.37%</w:t>
            </w: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righ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4"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2"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c>
          <w:tcPr>
            <w:tcW w:w="1223" w:type="dxa"/>
            <w:tcBorders>
              <w:top w:val="nil"/>
              <w:left w:val="nil"/>
              <w:bottom w:val="nil"/>
              <w:right w:val="nil"/>
            </w:tcBorders>
            <w:shd w:val="clear" w:color="auto" w:fill="auto"/>
            <w:noWrap/>
            <w:vAlign w:val="bottom"/>
            <w:hideMark/>
          </w:tcPr>
          <w:p w:rsidR="00781A31" w:rsidRPr="00B56A83" w:rsidRDefault="00781A31" w:rsidP="00781A31">
            <w:pPr>
              <w:spacing w:after="0" w:line="240" w:lineRule="auto"/>
              <w:jc w:val="left"/>
              <w:rPr>
                <w:rFonts w:eastAsia="Times New Roman" w:cs="Times New Roman"/>
                <w:szCs w:val="24"/>
              </w:rPr>
            </w:pPr>
          </w:p>
        </w:tc>
      </w:tr>
    </w:tbl>
    <w:p w:rsidR="00781A31" w:rsidRPr="00B56A83" w:rsidRDefault="000B1FCA" w:rsidP="00781A31">
      <w:pPr>
        <w:rPr>
          <w:rFonts w:cs="Times New Roman"/>
          <w:b/>
          <w:i/>
          <w:szCs w:val="24"/>
        </w:rPr>
      </w:pPr>
      <w:r w:rsidRPr="00B56A83">
        <w:rPr>
          <w:rFonts w:cs="Times New Roman"/>
          <w:b/>
          <w:i/>
          <w:szCs w:val="24"/>
        </w:rPr>
        <w:fldChar w:fldCharType="end"/>
      </w:r>
    </w:p>
    <w:p w:rsidR="00781A31" w:rsidRPr="00B56A83" w:rsidRDefault="000B1FCA" w:rsidP="00781A31">
      <w:pPr>
        <w:rPr>
          <w:rFonts w:cs="Times New Roman"/>
          <w:b/>
          <w:i/>
          <w:szCs w:val="24"/>
        </w:rPr>
      </w:pPr>
      <w:r w:rsidRPr="00B56A83">
        <w:rPr>
          <w:rFonts w:cs="Times New Roman"/>
          <w:b/>
          <w:i/>
          <w:szCs w:val="24"/>
        </w:rPr>
        <w:t xml:space="preserve">Chart Representation </w:t>
      </w:r>
    </w:p>
    <w:p w:rsidR="00CA7230" w:rsidRPr="00B56A83" w:rsidRDefault="000B1FCA" w:rsidP="00781A31">
      <w:pPr>
        <w:jc w:val="center"/>
        <w:rPr>
          <w:rFonts w:cs="Times New Roman"/>
          <w:szCs w:val="24"/>
        </w:rPr>
      </w:pPr>
      <w:r w:rsidRPr="00B56A83">
        <w:rPr>
          <w:rFonts w:cs="Times New Roman"/>
          <w:noProof/>
          <w:szCs w:val="24"/>
        </w:rPr>
        <w:drawing>
          <wp:inline distT="0" distB="0" distL="0" distR="0">
            <wp:extent cx="3609975" cy="2371725"/>
            <wp:effectExtent l="0" t="0" r="9525"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CA7230" w:rsidRPr="00B56A83" w:rsidRDefault="000B1FCA" w:rsidP="00781A31">
      <w:pPr>
        <w:jc w:val="center"/>
        <w:rPr>
          <w:rFonts w:cs="Times New Roman"/>
          <w:b/>
          <w:szCs w:val="24"/>
        </w:rPr>
      </w:pPr>
      <w:r w:rsidRPr="00B56A83">
        <w:rPr>
          <w:rFonts w:cs="Times New Roman"/>
          <w:noProof/>
          <w:szCs w:val="24"/>
        </w:rPr>
        <w:drawing>
          <wp:inline distT="0" distB="0" distL="0" distR="0">
            <wp:extent cx="3714750" cy="2233612"/>
            <wp:effectExtent l="0" t="0" r="0" b="1460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C638EA" w:rsidRPr="00B56A83" w:rsidRDefault="000B1FCA">
      <w:pPr>
        <w:rPr>
          <w:rFonts w:cs="Times New Roman"/>
          <w:b/>
          <w:i/>
          <w:szCs w:val="24"/>
        </w:rPr>
      </w:pPr>
      <w:r w:rsidRPr="00B56A83">
        <w:rPr>
          <w:rFonts w:cs="Times New Roman"/>
          <w:b/>
          <w:i/>
          <w:szCs w:val="24"/>
        </w:rPr>
        <w:t>Interpretation</w:t>
      </w:r>
    </w:p>
    <w:p w:rsidR="004D6C93" w:rsidRPr="00B56A83" w:rsidRDefault="000B1FCA" w:rsidP="004D6C93">
      <w:pPr>
        <w:rPr>
          <w:rFonts w:cs="Times New Roman"/>
          <w:szCs w:val="24"/>
        </w:rPr>
      </w:pPr>
      <w:r w:rsidRPr="00B56A83">
        <w:rPr>
          <w:rFonts w:cs="Times New Roman"/>
          <w:szCs w:val="24"/>
        </w:rPr>
        <w:t>Solvency analysis, calculated by using the debt-to-equity and equity ratios indicates that The City Hotel has been gradually shifting to the use of debt as a means of financing</w:t>
      </w:r>
      <w:r w:rsidR="00F7134F" w:rsidRPr="00B56A83">
        <w:rPr>
          <w:rFonts w:cs="Times New Roman"/>
          <w:szCs w:val="24"/>
        </w:rPr>
        <w:t xml:space="preserve"> (</w:t>
      </w:r>
      <w:proofErr w:type="spellStart"/>
      <w:r w:rsidR="00F7134F" w:rsidRPr="00B56A83">
        <w:rPr>
          <w:rFonts w:cs="Times New Roman"/>
          <w:color w:val="222222"/>
          <w:szCs w:val="24"/>
          <w:shd w:val="clear" w:color="auto" w:fill="FFFFFF"/>
        </w:rPr>
        <w:t>Roszkowska</w:t>
      </w:r>
      <w:proofErr w:type="spellEnd"/>
      <w:r w:rsidR="00F7134F" w:rsidRPr="00B56A83">
        <w:rPr>
          <w:rFonts w:cs="Times New Roman"/>
          <w:color w:val="222222"/>
          <w:szCs w:val="24"/>
          <w:shd w:val="clear" w:color="auto" w:fill="FFFFFF"/>
        </w:rPr>
        <w:t>, 2021</w:t>
      </w:r>
      <w:r w:rsidR="00F7134F" w:rsidRPr="00B56A83">
        <w:rPr>
          <w:rFonts w:cs="Times New Roman"/>
          <w:szCs w:val="24"/>
        </w:rPr>
        <w:t>)</w:t>
      </w:r>
      <w:r w:rsidRPr="00B56A83">
        <w:rPr>
          <w:rFonts w:cs="Times New Roman"/>
          <w:szCs w:val="24"/>
        </w:rPr>
        <w:t xml:space="preserve">. </w:t>
      </w:r>
      <w:r w:rsidRPr="00B56A83">
        <w:rPr>
          <w:rFonts w:cs="Times New Roman"/>
          <w:szCs w:val="24"/>
        </w:rPr>
        <w:lastRenderedPageBreak/>
        <w:t>The company's debt to equity also increased from 4.74 in 2021 to 10.1 in 2023 meaning that the debts are higher than equities. The equity ratio depicted by a bar graph decreased from 17% in 2021 to 9% in 2023 an indication that a relatively small level of assets is funded through equity</w:t>
      </w:r>
      <w:r w:rsidR="00F7134F" w:rsidRPr="00B56A83">
        <w:rPr>
          <w:rFonts w:cs="Times New Roman"/>
          <w:szCs w:val="24"/>
        </w:rPr>
        <w:t xml:space="preserve"> (</w:t>
      </w:r>
      <w:proofErr w:type="spellStart"/>
      <w:r w:rsidR="00F7134F" w:rsidRPr="00B56A83">
        <w:rPr>
          <w:rFonts w:cs="Times New Roman"/>
          <w:szCs w:val="24"/>
        </w:rPr>
        <w:t>Heald</w:t>
      </w:r>
      <w:proofErr w:type="spellEnd"/>
      <w:r w:rsidR="00F7134F" w:rsidRPr="00B56A83">
        <w:rPr>
          <w:rFonts w:cs="Times New Roman"/>
          <w:szCs w:val="24"/>
        </w:rPr>
        <w:t xml:space="preserve"> and Hodges, 2020)</w:t>
      </w:r>
      <w:r w:rsidRPr="00B56A83">
        <w:rPr>
          <w:rFonts w:cs="Times New Roman"/>
          <w:szCs w:val="24"/>
        </w:rPr>
        <w:t>. The graphical analysis shows signs of risk for the hotel since the sources of funding gravitate towards debt due to declining equity</w:t>
      </w:r>
      <w:r w:rsidR="00F7134F" w:rsidRPr="00B56A83">
        <w:rPr>
          <w:rFonts w:cs="Times New Roman"/>
          <w:szCs w:val="24"/>
        </w:rPr>
        <w:t xml:space="preserve"> (</w:t>
      </w:r>
      <w:proofErr w:type="spellStart"/>
      <w:r w:rsidR="00F7134F" w:rsidRPr="00B56A83">
        <w:rPr>
          <w:rFonts w:cs="Times New Roman"/>
          <w:color w:val="222222"/>
          <w:szCs w:val="24"/>
          <w:shd w:val="clear" w:color="auto" w:fill="FFFFFF"/>
        </w:rPr>
        <w:t>Baraja</w:t>
      </w:r>
      <w:proofErr w:type="spellEnd"/>
      <w:r w:rsidR="00F7134F" w:rsidRPr="00B56A83">
        <w:rPr>
          <w:rFonts w:cs="Times New Roman"/>
          <w:color w:val="222222"/>
          <w:szCs w:val="24"/>
          <w:shd w:val="clear" w:color="auto" w:fill="FFFFFF"/>
        </w:rPr>
        <w:t xml:space="preserve"> and </w:t>
      </w:r>
      <w:proofErr w:type="spellStart"/>
      <w:r w:rsidR="00F7134F" w:rsidRPr="00B56A83">
        <w:rPr>
          <w:rFonts w:cs="Times New Roman"/>
          <w:color w:val="222222"/>
          <w:szCs w:val="24"/>
          <w:shd w:val="clear" w:color="auto" w:fill="FFFFFF"/>
        </w:rPr>
        <w:t>Yosya</w:t>
      </w:r>
      <w:proofErr w:type="spellEnd"/>
      <w:r w:rsidR="00F7134F" w:rsidRPr="00B56A83">
        <w:rPr>
          <w:rFonts w:cs="Times New Roman"/>
          <w:color w:val="222222"/>
          <w:szCs w:val="24"/>
          <w:shd w:val="clear" w:color="auto" w:fill="FFFFFF"/>
        </w:rPr>
        <w:t>, 2018</w:t>
      </w:r>
      <w:r w:rsidR="00F7134F" w:rsidRPr="00B56A83">
        <w:rPr>
          <w:rFonts w:cs="Times New Roman"/>
          <w:szCs w:val="24"/>
        </w:rPr>
        <w:t>)</w:t>
      </w:r>
      <w:r w:rsidRPr="00B56A83">
        <w:rPr>
          <w:rFonts w:cs="Times New Roman"/>
          <w:szCs w:val="24"/>
        </w:rPr>
        <w:t>.</w:t>
      </w:r>
      <w:r w:rsidR="00781A31" w:rsidRPr="00B56A83">
        <w:rPr>
          <w:rFonts w:cs="Times New Roman"/>
          <w:szCs w:val="24"/>
        </w:rPr>
        <w:t xml:space="preserve"> Subsequently, l</w:t>
      </w:r>
      <w:r w:rsidRPr="00B56A83">
        <w:rPr>
          <w:rFonts w:cs="Times New Roman"/>
          <w:szCs w:val="24"/>
        </w:rPr>
        <w:t>arge debt-to-equity and small equity ratios mean that The City Hotel is exposed to financial risk most especially in the eve</w:t>
      </w:r>
      <w:r w:rsidR="00781A31" w:rsidRPr="00B56A83">
        <w:rPr>
          <w:rFonts w:cs="Times New Roman"/>
          <w:szCs w:val="24"/>
        </w:rPr>
        <w:t>nt the revenue does not improve</w:t>
      </w:r>
      <w:r w:rsidRPr="00B56A83">
        <w:rPr>
          <w:rFonts w:cs="Times New Roman"/>
          <w:szCs w:val="24"/>
        </w:rPr>
        <w:t>.</w:t>
      </w:r>
    </w:p>
    <w:p w:rsidR="00AA2B06" w:rsidRPr="00B56A83" w:rsidRDefault="000B1FCA" w:rsidP="00781A31">
      <w:pPr>
        <w:pStyle w:val="Heading1"/>
        <w:numPr>
          <w:ilvl w:val="0"/>
          <w:numId w:val="5"/>
        </w:numPr>
        <w:rPr>
          <w:rFonts w:cs="Times New Roman"/>
          <w:szCs w:val="24"/>
        </w:rPr>
      </w:pPr>
      <w:bookmarkStart w:id="7" w:name="_Toc181729450"/>
      <w:r w:rsidRPr="00B56A83">
        <w:rPr>
          <w:rFonts w:cs="Times New Roman"/>
          <w:szCs w:val="24"/>
        </w:rPr>
        <w:t>Underlying th</w:t>
      </w:r>
      <w:r w:rsidR="00113258" w:rsidRPr="00B56A83">
        <w:rPr>
          <w:rFonts w:cs="Times New Roman"/>
          <w:szCs w:val="24"/>
        </w:rPr>
        <w:t>e causes of the financial downturn</w:t>
      </w:r>
      <w:bookmarkEnd w:id="7"/>
    </w:p>
    <w:p w:rsidR="00113258" w:rsidRPr="00B56A83" w:rsidRDefault="000B1FCA" w:rsidP="00113258">
      <w:pPr>
        <w:rPr>
          <w:rFonts w:cs="Times New Roman"/>
          <w:szCs w:val="24"/>
        </w:rPr>
      </w:pPr>
      <w:r w:rsidRPr="00B56A83">
        <w:rPr>
          <w:rFonts w:cs="Times New Roman"/>
          <w:szCs w:val="24"/>
        </w:rPr>
        <w:t>The economic and operation aspects as well as the factors peculiar to the markets of Nepal contributed to the difficulties in the financial performance of The City Hotel</w:t>
      </w:r>
      <w:r w:rsidR="00F7134F" w:rsidRPr="00B56A83">
        <w:rPr>
          <w:rFonts w:cs="Times New Roman"/>
          <w:szCs w:val="24"/>
        </w:rPr>
        <w:t xml:space="preserve"> (</w:t>
      </w:r>
      <w:proofErr w:type="spellStart"/>
      <w:r w:rsidR="00F7134F" w:rsidRPr="00B56A83">
        <w:rPr>
          <w:rFonts w:cs="Times New Roman"/>
          <w:color w:val="222222"/>
          <w:szCs w:val="24"/>
          <w:shd w:val="clear" w:color="auto" w:fill="FFFFFF"/>
        </w:rPr>
        <w:t>Roychowdhury</w:t>
      </w:r>
      <w:proofErr w:type="spellEnd"/>
      <w:r w:rsidR="00F7134F" w:rsidRPr="00B56A83">
        <w:rPr>
          <w:rFonts w:cs="Times New Roman"/>
          <w:color w:val="222222"/>
          <w:szCs w:val="24"/>
          <w:shd w:val="clear" w:color="auto" w:fill="FFFFFF"/>
        </w:rPr>
        <w:t xml:space="preserve"> et al., 2019</w:t>
      </w:r>
      <w:r w:rsidR="00F7134F" w:rsidRPr="00B56A83">
        <w:rPr>
          <w:rFonts w:cs="Times New Roman"/>
          <w:szCs w:val="24"/>
        </w:rPr>
        <w:t>)</w:t>
      </w:r>
      <w:r w:rsidR="00DB502F">
        <w:rPr>
          <w:rFonts w:cs="Times New Roman"/>
          <w:szCs w:val="24"/>
        </w:rPr>
        <w:t xml:space="preserve">. </w:t>
      </w:r>
      <w:proofErr w:type="spellStart"/>
      <w:r w:rsidR="00C55C3A" w:rsidRPr="00B56A83">
        <w:rPr>
          <w:rFonts w:cs="Times New Roman"/>
          <w:szCs w:val="24"/>
          <w:shd w:val="clear" w:color="auto" w:fill="FFFFFF"/>
        </w:rPr>
        <w:t>Kliestik</w:t>
      </w:r>
      <w:proofErr w:type="spellEnd"/>
      <w:r w:rsidR="00C55C3A" w:rsidRPr="00B56A83">
        <w:rPr>
          <w:rFonts w:cs="Times New Roman"/>
          <w:szCs w:val="24"/>
          <w:shd w:val="clear" w:color="auto" w:fill="FFFFFF"/>
        </w:rPr>
        <w:t xml:space="preserve"> et al., </w:t>
      </w:r>
      <w:r w:rsidR="00DB502F">
        <w:rPr>
          <w:rFonts w:cs="Times New Roman"/>
          <w:szCs w:val="24"/>
          <w:shd w:val="clear" w:color="auto" w:fill="FFFFFF"/>
        </w:rPr>
        <w:t>(</w:t>
      </w:r>
      <w:r w:rsidR="00C55C3A" w:rsidRPr="00B56A83">
        <w:rPr>
          <w:rFonts w:cs="Times New Roman"/>
          <w:szCs w:val="24"/>
          <w:shd w:val="clear" w:color="auto" w:fill="FFFFFF"/>
        </w:rPr>
        <w:t>2020</w:t>
      </w:r>
      <w:r w:rsidR="00DB502F">
        <w:rPr>
          <w:rFonts w:cs="Times New Roman"/>
          <w:szCs w:val="24"/>
        </w:rPr>
        <w:t>)</w:t>
      </w:r>
      <w:r w:rsidRPr="00B56A83">
        <w:rPr>
          <w:rFonts w:cs="Times New Roman"/>
          <w:szCs w:val="24"/>
        </w:rPr>
        <w:t>, oscillations in the local and international economy have probably impacted both commercial and leisure travel hence reducing occupancy of the hotel services</w:t>
      </w:r>
      <w:r w:rsidR="00F7134F" w:rsidRPr="00B56A83">
        <w:rPr>
          <w:rFonts w:cs="Times New Roman"/>
          <w:szCs w:val="24"/>
        </w:rPr>
        <w:t xml:space="preserve"> (</w:t>
      </w:r>
      <w:proofErr w:type="spellStart"/>
      <w:r w:rsidR="00F7134F" w:rsidRPr="00B56A83">
        <w:rPr>
          <w:rFonts w:cs="Times New Roman"/>
          <w:color w:val="222222"/>
          <w:szCs w:val="24"/>
          <w:shd w:val="clear" w:color="auto" w:fill="FFFFFF"/>
        </w:rPr>
        <w:t>Ferracuti</w:t>
      </w:r>
      <w:proofErr w:type="spellEnd"/>
      <w:r w:rsidR="00F7134F" w:rsidRPr="00B56A83">
        <w:rPr>
          <w:rFonts w:cs="Times New Roman"/>
          <w:color w:val="222222"/>
          <w:szCs w:val="24"/>
          <w:shd w:val="clear" w:color="auto" w:fill="FFFFFF"/>
        </w:rPr>
        <w:t xml:space="preserve"> and </w:t>
      </w:r>
      <w:proofErr w:type="spellStart"/>
      <w:r w:rsidR="00F7134F" w:rsidRPr="00B56A83">
        <w:rPr>
          <w:rFonts w:cs="Times New Roman"/>
          <w:color w:val="222222"/>
          <w:szCs w:val="24"/>
          <w:shd w:val="clear" w:color="auto" w:fill="FFFFFF"/>
        </w:rPr>
        <w:t>Stubben</w:t>
      </w:r>
      <w:proofErr w:type="spellEnd"/>
      <w:r w:rsidR="00F7134F" w:rsidRPr="00B56A83">
        <w:rPr>
          <w:rFonts w:cs="Times New Roman"/>
          <w:color w:val="222222"/>
          <w:szCs w:val="24"/>
          <w:shd w:val="clear" w:color="auto" w:fill="FFFFFF"/>
        </w:rPr>
        <w:t>, 2019</w:t>
      </w:r>
      <w:r w:rsidR="00F7134F" w:rsidRPr="00B56A83">
        <w:rPr>
          <w:rFonts w:cs="Times New Roman"/>
          <w:szCs w:val="24"/>
        </w:rPr>
        <w:t>)</w:t>
      </w:r>
      <w:r w:rsidRPr="00B56A83">
        <w:rPr>
          <w:rFonts w:cs="Times New Roman"/>
          <w:szCs w:val="24"/>
        </w:rPr>
        <w:t>. From the operational perspective, poor cost control, with high fixed costs and inefficiency in resource use made the performance of the hotel worse off. Significantly, the ex</w:t>
      </w:r>
      <w:r w:rsidR="00DB502F">
        <w:rPr>
          <w:rFonts w:cs="Times New Roman"/>
          <w:szCs w:val="24"/>
        </w:rPr>
        <w:t>ternal pressures to the market</w:t>
      </w:r>
      <w:r w:rsidRPr="00B56A83">
        <w:rPr>
          <w:rFonts w:cs="Times New Roman"/>
          <w:szCs w:val="24"/>
        </w:rPr>
        <w:t>. Thus, the change in revenues due to external factors, like crises or economic collapse, affects the hotel's troubles</w:t>
      </w:r>
      <w:r w:rsidR="00F7134F" w:rsidRPr="00B56A83">
        <w:rPr>
          <w:rFonts w:cs="Times New Roman"/>
          <w:color w:val="222222"/>
          <w:szCs w:val="24"/>
          <w:shd w:val="clear" w:color="auto" w:fill="FFFFFF"/>
        </w:rPr>
        <w:t xml:space="preserve"> (Manes-Rossi et al., 2020</w:t>
      </w:r>
      <w:r w:rsidR="00F7134F" w:rsidRPr="00B56A83">
        <w:rPr>
          <w:rFonts w:cs="Times New Roman"/>
          <w:szCs w:val="24"/>
        </w:rPr>
        <w:t>)</w:t>
      </w:r>
      <w:r w:rsidRPr="00B56A83">
        <w:rPr>
          <w:rFonts w:cs="Times New Roman"/>
          <w:szCs w:val="24"/>
        </w:rPr>
        <w:t xml:space="preserve">. </w:t>
      </w:r>
    </w:p>
    <w:p w:rsidR="003A755D" w:rsidRPr="00B56A83" w:rsidRDefault="003A755D" w:rsidP="000B1FCA">
      <w:pPr>
        <w:pStyle w:val="Heading1"/>
        <w:numPr>
          <w:ilvl w:val="0"/>
          <w:numId w:val="11"/>
        </w:numPr>
        <w:rPr>
          <w:rFonts w:cs="Times New Roman"/>
          <w:szCs w:val="24"/>
        </w:rPr>
      </w:pPr>
      <w:bookmarkStart w:id="8" w:name="_Toc181729451"/>
      <w:r w:rsidRPr="00B56A83">
        <w:rPr>
          <w:rFonts w:cs="Times New Roman"/>
          <w:szCs w:val="24"/>
        </w:rPr>
        <w:t>Turnout Strategy</w:t>
      </w:r>
      <w:bookmarkEnd w:id="8"/>
      <w:r w:rsidRPr="00B56A83">
        <w:rPr>
          <w:rFonts w:cs="Times New Roman"/>
          <w:szCs w:val="24"/>
        </w:rPr>
        <w:t xml:space="preserve"> </w:t>
      </w:r>
    </w:p>
    <w:p w:rsidR="003A755D" w:rsidRPr="00B56A83" w:rsidRDefault="00066538" w:rsidP="003A755D">
      <w:r w:rsidRPr="00B56A83">
        <w:t xml:space="preserve">Operational efficiency is applied by the business to maintain success in the struggling part. </w:t>
      </w:r>
      <w:r w:rsidR="003A755D" w:rsidRPr="00B56A83">
        <w:rPr>
          <w:rFonts w:cs="Times New Roman"/>
          <w:szCs w:val="24"/>
        </w:rPr>
        <w:t xml:space="preserve">The effective strategy associated with the provision of the definite aspect to maintain the struggling efforts of the hotel is optimization of the operational efficiency (Lin et al., 2020). The approach focuses on providing streamlining processes, reduction in the costs, and enhancement in the service quality that is leading towards the improved system of profitability and overall guest satisfaction. The initial step for </w:t>
      </w:r>
      <w:proofErr w:type="spellStart"/>
      <w:r w:rsidR="003A755D" w:rsidRPr="00B56A83">
        <w:rPr>
          <w:rFonts w:cs="Times New Roman"/>
          <w:szCs w:val="24"/>
        </w:rPr>
        <w:t>optimisation</w:t>
      </w:r>
      <w:proofErr w:type="spellEnd"/>
      <w:r w:rsidR="003A755D" w:rsidRPr="00B56A83">
        <w:rPr>
          <w:rFonts w:cs="Times New Roman"/>
          <w:szCs w:val="24"/>
        </w:rPr>
        <w:t xml:space="preserve"> in the operational efficiency is streamlining the hotel operations. It is achieved while implementing a definite system of cloud-based Property Management System (PMS) for the management of different functions (Legrand et al., 2022). It is helpful for the management of online reservations, check-in processes, and billing system. A modern PMS is applied by the City Hotel to maintain effective automation of the routine tasks, reduction in the manual errors, and make freeing up of the staff for the delivery of the exceptional services for the guest experiences. </w:t>
      </w:r>
      <w:proofErr w:type="spellStart"/>
      <w:r w:rsidR="003A755D" w:rsidRPr="00B56A83">
        <w:rPr>
          <w:rFonts w:cs="Times New Roman"/>
          <w:szCs w:val="24"/>
        </w:rPr>
        <w:t>Heald</w:t>
      </w:r>
      <w:proofErr w:type="spellEnd"/>
      <w:r w:rsidR="003A755D" w:rsidRPr="00B56A83">
        <w:rPr>
          <w:rFonts w:cs="Times New Roman"/>
          <w:szCs w:val="24"/>
        </w:rPr>
        <w:t xml:space="preserve"> and Hodges (2020) stated that it seems integrating the channel manager of the hotel to ensure using the real-time distribution based on the room rates and availability in different online travel agencies (OTAs), increase in the visibility, and booking process in the </w:t>
      </w:r>
      <w:r w:rsidR="003A755D" w:rsidRPr="00B56A83">
        <w:rPr>
          <w:rFonts w:cs="Times New Roman"/>
          <w:szCs w:val="24"/>
        </w:rPr>
        <w:lastRenderedPageBreak/>
        <w:t>potential (</w:t>
      </w:r>
      <w:proofErr w:type="spellStart"/>
      <w:r w:rsidR="003A755D" w:rsidRPr="00B56A83">
        <w:rPr>
          <w:rFonts w:cs="Times New Roman"/>
          <w:szCs w:val="24"/>
        </w:rPr>
        <w:t>Filimonau</w:t>
      </w:r>
      <w:proofErr w:type="spellEnd"/>
      <w:r w:rsidR="003A755D" w:rsidRPr="00B56A83">
        <w:rPr>
          <w:rFonts w:cs="Times New Roman"/>
          <w:szCs w:val="24"/>
        </w:rPr>
        <w:t xml:space="preserve">, 2021). The technological process allows integration for the enhancement in the operational efficiency and provision of the valuable data insights to make informed decision-making. Effective staff management is effectual for the operational efficiency. The management of City Hotel needs assessment of the staffing levels associated with the occupancy trends and ensuring about the overstaffed nor understaffed system. Therefore, the implementation of the flexible staffing models like use of the part-time or gig workers at the time of peak times. It is helpful for the management of the </w:t>
      </w:r>
      <w:proofErr w:type="spellStart"/>
      <w:r w:rsidR="003A755D" w:rsidRPr="00B56A83">
        <w:rPr>
          <w:rFonts w:cs="Times New Roman"/>
          <w:szCs w:val="24"/>
        </w:rPr>
        <w:t>labour</w:t>
      </w:r>
      <w:proofErr w:type="spellEnd"/>
      <w:r w:rsidR="003A755D" w:rsidRPr="00B56A83">
        <w:rPr>
          <w:rFonts w:cs="Times New Roman"/>
          <w:szCs w:val="24"/>
        </w:rPr>
        <w:t xml:space="preserve"> costs in effective manner (Fatima and </w:t>
      </w:r>
      <w:proofErr w:type="spellStart"/>
      <w:r w:rsidR="003A755D" w:rsidRPr="00B56A83">
        <w:rPr>
          <w:rFonts w:cs="Times New Roman"/>
          <w:szCs w:val="24"/>
        </w:rPr>
        <w:t>Elbanna</w:t>
      </w:r>
      <w:proofErr w:type="spellEnd"/>
      <w:r w:rsidR="003A755D" w:rsidRPr="00B56A83">
        <w:rPr>
          <w:rFonts w:cs="Times New Roman"/>
          <w:szCs w:val="24"/>
        </w:rPr>
        <w:t>, 2020). Additionally, there is an investment in the management of continuous training programs for staff enhances and managing the skills and adaptability for changing the guest needs and demands. There is a well-trained workforce that helps in the delivery of the high-quality service that direct impacts on the guest satisfaction and overall loyalty. Furthermore, it seems enhancing the positive working environment that is leading towards the higher employee morale and overall productivity.</w:t>
      </w:r>
    </w:p>
    <w:p w:rsidR="003A755D" w:rsidRPr="00B56A83" w:rsidRDefault="003A755D" w:rsidP="003A755D">
      <w:pPr>
        <w:rPr>
          <w:rFonts w:cs="Times New Roman"/>
          <w:szCs w:val="24"/>
        </w:rPr>
      </w:pPr>
      <w:r w:rsidRPr="00B56A83">
        <w:rPr>
          <w:rFonts w:cs="Times New Roman"/>
          <w:szCs w:val="24"/>
        </w:rPr>
        <w:t xml:space="preserve">The management of City Hotel implements the </w:t>
      </w:r>
      <w:r w:rsidR="005B2BFE" w:rsidRPr="00B56A83">
        <w:rPr>
          <w:rFonts w:cs="Times New Roman"/>
          <w:szCs w:val="24"/>
        </w:rPr>
        <w:t xml:space="preserve">operational efficiency </w:t>
      </w:r>
      <w:r w:rsidRPr="00B56A83">
        <w:rPr>
          <w:rFonts w:cs="Times New Roman"/>
          <w:szCs w:val="24"/>
        </w:rPr>
        <w:t xml:space="preserve">strategy to maintain energy for the operational </w:t>
      </w:r>
      <w:proofErr w:type="spellStart"/>
      <w:r w:rsidRPr="00B56A83">
        <w:rPr>
          <w:rFonts w:cs="Times New Roman"/>
          <w:szCs w:val="24"/>
        </w:rPr>
        <w:t>optimisation</w:t>
      </w:r>
      <w:proofErr w:type="spellEnd"/>
      <w:r w:rsidRPr="00B56A83">
        <w:rPr>
          <w:rFonts w:cs="Times New Roman"/>
          <w:szCs w:val="24"/>
        </w:rPr>
        <w:t xml:space="preserve">. Hotel management allows reduction of the utility costs with the adaptation of the cost energy-efficient technologies like use of the LED lighting, smart thermostats features, and energy management systems for the adjustments in the heating and cooling systems (Akbari et al., 2021). There are different initiatives for lowering the operational expenses and make alignment with the sustainability goals and managing the system towards the environmental-conscious </w:t>
      </w:r>
      <w:proofErr w:type="spellStart"/>
      <w:r w:rsidRPr="00B56A83">
        <w:rPr>
          <w:rFonts w:cs="Times New Roman"/>
          <w:szCs w:val="24"/>
        </w:rPr>
        <w:t>travellers</w:t>
      </w:r>
      <w:proofErr w:type="spellEnd"/>
      <w:r w:rsidRPr="00B56A83">
        <w:rPr>
          <w:rFonts w:cs="Times New Roman"/>
          <w:szCs w:val="24"/>
        </w:rPr>
        <w:t xml:space="preserve">. The practices are implemented encouraging guests for the participation for the energy-saving measures like reusing towels and make enhancement for the reputation of hotel and make contribution to the cost savings. Adams (2024) elaborated that it seems </w:t>
      </w:r>
      <w:proofErr w:type="spellStart"/>
      <w:r w:rsidRPr="00B56A83">
        <w:rPr>
          <w:rFonts w:cs="Times New Roman"/>
          <w:szCs w:val="24"/>
        </w:rPr>
        <w:t>optimisation</w:t>
      </w:r>
      <w:proofErr w:type="spellEnd"/>
      <w:r w:rsidRPr="00B56A83">
        <w:rPr>
          <w:rFonts w:cs="Times New Roman"/>
          <w:szCs w:val="24"/>
        </w:rPr>
        <w:t xml:space="preserve"> of the operational efficiency for the enhancement of the guest experience. The streamlining of the operations makes improvements in the staff training where the management of the City Hotel offers </w:t>
      </w:r>
      <w:proofErr w:type="spellStart"/>
      <w:r w:rsidRPr="00B56A83">
        <w:rPr>
          <w:rFonts w:cs="Times New Roman"/>
          <w:szCs w:val="24"/>
        </w:rPr>
        <w:t>personalised</w:t>
      </w:r>
      <w:proofErr w:type="spellEnd"/>
      <w:r w:rsidRPr="00B56A83">
        <w:rPr>
          <w:rFonts w:cs="Times New Roman"/>
          <w:szCs w:val="24"/>
        </w:rPr>
        <w:t xml:space="preserve"> services for meeting the demands of the guests. </w:t>
      </w:r>
    </w:p>
    <w:p w:rsidR="003A755D" w:rsidRPr="00B56A83" w:rsidRDefault="003A755D" w:rsidP="003A755D">
      <w:pPr>
        <w:pStyle w:val="Heading1"/>
        <w:numPr>
          <w:ilvl w:val="0"/>
          <w:numId w:val="9"/>
        </w:numPr>
        <w:rPr>
          <w:rFonts w:cs="Times New Roman"/>
          <w:szCs w:val="24"/>
        </w:rPr>
      </w:pPr>
      <w:bookmarkStart w:id="9" w:name="_Toc181729452"/>
      <w:r w:rsidRPr="00B56A83">
        <w:rPr>
          <w:rFonts w:cs="Times New Roman"/>
          <w:szCs w:val="24"/>
        </w:rPr>
        <w:t>Financial Projection and Viability</w:t>
      </w:r>
      <w:bookmarkEnd w:id="9"/>
      <w:r w:rsidRPr="00B56A83">
        <w:rPr>
          <w:rFonts w:cs="Times New Roman"/>
          <w:szCs w:val="24"/>
        </w:rPr>
        <w:t xml:space="preserve"> </w:t>
      </w:r>
    </w:p>
    <w:p w:rsidR="003A755D" w:rsidRPr="00B56A83" w:rsidRDefault="003A755D" w:rsidP="003A755D">
      <w:pPr>
        <w:rPr>
          <w:rFonts w:cs="Times New Roman"/>
          <w:szCs w:val="24"/>
        </w:rPr>
      </w:pPr>
      <w:r w:rsidRPr="00B56A83">
        <w:rPr>
          <w:rFonts w:cs="Times New Roman"/>
          <w:szCs w:val="24"/>
        </w:rPr>
        <w:t xml:space="preserve">Financial projections helps in estimating the performances of The City Hotel for future financial management such as anticipation of the revenues, expenses, and management of cash flows in the given period. The challenges seem in declining the revenues and profitability for the development of the accurate measures in the financial projections that impose potential impact within the definite turnaround strategy (Legrand et al., 2022). These projections are associated with the </w:t>
      </w:r>
      <w:r w:rsidRPr="00B56A83">
        <w:rPr>
          <w:rFonts w:cs="Times New Roman"/>
          <w:szCs w:val="24"/>
        </w:rPr>
        <w:lastRenderedPageBreak/>
        <w:t xml:space="preserve">historical data considering the income statements and balance sheets, value of the current market trends, and different assumptions based on the future growth that are implemented with considering the targeted actions like enhancement in the customer experience and </w:t>
      </w:r>
      <w:proofErr w:type="spellStart"/>
      <w:r w:rsidRPr="00B56A83">
        <w:rPr>
          <w:rFonts w:cs="Times New Roman"/>
          <w:szCs w:val="24"/>
        </w:rPr>
        <w:t>optimisation</w:t>
      </w:r>
      <w:proofErr w:type="spellEnd"/>
      <w:r w:rsidR="006D6DE8">
        <w:rPr>
          <w:rFonts w:cs="Times New Roman"/>
          <w:szCs w:val="24"/>
        </w:rPr>
        <w:t xml:space="preserve"> of the operational efficiency </w:t>
      </w:r>
      <w:r w:rsidRPr="00B56A83">
        <w:rPr>
          <w:rFonts w:cs="Times New Roman"/>
          <w:szCs w:val="24"/>
        </w:rPr>
        <w:t xml:space="preserve">(Lin et al., 2020). On the other hand, the viability of The City Hotel allows linking of the related financial projections that allows feasibility of achieving definite and desired growth and overall profitability within the competitive market. Viability allows management of the long-term sustainability based on the business model using definite economic pressures and make shifting in the consumer </w:t>
      </w:r>
      <w:proofErr w:type="spellStart"/>
      <w:r w:rsidRPr="00B56A83">
        <w:rPr>
          <w:rFonts w:cs="Times New Roman"/>
          <w:szCs w:val="24"/>
        </w:rPr>
        <w:t>behaviours</w:t>
      </w:r>
      <w:proofErr w:type="spellEnd"/>
      <w:r w:rsidRPr="00B56A83">
        <w:rPr>
          <w:rFonts w:cs="Times New Roman"/>
          <w:szCs w:val="24"/>
        </w:rPr>
        <w:t xml:space="preserve"> (Adams, 2024). </w:t>
      </w:r>
    </w:p>
    <w:p w:rsidR="00601FA0" w:rsidRPr="00B56A83" w:rsidRDefault="00601FA0" w:rsidP="003A755D">
      <w:pPr>
        <w:rPr>
          <w:rFonts w:cs="Times New Roman"/>
          <w:b/>
          <w:szCs w:val="24"/>
        </w:rPr>
      </w:pPr>
      <w:r w:rsidRPr="00B56A83">
        <w:rPr>
          <w:rFonts w:cs="Times New Roman"/>
          <w:b/>
          <w:szCs w:val="24"/>
        </w:rPr>
        <w:t>Turnaround Estimated Budget</w:t>
      </w:r>
    </w:p>
    <w:tbl>
      <w:tblPr>
        <w:tblW w:w="1012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3791"/>
        <w:gridCol w:w="4566"/>
        <w:gridCol w:w="1763"/>
      </w:tblGrid>
      <w:tr w:rsidR="00601FA0" w:rsidRPr="00B56A83" w:rsidTr="00FF6145">
        <w:trPr>
          <w:tblHeader/>
        </w:trPr>
        <w:tc>
          <w:tcPr>
            <w:tcW w:w="0" w:type="auto"/>
            <w:shd w:val="clear" w:color="auto" w:fill="F4B083" w:themeFill="accent2" w:themeFillTint="99"/>
            <w:noWrap/>
            <w:vAlign w:val="bottom"/>
            <w:hideMark/>
          </w:tcPr>
          <w:p w:rsidR="00601FA0" w:rsidRPr="00B56A83" w:rsidRDefault="00601FA0" w:rsidP="00601FA0">
            <w:pPr>
              <w:jc w:val="center"/>
              <w:rPr>
                <w:rFonts w:cs="Times New Roman"/>
                <w:b/>
                <w:bCs/>
                <w:szCs w:val="24"/>
              </w:rPr>
            </w:pPr>
            <w:r w:rsidRPr="00B56A83">
              <w:rPr>
                <w:rFonts w:cs="Times New Roman"/>
                <w:b/>
                <w:bCs/>
                <w:szCs w:val="24"/>
              </w:rPr>
              <w:t>Budget Category</w:t>
            </w:r>
          </w:p>
        </w:tc>
        <w:tc>
          <w:tcPr>
            <w:tcW w:w="0" w:type="auto"/>
            <w:shd w:val="clear" w:color="auto" w:fill="F4B083" w:themeFill="accent2" w:themeFillTint="99"/>
            <w:noWrap/>
            <w:vAlign w:val="bottom"/>
            <w:hideMark/>
          </w:tcPr>
          <w:p w:rsidR="00601FA0" w:rsidRPr="00B56A83" w:rsidRDefault="00601FA0" w:rsidP="00601FA0">
            <w:pPr>
              <w:jc w:val="center"/>
              <w:rPr>
                <w:rFonts w:cs="Times New Roman"/>
                <w:b/>
                <w:bCs/>
                <w:szCs w:val="24"/>
              </w:rPr>
            </w:pPr>
            <w:r w:rsidRPr="00B56A83">
              <w:rPr>
                <w:rFonts w:cs="Times New Roman"/>
                <w:b/>
                <w:bCs/>
                <w:szCs w:val="24"/>
              </w:rPr>
              <w:t>Description</w:t>
            </w:r>
          </w:p>
        </w:tc>
        <w:tc>
          <w:tcPr>
            <w:tcW w:w="0" w:type="auto"/>
            <w:shd w:val="clear" w:color="auto" w:fill="F4B083" w:themeFill="accent2" w:themeFillTint="99"/>
            <w:noWrap/>
            <w:vAlign w:val="bottom"/>
            <w:hideMark/>
          </w:tcPr>
          <w:p w:rsidR="00601FA0" w:rsidRPr="00B56A83" w:rsidRDefault="00601FA0" w:rsidP="00601FA0">
            <w:pPr>
              <w:jc w:val="center"/>
              <w:rPr>
                <w:rFonts w:cs="Times New Roman"/>
                <w:b/>
                <w:bCs/>
                <w:szCs w:val="24"/>
              </w:rPr>
            </w:pPr>
            <w:r w:rsidRPr="00B56A83">
              <w:rPr>
                <w:rFonts w:cs="Times New Roman"/>
                <w:b/>
                <w:bCs/>
                <w:szCs w:val="24"/>
              </w:rPr>
              <w:t>Estimated Cost</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bCs/>
                <w:szCs w:val="24"/>
              </w:rPr>
              <w:t>Staff Training and Development Programs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 xml:space="preserve">Investment for the successful training programs </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$5,000 - $10,000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Employee engagement processes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$10,000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bCs/>
                <w:szCs w:val="24"/>
              </w:rPr>
              <w:t xml:space="preserve">Technological </w:t>
            </w:r>
            <w:r w:rsidR="00FF6145" w:rsidRPr="00B56A83">
              <w:rPr>
                <w:rFonts w:cs="Times New Roman"/>
                <w:bCs/>
                <w:szCs w:val="24"/>
              </w:rPr>
              <w:t>Advancement</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Use of Property Management System (PMS)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$10,000 - $20,000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 xml:space="preserve">Use of Automation tools </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$10,000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bCs/>
                <w:szCs w:val="24"/>
              </w:rPr>
              <w:t>Operational Efficiency System</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Process management of consulting fees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$5,000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Housekeeping tools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$3,000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bCs/>
                <w:szCs w:val="24"/>
              </w:rPr>
              <w:t>Marketing and Customer Support</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Use of marketing strategies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$5,000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Customer Relationship Management (CRM) process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$5,000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bCs/>
                <w:szCs w:val="24"/>
              </w:rPr>
              <w:t>Facility Management</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Energy efficiency system</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$10,000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Guest experience process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$5,000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bCs/>
                <w:szCs w:val="24"/>
              </w:rPr>
              <w:t>Financial Management</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Consultancy with financial dealers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$3,000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bCs/>
                <w:szCs w:val="24"/>
              </w:rPr>
              <w:t>Funds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Miscellaneous Costs</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szCs w:val="24"/>
              </w:rPr>
              <w:t>$10,000</w:t>
            </w:r>
          </w:p>
        </w:tc>
      </w:tr>
      <w:tr w:rsidR="00601FA0" w:rsidRPr="00B56A83" w:rsidTr="00601FA0">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r w:rsidRPr="00B56A83">
              <w:rPr>
                <w:rFonts w:cs="Times New Roman"/>
                <w:bCs/>
                <w:szCs w:val="24"/>
              </w:rPr>
              <w:t>Total Estimated Budget</w:t>
            </w:r>
          </w:p>
        </w:tc>
        <w:tc>
          <w:tcPr>
            <w:tcW w:w="0" w:type="auto"/>
            <w:tcMar>
              <w:top w:w="137" w:type="dxa"/>
              <w:left w:w="15" w:type="dxa"/>
              <w:bottom w:w="137" w:type="dxa"/>
              <w:right w:w="15" w:type="dxa"/>
            </w:tcMar>
            <w:vAlign w:val="bottom"/>
            <w:hideMark/>
          </w:tcPr>
          <w:p w:rsidR="00601FA0" w:rsidRPr="00B56A83" w:rsidRDefault="00601FA0" w:rsidP="00601FA0">
            <w:pPr>
              <w:jc w:val="center"/>
              <w:rPr>
                <w:rFonts w:cs="Times New Roman"/>
                <w:szCs w:val="24"/>
              </w:rPr>
            </w:pPr>
          </w:p>
        </w:tc>
        <w:tc>
          <w:tcPr>
            <w:tcW w:w="0" w:type="auto"/>
            <w:tcMar>
              <w:top w:w="137" w:type="dxa"/>
              <w:left w:w="15" w:type="dxa"/>
              <w:bottom w:w="137" w:type="dxa"/>
              <w:right w:w="15" w:type="dxa"/>
            </w:tcMar>
            <w:vAlign w:val="bottom"/>
            <w:hideMark/>
          </w:tcPr>
          <w:p w:rsidR="00601FA0" w:rsidRPr="00B56A83" w:rsidRDefault="00FF6145" w:rsidP="00601FA0">
            <w:pPr>
              <w:jc w:val="center"/>
              <w:rPr>
                <w:rFonts w:cs="Times New Roman"/>
                <w:szCs w:val="24"/>
              </w:rPr>
            </w:pPr>
            <w:r w:rsidRPr="00B56A83">
              <w:rPr>
                <w:rFonts w:cs="Times New Roman"/>
                <w:bCs/>
                <w:szCs w:val="24"/>
              </w:rPr>
              <w:t>$86,000 - $96</w:t>
            </w:r>
            <w:r w:rsidR="00F67482" w:rsidRPr="00B56A83">
              <w:rPr>
                <w:rFonts w:cs="Times New Roman"/>
                <w:bCs/>
                <w:szCs w:val="24"/>
              </w:rPr>
              <w:t>,0</w:t>
            </w:r>
            <w:r w:rsidR="00601FA0" w:rsidRPr="00B56A83">
              <w:rPr>
                <w:rFonts w:cs="Times New Roman"/>
                <w:bCs/>
                <w:szCs w:val="24"/>
              </w:rPr>
              <w:t>00</w:t>
            </w:r>
          </w:p>
        </w:tc>
      </w:tr>
    </w:tbl>
    <w:p w:rsidR="00601FA0" w:rsidRPr="00B56A83" w:rsidRDefault="00601FA0" w:rsidP="003A755D">
      <w:pPr>
        <w:rPr>
          <w:rFonts w:cs="Times New Roman"/>
          <w:b/>
          <w:szCs w:val="24"/>
        </w:rPr>
      </w:pPr>
    </w:p>
    <w:p w:rsidR="003A755D" w:rsidRPr="00B56A83" w:rsidRDefault="003A755D" w:rsidP="003A755D">
      <w:pPr>
        <w:pStyle w:val="Heading1"/>
        <w:numPr>
          <w:ilvl w:val="0"/>
          <w:numId w:val="9"/>
        </w:numPr>
        <w:rPr>
          <w:rFonts w:cs="Times New Roman"/>
          <w:szCs w:val="24"/>
        </w:rPr>
      </w:pPr>
      <w:bookmarkStart w:id="10" w:name="_Toc181729453"/>
      <w:r w:rsidRPr="00B56A83">
        <w:rPr>
          <w:rFonts w:cs="Times New Roman"/>
          <w:szCs w:val="24"/>
        </w:rPr>
        <w:t>Conclusion</w:t>
      </w:r>
      <w:bookmarkEnd w:id="10"/>
      <w:r w:rsidRPr="00B56A83">
        <w:rPr>
          <w:rFonts w:cs="Times New Roman"/>
          <w:szCs w:val="24"/>
        </w:rPr>
        <w:t xml:space="preserve"> </w:t>
      </w:r>
    </w:p>
    <w:p w:rsidR="003A755D" w:rsidRPr="00B56A83" w:rsidRDefault="003A755D" w:rsidP="003A755D">
      <w:pPr>
        <w:rPr>
          <w:rFonts w:cs="Times New Roman"/>
          <w:szCs w:val="24"/>
        </w:rPr>
      </w:pPr>
      <w:r w:rsidRPr="00B56A83">
        <w:rPr>
          <w:rFonts w:cs="Times New Roman"/>
          <w:szCs w:val="24"/>
        </w:rPr>
        <w:t xml:space="preserve">It has been concluded that the case represented the financial projections of The City Hotel. It has elaborated that the hotel faced different challenges while combining the internal inefficiencies and external pressures that are leading the operations towards the decline in the revenues and overall profitability. The analysis of the financial performance has provided the value of improvement such as management of service quality, operational efficiency, and use of the effective marketing strategies. </w:t>
      </w:r>
    </w:p>
    <w:p w:rsidR="003A755D" w:rsidRPr="00B56A83" w:rsidRDefault="003A755D" w:rsidP="003A755D">
      <w:pPr>
        <w:pStyle w:val="Heading1"/>
        <w:numPr>
          <w:ilvl w:val="0"/>
          <w:numId w:val="9"/>
        </w:numPr>
        <w:rPr>
          <w:rFonts w:cs="Times New Roman"/>
          <w:szCs w:val="24"/>
        </w:rPr>
      </w:pPr>
      <w:bookmarkStart w:id="11" w:name="_Toc181729454"/>
      <w:r w:rsidRPr="00B56A83">
        <w:rPr>
          <w:rFonts w:cs="Times New Roman"/>
          <w:szCs w:val="24"/>
        </w:rPr>
        <w:t>Recommendation</w:t>
      </w:r>
      <w:bookmarkEnd w:id="11"/>
      <w:r w:rsidRPr="00B56A83">
        <w:rPr>
          <w:rFonts w:cs="Times New Roman"/>
          <w:szCs w:val="24"/>
        </w:rPr>
        <w:t xml:space="preserve"> </w:t>
      </w:r>
    </w:p>
    <w:p w:rsidR="003A755D" w:rsidRPr="00AF2478" w:rsidRDefault="003A755D" w:rsidP="003A755D">
      <w:pPr>
        <w:rPr>
          <w:rFonts w:cs="Times New Roman"/>
          <w:szCs w:val="24"/>
        </w:rPr>
      </w:pPr>
      <w:r w:rsidRPr="00B56A83">
        <w:rPr>
          <w:rFonts w:cs="Times New Roman"/>
          <w:szCs w:val="24"/>
        </w:rPr>
        <w:t xml:space="preserve">It is recommended to The City Hotel to make enhancement in the financial performance and implementation of a multi-faceted approach while focusing on the management of the operational improvements and making strategic marketing initiatives in the industry. The management of the hotel needs investments in the advanced technologies for streamlining the operations and make improvements in the guest experiences. There must be integrating services for the self-check-in </w:t>
      </w:r>
      <w:r w:rsidRPr="00B56A83">
        <w:rPr>
          <w:rFonts w:cs="Times New Roman"/>
          <w:szCs w:val="24"/>
        </w:rPr>
        <w:lastRenderedPageBreak/>
        <w:t xml:space="preserve">systems, features like smart locks, and live chat services for all the customer with the support representatives. The hotel needs enhancement in the convenience and efficiency for the management of the guests. </w:t>
      </w:r>
    </w:p>
    <w:p w:rsidR="00781A31" w:rsidRPr="00AF2478" w:rsidRDefault="003A755D">
      <w:pPr>
        <w:spacing w:line="259" w:lineRule="auto"/>
        <w:jc w:val="left"/>
        <w:rPr>
          <w:rFonts w:cs="Times New Roman"/>
          <w:szCs w:val="24"/>
        </w:rPr>
      </w:pPr>
      <w:r w:rsidRPr="00AF2478">
        <w:rPr>
          <w:rFonts w:cs="Times New Roman"/>
          <w:szCs w:val="24"/>
        </w:rPr>
        <w:br w:type="page"/>
      </w:r>
    </w:p>
    <w:p w:rsidR="00AA2B06" w:rsidRPr="00AF2478" w:rsidRDefault="000B1FCA" w:rsidP="003A755D">
      <w:pPr>
        <w:pStyle w:val="Heading1"/>
        <w:numPr>
          <w:ilvl w:val="0"/>
          <w:numId w:val="9"/>
        </w:numPr>
        <w:rPr>
          <w:rFonts w:cs="Times New Roman"/>
          <w:szCs w:val="24"/>
        </w:rPr>
      </w:pPr>
      <w:bookmarkStart w:id="12" w:name="_Toc181729455"/>
      <w:r w:rsidRPr="00AF2478">
        <w:rPr>
          <w:rFonts w:cs="Times New Roman"/>
          <w:szCs w:val="24"/>
        </w:rPr>
        <w:lastRenderedPageBreak/>
        <w:t>References</w:t>
      </w:r>
      <w:bookmarkEnd w:id="12"/>
    </w:p>
    <w:p w:rsidR="00AF2478" w:rsidRPr="00AF2478" w:rsidRDefault="00AF2478" w:rsidP="00AF2478">
      <w:pPr>
        <w:ind w:left="1440" w:hanging="720"/>
        <w:rPr>
          <w:rFonts w:cs="Times New Roman"/>
          <w:szCs w:val="24"/>
        </w:rPr>
      </w:pPr>
      <w:r w:rsidRPr="00AF2478">
        <w:rPr>
          <w:rFonts w:cs="Times New Roman"/>
          <w:szCs w:val="24"/>
        </w:rPr>
        <w:t>Adams, D., 2024. Management accounting for the hospitality, tourism and leisure industries: A strategic approach.</w:t>
      </w:r>
    </w:p>
    <w:p w:rsidR="00AF2478" w:rsidRPr="00AF2478" w:rsidRDefault="00AF2478" w:rsidP="00AF2478">
      <w:pPr>
        <w:ind w:left="1440" w:hanging="720"/>
        <w:rPr>
          <w:rFonts w:cs="Times New Roman"/>
          <w:szCs w:val="24"/>
        </w:rPr>
      </w:pPr>
      <w:r w:rsidRPr="00AF2478">
        <w:rPr>
          <w:rFonts w:cs="Times New Roman"/>
          <w:szCs w:val="24"/>
        </w:rPr>
        <w:t xml:space="preserve">Akbari, M., </w:t>
      </w:r>
      <w:proofErr w:type="spellStart"/>
      <w:r w:rsidRPr="00AF2478">
        <w:rPr>
          <w:rFonts w:cs="Times New Roman"/>
          <w:szCs w:val="24"/>
        </w:rPr>
        <w:t>Nazarian</w:t>
      </w:r>
      <w:proofErr w:type="spellEnd"/>
      <w:r w:rsidRPr="00AF2478">
        <w:rPr>
          <w:rFonts w:cs="Times New Roman"/>
          <w:szCs w:val="24"/>
        </w:rPr>
        <w:t xml:space="preserve">, A., </w:t>
      </w:r>
      <w:proofErr w:type="spellStart"/>
      <w:r w:rsidRPr="00AF2478">
        <w:rPr>
          <w:rFonts w:cs="Times New Roman"/>
          <w:szCs w:val="24"/>
        </w:rPr>
        <w:t>Foroudi</w:t>
      </w:r>
      <w:proofErr w:type="spellEnd"/>
      <w:r w:rsidRPr="00AF2478">
        <w:rPr>
          <w:rFonts w:cs="Times New Roman"/>
          <w:szCs w:val="24"/>
        </w:rPr>
        <w:t xml:space="preserve">, P., </w:t>
      </w:r>
      <w:proofErr w:type="spellStart"/>
      <w:r w:rsidRPr="00AF2478">
        <w:rPr>
          <w:rFonts w:cs="Times New Roman"/>
          <w:szCs w:val="24"/>
        </w:rPr>
        <w:t>Seyyed</w:t>
      </w:r>
      <w:proofErr w:type="spellEnd"/>
      <w:r w:rsidRPr="00AF2478">
        <w:rPr>
          <w:rFonts w:cs="Times New Roman"/>
          <w:szCs w:val="24"/>
        </w:rPr>
        <w:t xml:space="preserve"> </w:t>
      </w:r>
      <w:proofErr w:type="spellStart"/>
      <w:r w:rsidRPr="00AF2478">
        <w:rPr>
          <w:rFonts w:cs="Times New Roman"/>
          <w:szCs w:val="24"/>
        </w:rPr>
        <w:t>Amiri</w:t>
      </w:r>
      <w:proofErr w:type="spellEnd"/>
      <w:r w:rsidRPr="00AF2478">
        <w:rPr>
          <w:rFonts w:cs="Times New Roman"/>
          <w:szCs w:val="24"/>
        </w:rPr>
        <w:t xml:space="preserve">, N. and </w:t>
      </w:r>
      <w:proofErr w:type="spellStart"/>
      <w:r w:rsidRPr="00AF2478">
        <w:rPr>
          <w:rFonts w:cs="Times New Roman"/>
          <w:szCs w:val="24"/>
        </w:rPr>
        <w:t>Ezatabadipoor</w:t>
      </w:r>
      <w:proofErr w:type="spellEnd"/>
      <w:r w:rsidRPr="00AF2478">
        <w:rPr>
          <w:rFonts w:cs="Times New Roman"/>
          <w:szCs w:val="24"/>
        </w:rPr>
        <w:t>, E., 2021. How corporate social responsibility contributes to strengthening brand loyalty, hotel positioning and intention to revisit</w:t>
      </w:r>
      <w:proofErr w:type="gramStart"/>
      <w:r w:rsidRPr="00AF2478">
        <w:rPr>
          <w:rFonts w:cs="Times New Roman"/>
          <w:szCs w:val="24"/>
        </w:rPr>
        <w:t>?.</w:t>
      </w:r>
      <w:proofErr w:type="gramEnd"/>
      <w:r w:rsidRPr="00AF2478">
        <w:rPr>
          <w:rFonts w:cs="Times New Roman"/>
          <w:szCs w:val="24"/>
        </w:rPr>
        <w:t> Current Issues in Tourism, 24(13), pp.1897-1917.</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t>Antczak</w:t>
      </w:r>
      <w:proofErr w:type="spellEnd"/>
      <w:r w:rsidRPr="00AF2478">
        <w:rPr>
          <w:rFonts w:cs="Times New Roman"/>
          <w:color w:val="222222"/>
          <w:szCs w:val="24"/>
          <w:shd w:val="clear" w:color="auto" w:fill="FFFFFF"/>
        </w:rPr>
        <w:t xml:space="preserve">, J., </w:t>
      </w:r>
      <w:proofErr w:type="spellStart"/>
      <w:r w:rsidRPr="00AF2478">
        <w:rPr>
          <w:rFonts w:cs="Times New Roman"/>
          <w:color w:val="222222"/>
          <w:szCs w:val="24"/>
          <w:shd w:val="clear" w:color="auto" w:fill="FFFFFF"/>
        </w:rPr>
        <w:t>Horzela</w:t>
      </w:r>
      <w:proofErr w:type="spellEnd"/>
      <w:r w:rsidRPr="00AF2478">
        <w:rPr>
          <w:rFonts w:cs="Times New Roman"/>
          <w:color w:val="222222"/>
          <w:szCs w:val="24"/>
          <w:shd w:val="clear" w:color="auto" w:fill="FFFFFF"/>
        </w:rPr>
        <w:t xml:space="preserve">, I. and </w:t>
      </w:r>
      <w:proofErr w:type="spellStart"/>
      <w:r w:rsidRPr="00AF2478">
        <w:rPr>
          <w:rFonts w:cs="Times New Roman"/>
          <w:color w:val="222222"/>
          <w:szCs w:val="24"/>
          <w:shd w:val="clear" w:color="auto" w:fill="FFFFFF"/>
        </w:rPr>
        <w:t>Nowakowska-Krystman</w:t>
      </w:r>
      <w:proofErr w:type="spellEnd"/>
      <w:r w:rsidRPr="00AF2478">
        <w:rPr>
          <w:rFonts w:cs="Times New Roman"/>
          <w:color w:val="222222"/>
          <w:szCs w:val="24"/>
          <w:shd w:val="clear" w:color="auto" w:fill="FFFFFF"/>
        </w:rPr>
        <w:t>, A., 2021. Influence of Financial Liquidity on the Competitiveness of Defense Industry Enterprises.</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t>Ayoush</w:t>
      </w:r>
      <w:proofErr w:type="spellEnd"/>
      <w:r w:rsidRPr="00AF2478">
        <w:rPr>
          <w:rFonts w:cs="Times New Roman"/>
          <w:color w:val="222222"/>
          <w:szCs w:val="24"/>
          <w:shd w:val="clear" w:color="auto" w:fill="FFFFFF"/>
        </w:rPr>
        <w:t xml:space="preserve">, M.D., </w:t>
      </w:r>
      <w:proofErr w:type="spellStart"/>
      <w:r w:rsidRPr="00AF2478">
        <w:rPr>
          <w:rFonts w:cs="Times New Roman"/>
          <w:color w:val="222222"/>
          <w:szCs w:val="24"/>
          <w:shd w:val="clear" w:color="auto" w:fill="FFFFFF"/>
        </w:rPr>
        <w:t>Toumeh</w:t>
      </w:r>
      <w:proofErr w:type="spellEnd"/>
      <w:r w:rsidRPr="00AF2478">
        <w:rPr>
          <w:rFonts w:cs="Times New Roman"/>
          <w:color w:val="222222"/>
          <w:szCs w:val="24"/>
          <w:shd w:val="clear" w:color="auto" w:fill="FFFFFF"/>
        </w:rPr>
        <w:t xml:space="preserve">, A.A. and </w:t>
      </w:r>
      <w:proofErr w:type="spellStart"/>
      <w:r w:rsidRPr="00AF2478">
        <w:rPr>
          <w:rFonts w:cs="Times New Roman"/>
          <w:color w:val="222222"/>
          <w:szCs w:val="24"/>
          <w:shd w:val="clear" w:color="auto" w:fill="FFFFFF"/>
        </w:rPr>
        <w:t>Shabaneh</w:t>
      </w:r>
      <w:proofErr w:type="spellEnd"/>
      <w:r w:rsidRPr="00AF2478">
        <w:rPr>
          <w:rFonts w:cs="Times New Roman"/>
          <w:color w:val="222222"/>
          <w:szCs w:val="24"/>
          <w:shd w:val="clear" w:color="auto" w:fill="FFFFFF"/>
        </w:rPr>
        <w:t xml:space="preserve">, K.I., 2021. Liquidity, leverage, and solvency: What affects profitability of industrial enterprises the </w:t>
      </w:r>
      <w:proofErr w:type="gramStart"/>
      <w:r w:rsidRPr="00AF2478">
        <w:rPr>
          <w:rFonts w:cs="Times New Roman"/>
          <w:color w:val="222222"/>
          <w:szCs w:val="24"/>
          <w:shd w:val="clear" w:color="auto" w:fill="FFFFFF"/>
        </w:rPr>
        <w:t>most.</w:t>
      </w:r>
      <w:proofErr w:type="gramEnd"/>
      <w:r w:rsidRPr="00AF2478">
        <w:rPr>
          <w:rFonts w:cs="Times New Roman"/>
          <w:color w:val="222222"/>
          <w:szCs w:val="24"/>
          <w:shd w:val="clear" w:color="auto" w:fill="FFFFFF"/>
        </w:rPr>
        <w:t> </w:t>
      </w:r>
      <w:r w:rsidRPr="00AF2478">
        <w:rPr>
          <w:rFonts w:cs="Times New Roman"/>
          <w:i/>
          <w:iCs/>
          <w:color w:val="222222"/>
          <w:szCs w:val="24"/>
          <w:shd w:val="clear" w:color="auto" w:fill="FFFFFF"/>
        </w:rPr>
        <w:t>Investment Management and Financial Innovations</w:t>
      </w:r>
      <w:r w:rsidRPr="00AF2478">
        <w:rPr>
          <w:rFonts w:cs="Times New Roman"/>
          <w:color w:val="222222"/>
          <w:szCs w:val="24"/>
          <w:shd w:val="clear" w:color="auto" w:fill="FFFFFF"/>
        </w:rPr>
        <w:t>, </w:t>
      </w:r>
      <w:r w:rsidRPr="00AF2478">
        <w:rPr>
          <w:rFonts w:cs="Times New Roman"/>
          <w:i/>
          <w:iCs/>
          <w:color w:val="222222"/>
          <w:szCs w:val="24"/>
          <w:shd w:val="clear" w:color="auto" w:fill="FFFFFF"/>
        </w:rPr>
        <w:t>18</w:t>
      </w:r>
      <w:r w:rsidRPr="00AF2478">
        <w:rPr>
          <w:rFonts w:cs="Times New Roman"/>
          <w:color w:val="222222"/>
          <w:szCs w:val="24"/>
          <w:shd w:val="clear" w:color="auto" w:fill="FFFFFF"/>
        </w:rPr>
        <w:t>(3), pp.249-259.</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t>Baraja</w:t>
      </w:r>
      <w:proofErr w:type="spellEnd"/>
      <w:r w:rsidRPr="00AF2478">
        <w:rPr>
          <w:rFonts w:cs="Times New Roman"/>
          <w:color w:val="222222"/>
          <w:szCs w:val="24"/>
          <w:shd w:val="clear" w:color="auto" w:fill="FFFFFF"/>
        </w:rPr>
        <w:t xml:space="preserve">, L. and </w:t>
      </w:r>
      <w:proofErr w:type="spellStart"/>
      <w:r w:rsidRPr="00AF2478">
        <w:rPr>
          <w:rFonts w:cs="Times New Roman"/>
          <w:color w:val="222222"/>
          <w:szCs w:val="24"/>
          <w:shd w:val="clear" w:color="auto" w:fill="FFFFFF"/>
        </w:rPr>
        <w:t>Yosya</w:t>
      </w:r>
      <w:proofErr w:type="spellEnd"/>
      <w:r w:rsidRPr="00AF2478">
        <w:rPr>
          <w:rFonts w:cs="Times New Roman"/>
          <w:color w:val="222222"/>
          <w:szCs w:val="24"/>
          <w:shd w:val="clear" w:color="auto" w:fill="FFFFFF"/>
        </w:rPr>
        <w:t>, E.A., 2018. Analysis the impact of liquidity, profitability, activity and solvency ratio on change in earnings. </w:t>
      </w:r>
      <w:r w:rsidRPr="00AF2478">
        <w:rPr>
          <w:rFonts w:cs="Times New Roman"/>
          <w:i/>
          <w:iCs/>
          <w:color w:val="222222"/>
          <w:szCs w:val="24"/>
          <w:shd w:val="clear" w:color="auto" w:fill="FFFFFF"/>
        </w:rPr>
        <w:t>Indonesian Management and Accounting Research</w:t>
      </w:r>
      <w:r w:rsidRPr="00AF2478">
        <w:rPr>
          <w:rFonts w:cs="Times New Roman"/>
          <w:color w:val="222222"/>
          <w:szCs w:val="24"/>
          <w:shd w:val="clear" w:color="auto" w:fill="FFFFFF"/>
        </w:rPr>
        <w:t>, </w:t>
      </w:r>
      <w:r w:rsidRPr="00AF2478">
        <w:rPr>
          <w:rFonts w:cs="Times New Roman"/>
          <w:i/>
          <w:iCs/>
          <w:color w:val="222222"/>
          <w:szCs w:val="24"/>
          <w:shd w:val="clear" w:color="auto" w:fill="FFFFFF"/>
        </w:rPr>
        <w:t>17</w:t>
      </w:r>
      <w:r w:rsidRPr="00AF2478">
        <w:rPr>
          <w:rFonts w:cs="Times New Roman"/>
          <w:color w:val="222222"/>
          <w:szCs w:val="24"/>
          <w:shd w:val="clear" w:color="auto" w:fill="FFFFFF"/>
        </w:rPr>
        <w:t>(1), pp.1-17.</w:t>
      </w:r>
    </w:p>
    <w:p w:rsidR="00AF2478" w:rsidRPr="00AF2478" w:rsidRDefault="00AF2478" w:rsidP="00AF2478">
      <w:pPr>
        <w:ind w:left="1440" w:hanging="720"/>
        <w:rPr>
          <w:rFonts w:cs="Times New Roman"/>
          <w:szCs w:val="24"/>
          <w:shd w:val="clear" w:color="auto" w:fill="FFFFFF"/>
        </w:rPr>
      </w:pPr>
      <w:proofErr w:type="spellStart"/>
      <w:r w:rsidRPr="00AF2478">
        <w:rPr>
          <w:rFonts w:cs="Times New Roman"/>
          <w:szCs w:val="24"/>
          <w:shd w:val="clear" w:color="auto" w:fill="FFFFFF"/>
        </w:rPr>
        <w:t>Boisjoly</w:t>
      </w:r>
      <w:proofErr w:type="spellEnd"/>
      <w:r w:rsidRPr="00AF2478">
        <w:rPr>
          <w:rFonts w:cs="Times New Roman"/>
          <w:szCs w:val="24"/>
          <w:shd w:val="clear" w:color="auto" w:fill="FFFFFF"/>
        </w:rPr>
        <w:t xml:space="preserve">, R.P., </w:t>
      </w:r>
      <w:proofErr w:type="spellStart"/>
      <w:r w:rsidRPr="00AF2478">
        <w:rPr>
          <w:rFonts w:cs="Times New Roman"/>
          <w:szCs w:val="24"/>
          <w:shd w:val="clear" w:color="auto" w:fill="FFFFFF"/>
        </w:rPr>
        <w:t>Conine</w:t>
      </w:r>
      <w:proofErr w:type="spellEnd"/>
      <w:r w:rsidRPr="00AF2478">
        <w:rPr>
          <w:rFonts w:cs="Times New Roman"/>
          <w:szCs w:val="24"/>
          <w:shd w:val="clear" w:color="auto" w:fill="FFFFFF"/>
        </w:rPr>
        <w:t xml:space="preserve"> </w:t>
      </w:r>
      <w:proofErr w:type="spellStart"/>
      <w:r w:rsidRPr="00AF2478">
        <w:rPr>
          <w:rFonts w:cs="Times New Roman"/>
          <w:szCs w:val="24"/>
          <w:shd w:val="clear" w:color="auto" w:fill="FFFFFF"/>
        </w:rPr>
        <w:t>Jr</w:t>
      </w:r>
      <w:proofErr w:type="spellEnd"/>
      <w:r w:rsidRPr="00AF2478">
        <w:rPr>
          <w:rFonts w:cs="Times New Roman"/>
          <w:szCs w:val="24"/>
          <w:shd w:val="clear" w:color="auto" w:fill="FFFFFF"/>
        </w:rPr>
        <w:t>, T.E. and McDonald IV, M.B., 2020. Working capital management: Financial and valuation impacts. </w:t>
      </w:r>
      <w:r w:rsidRPr="00AF2478">
        <w:rPr>
          <w:rFonts w:cs="Times New Roman"/>
          <w:i/>
          <w:iCs/>
          <w:szCs w:val="24"/>
          <w:shd w:val="clear" w:color="auto" w:fill="FFFFFF"/>
        </w:rPr>
        <w:t>Journal of Business Research</w:t>
      </w:r>
      <w:r w:rsidRPr="00AF2478">
        <w:rPr>
          <w:rFonts w:cs="Times New Roman"/>
          <w:szCs w:val="24"/>
          <w:shd w:val="clear" w:color="auto" w:fill="FFFFFF"/>
        </w:rPr>
        <w:t>, </w:t>
      </w:r>
      <w:r w:rsidRPr="00AF2478">
        <w:rPr>
          <w:rFonts w:cs="Times New Roman"/>
          <w:i/>
          <w:iCs/>
          <w:szCs w:val="24"/>
          <w:shd w:val="clear" w:color="auto" w:fill="FFFFFF"/>
        </w:rPr>
        <w:t>108</w:t>
      </w:r>
      <w:r w:rsidRPr="00AF2478">
        <w:rPr>
          <w:rFonts w:cs="Times New Roman"/>
          <w:szCs w:val="24"/>
          <w:shd w:val="clear" w:color="auto" w:fill="FFFFFF"/>
        </w:rPr>
        <w:t>, pp.1-8.</w:t>
      </w:r>
    </w:p>
    <w:p w:rsidR="00AF2478" w:rsidRPr="00AF2478" w:rsidRDefault="00AF2478" w:rsidP="00AF2478">
      <w:pPr>
        <w:ind w:left="1440" w:hanging="720"/>
        <w:rPr>
          <w:rFonts w:cs="Times New Roman"/>
          <w:szCs w:val="24"/>
          <w:shd w:val="clear" w:color="auto" w:fill="FFFFFF"/>
        </w:rPr>
      </w:pPr>
      <w:proofErr w:type="spellStart"/>
      <w:r w:rsidRPr="00AF2478">
        <w:rPr>
          <w:rFonts w:cs="Times New Roman"/>
          <w:szCs w:val="24"/>
          <w:shd w:val="clear" w:color="auto" w:fill="FFFFFF"/>
        </w:rPr>
        <w:t>Brealey</w:t>
      </w:r>
      <w:proofErr w:type="spellEnd"/>
      <w:r w:rsidRPr="00AF2478">
        <w:rPr>
          <w:rFonts w:cs="Times New Roman"/>
          <w:szCs w:val="24"/>
          <w:shd w:val="clear" w:color="auto" w:fill="FFFFFF"/>
        </w:rPr>
        <w:t>, R.A., Myers, S.C. and Marcus, A.J., 2023. </w:t>
      </w:r>
      <w:r w:rsidRPr="00AF2478">
        <w:rPr>
          <w:rFonts w:cs="Times New Roman"/>
          <w:i/>
          <w:iCs/>
          <w:szCs w:val="24"/>
          <w:shd w:val="clear" w:color="auto" w:fill="FFFFFF"/>
        </w:rPr>
        <w:t>Fundamentals of corporate finance</w:t>
      </w:r>
      <w:r w:rsidRPr="00AF2478">
        <w:rPr>
          <w:rFonts w:cs="Times New Roman"/>
          <w:szCs w:val="24"/>
          <w:shd w:val="clear" w:color="auto" w:fill="FFFFFF"/>
        </w:rPr>
        <w:t>. McGraw-Hill.</w:t>
      </w:r>
    </w:p>
    <w:p w:rsidR="00AF2478" w:rsidRPr="00AF2478" w:rsidRDefault="00AF2478" w:rsidP="00AF2478">
      <w:pPr>
        <w:ind w:left="1440" w:hanging="720"/>
        <w:rPr>
          <w:rFonts w:cs="Times New Roman"/>
          <w:szCs w:val="24"/>
          <w:shd w:val="clear" w:color="auto" w:fill="FFFFFF"/>
        </w:rPr>
      </w:pPr>
      <w:r w:rsidRPr="00AF2478">
        <w:rPr>
          <w:rFonts w:cs="Times New Roman"/>
          <w:color w:val="222222"/>
          <w:szCs w:val="24"/>
          <w:shd w:val="clear" w:color="auto" w:fill="FFFFFF"/>
        </w:rPr>
        <w:t>Chen, X., Huang, J.Z., Sun, Z., Yao, T. and Yu, T., 2020. Liquidity premium in the eye of the beholder: An analysis of the clientele effect in the corporate bond market. </w:t>
      </w:r>
      <w:r w:rsidRPr="00AF2478">
        <w:rPr>
          <w:rFonts w:cs="Times New Roman"/>
          <w:i/>
          <w:iCs/>
          <w:color w:val="222222"/>
          <w:szCs w:val="24"/>
          <w:shd w:val="clear" w:color="auto" w:fill="FFFFFF"/>
        </w:rPr>
        <w:t>Management Science</w:t>
      </w:r>
      <w:r w:rsidRPr="00AF2478">
        <w:rPr>
          <w:rFonts w:cs="Times New Roman"/>
          <w:color w:val="222222"/>
          <w:szCs w:val="24"/>
          <w:shd w:val="clear" w:color="auto" w:fill="FFFFFF"/>
        </w:rPr>
        <w:t>, </w:t>
      </w:r>
      <w:r w:rsidRPr="00AF2478">
        <w:rPr>
          <w:rFonts w:cs="Times New Roman"/>
          <w:i/>
          <w:iCs/>
          <w:color w:val="222222"/>
          <w:szCs w:val="24"/>
          <w:shd w:val="clear" w:color="auto" w:fill="FFFFFF"/>
        </w:rPr>
        <w:t>66</w:t>
      </w:r>
      <w:r w:rsidRPr="00AF2478">
        <w:rPr>
          <w:rFonts w:cs="Times New Roman"/>
          <w:color w:val="222222"/>
          <w:szCs w:val="24"/>
          <w:shd w:val="clear" w:color="auto" w:fill="FFFFFF"/>
        </w:rPr>
        <w:t>(2), pp.932-957.</w:t>
      </w:r>
    </w:p>
    <w:p w:rsidR="00AF2478" w:rsidRPr="00AF2478" w:rsidRDefault="00AF2478" w:rsidP="00AF2478">
      <w:pPr>
        <w:ind w:left="1440" w:hanging="720"/>
        <w:rPr>
          <w:rFonts w:cs="Times New Roman"/>
          <w:szCs w:val="24"/>
        </w:rPr>
      </w:pPr>
      <w:r w:rsidRPr="00AF2478">
        <w:rPr>
          <w:rFonts w:cs="Times New Roman"/>
          <w:szCs w:val="24"/>
        </w:rPr>
        <w:t xml:space="preserve">Fatima, T. and </w:t>
      </w:r>
      <w:proofErr w:type="spellStart"/>
      <w:r w:rsidRPr="00AF2478">
        <w:rPr>
          <w:rFonts w:cs="Times New Roman"/>
          <w:szCs w:val="24"/>
        </w:rPr>
        <w:t>Elbanna</w:t>
      </w:r>
      <w:proofErr w:type="spellEnd"/>
      <w:r w:rsidRPr="00AF2478">
        <w:rPr>
          <w:rFonts w:cs="Times New Roman"/>
          <w:szCs w:val="24"/>
        </w:rPr>
        <w:t>, S., 2020. Balanced scorecard in the hospitality and tourism industry: Past, present and future. International Journal of hospitality management, 91, p.102656.</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lastRenderedPageBreak/>
        <w:t>Ferracuti</w:t>
      </w:r>
      <w:proofErr w:type="spellEnd"/>
      <w:r w:rsidRPr="00AF2478">
        <w:rPr>
          <w:rFonts w:cs="Times New Roman"/>
          <w:color w:val="222222"/>
          <w:szCs w:val="24"/>
          <w:shd w:val="clear" w:color="auto" w:fill="FFFFFF"/>
        </w:rPr>
        <w:t xml:space="preserve">, E. and </w:t>
      </w:r>
      <w:proofErr w:type="spellStart"/>
      <w:r w:rsidRPr="00AF2478">
        <w:rPr>
          <w:rFonts w:cs="Times New Roman"/>
          <w:color w:val="222222"/>
          <w:szCs w:val="24"/>
          <w:shd w:val="clear" w:color="auto" w:fill="FFFFFF"/>
        </w:rPr>
        <w:t>Stubben</w:t>
      </w:r>
      <w:proofErr w:type="spellEnd"/>
      <w:r w:rsidRPr="00AF2478">
        <w:rPr>
          <w:rFonts w:cs="Times New Roman"/>
          <w:color w:val="222222"/>
          <w:szCs w:val="24"/>
          <w:shd w:val="clear" w:color="auto" w:fill="FFFFFF"/>
        </w:rPr>
        <w:t>, S.R., 2019. The role of financial reporting in resolving uncertainty about corporate investment opportunities. </w:t>
      </w:r>
      <w:r w:rsidRPr="00AF2478">
        <w:rPr>
          <w:rFonts w:cs="Times New Roman"/>
          <w:i/>
          <w:iCs/>
          <w:color w:val="222222"/>
          <w:szCs w:val="24"/>
          <w:shd w:val="clear" w:color="auto" w:fill="FFFFFF"/>
        </w:rPr>
        <w:t>Journal of Accounting and Economics</w:t>
      </w:r>
      <w:r w:rsidRPr="00AF2478">
        <w:rPr>
          <w:rFonts w:cs="Times New Roman"/>
          <w:color w:val="222222"/>
          <w:szCs w:val="24"/>
          <w:shd w:val="clear" w:color="auto" w:fill="FFFFFF"/>
        </w:rPr>
        <w:t>, </w:t>
      </w:r>
      <w:r w:rsidRPr="00AF2478">
        <w:rPr>
          <w:rFonts w:cs="Times New Roman"/>
          <w:i/>
          <w:iCs/>
          <w:color w:val="222222"/>
          <w:szCs w:val="24"/>
          <w:shd w:val="clear" w:color="auto" w:fill="FFFFFF"/>
        </w:rPr>
        <w:t>68</w:t>
      </w:r>
      <w:r w:rsidRPr="00AF2478">
        <w:rPr>
          <w:rFonts w:cs="Times New Roman"/>
          <w:color w:val="222222"/>
          <w:szCs w:val="24"/>
          <w:shd w:val="clear" w:color="auto" w:fill="FFFFFF"/>
        </w:rPr>
        <w:t>(2-3), p.101248.</w:t>
      </w:r>
    </w:p>
    <w:p w:rsidR="00AF2478" w:rsidRPr="00AF2478" w:rsidRDefault="00AF2478" w:rsidP="00AF2478">
      <w:pPr>
        <w:ind w:left="1440" w:hanging="720"/>
        <w:rPr>
          <w:rFonts w:cs="Times New Roman"/>
          <w:szCs w:val="24"/>
        </w:rPr>
      </w:pPr>
      <w:proofErr w:type="spellStart"/>
      <w:r w:rsidRPr="00AF2478">
        <w:rPr>
          <w:rFonts w:cs="Times New Roman"/>
          <w:szCs w:val="24"/>
        </w:rPr>
        <w:t>Filimonau</w:t>
      </w:r>
      <w:proofErr w:type="spellEnd"/>
      <w:r w:rsidRPr="00AF2478">
        <w:rPr>
          <w:rFonts w:cs="Times New Roman"/>
          <w:szCs w:val="24"/>
        </w:rPr>
        <w:t>, V., 2021. The prospects of waste management in the hospitality sector post COVID- 19. Resources, Conservation and Recycling, 168, p.105272.</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t>Firmansyah</w:t>
      </w:r>
      <w:proofErr w:type="spellEnd"/>
      <w:r w:rsidRPr="00AF2478">
        <w:rPr>
          <w:rFonts w:cs="Times New Roman"/>
          <w:color w:val="222222"/>
          <w:szCs w:val="24"/>
          <w:shd w:val="clear" w:color="auto" w:fill="FFFFFF"/>
        </w:rPr>
        <w:t xml:space="preserve">, A. and </w:t>
      </w:r>
      <w:proofErr w:type="spellStart"/>
      <w:r w:rsidRPr="00AF2478">
        <w:rPr>
          <w:rFonts w:cs="Times New Roman"/>
          <w:color w:val="222222"/>
          <w:szCs w:val="24"/>
          <w:shd w:val="clear" w:color="auto" w:fill="FFFFFF"/>
        </w:rPr>
        <w:t>Bayuaji</w:t>
      </w:r>
      <w:proofErr w:type="spellEnd"/>
      <w:r w:rsidRPr="00AF2478">
        <w:rPr>
          <w:rFonts w:cs="Times New Roman"/>
          <w:color w:val="222222"/>
          <w:szCs w:val="24"/>
          <w:shd w:val="clear" w:color="auto" w:fill="FFFFFF"/>
        </w:rPr>
        <w:t>, R., 2019. Financial constraints, investment opportunity set, financial reporting aggressiveness, tax aggressiveness: Evidence from Indonesia manufacturing companies. </w:t>
      </w:r>
      <w:r w:rsidRPr="00AF2478">
        <w:rPr>
          <w:rFonts w:cs="Times New Roman"/>
          <w:i/>
          <w:iCs/>
          <w:color w:val="222222"/>
          <w:szCs w:val="24"/>
          <w:shd w:val="clear" w:color="auto" w:fill="FFFFFF"/>
        </w:rPr>
        <w:t>Academy of Accounting and Financial Studies Journal</w:t>
      </w:r>
      <w:r w:rsidRPr="00AF2478">
        <w:rPr>
          <w:rFonts w:cs="Times New Roman"/>
          <w:color w:val="222222"/>
          <w:szCs w:val="24"/>
          <w:shd w:val="clear" w:color="auto" w:fill="FFFFFF"/>
        </w:rPr>
        <w:t>, </w:t>
      </w:r>
      <w:r w:rsidRPr="00AF2478">
        <w:rPr>
          <w:rFonts w:cs="Times New Roman"/>
          <w:i/>
          <w:iCs/>
          <w:color w:val="222222"/>
          <w:szCs w:val="24"/>
          <w:shd w:val="clear" w:color="auto" w:fill="FFFFFF"/>
        </w:rPr>
        <w:t>23</w:t>
      </w:r>
      <w:r w:rsidRPr="00AF2478">
        <w:rPr>
          <w:rFonts w:cs="Times New Roman"/>
          <w:color w:val="222222"/>
          <w:szCs w:val="24"/>
          <w:shd w:val="clear" w:color="auto" w:fill="FFFFFF"/>
        </w:rPr>
        <w:t>(5), pp.1-18.</w:t>
      </w:r>
    </w:p>
    <w:p w:rsidR="00AF2478" w:rsidRPr="00AF2478" w:rsidRDefault="00AF2478" w:rsidP="00AF2478">
      <w:pPr>
        <w:ind w:left="1440" w:hanging="720"/>
        <w:rPr>
          <w:rFonts w:cs="Times New Roman"/>
          <w:szCs w:val="24"/>
        </w:rPr>
      </w:pPr>
      <w:proofErr w:type="spellStart"/>
      <w:r w:rsidRPr="00AF2478">
        <w:rPr>
          <w:rFonts w:cs="Times New Roman"/>
          <w:szCs w:val="24"/>
        </w:rPr>
        <w:t>Heald</w:t>
      </w:r>
      <w:proofErr w:type="spellEnd"/>
      <w:r w:rsidRPr="00AF2478">
        <w:rPr>
          <w:rFonts w:cs="Times New Roman"/>
          <w:szCs w:val="24"/>
        </w:rPr>
        <w:t>, D. and Hodges, R., 2020. The accounting, budgeting and fiscal impact of COVID-19 on the United Kingdom. Journal of Public Budgeting, Accounting &amp;amp; Financial Management, 32(5), pp.785-795.</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t>Heald</w:t>
      </w:r>
      <w:proofErr w:type="spellEnd"/>
      <w:r w:rsidRPr="00AF2478">
        <w:rPr>
          <w:rFonts w:cs="Times New Roman"/>
          <w:color w:val="222222"/>
          <w:szCs w:val="24"/>
          <w:shd w:val="clear" w:color="auto" w:fill="FFFFFF"/>
        </w:rPr>
        <w:t>, D. and Hodges, R., 2020. The accounting, budgeting and fiscal impact of COVID-19 on the United Kingdom. </w:t>
      </w:r>
      <w:r w:rsidRPr="00AF2478">
        <w:rPr>
          <w:rFonts w:cs="Times New Roman"/>
          <w:i/>
          <w:iCs/>
          <w:color w:val="222222"/>
          <w:szCs w:val="24"/>
          <w:shd w:val="clear" w:color="auto" w:fill="FFFFFF"/>
        </w:rPr>
        <w:t>Journal of Public Budgeting, Accounting &amp; Financial Management</w:t>
      </w:r>
      <w:r w:rsidRPr="00AF2478">
        <w:rPr>
          <w:rFonts w:cs="Times New Roman"/>
          <w:color w:val="222222"/>
          <w:szCs w:val="24"/>
          <w:shd w:val="clear" w:color="auto" w:fill="FFFFFF"/>
        </w:rPr>
        <w:t>, </w:t>
      </w:r>
      <w:r w:rsidRPr="00AF2478">
        <w:rPr>
          <w:rFonts w:cs="Times New Roman"/>
          <w:i/>
          <w:iCs/>
          <w:color w:val="222222"/>
          <w:szCs w:val="24"/>
          <w:shd w:val="clear" w:color="auto" w:fill="FFFFFF"/>
        </w:rPr>
        <w:t>32</w:t>
      </w:r>
      <w:r w:rsidRPr="00AF2478">
        <w:rPr>
          <w:rFonts w:cs="Times New Roman"/>
          <w:color w:val="222222"/>
          <w:szCs w:val="24"/>
          <w:shd w:val="clear" w:color="auto" w:fill="FFFFFF"/>
        </w:rPr>
        <w:t>(5), pp.785-795.</w:t>
      </w:r>
    </w:p>
    <w:p w:rsidR="00AF2478" w:rsidRPr="00AF2478" w:rsidRDefault="00AF2478" w:rsidP="00AF2478">
      <w:pPr>
        <w:ind w:left="1440" w:hanging="720"/>
        <w:rPr>
          <w:rFonts w:cs="Times New Roman"/>
          <w:szCs w:val="24"/>
          <w:shd w:val="clear" w:color="auto" w:fill="FFFFFF"/>
        </w:rPr>
      </w:pPr>
      <w:proofErr w:type="spellStart"/>
      <w:r w:rsidRPr="00AF2478">
        <w:rPr>
          <w:rFonts w:cs="Times New Roman"/>
          <w:szCs w:val="24"/>
          <w:shd w:val="clear" w:color="auto" w:fill="FFFFFF"/>
        </w:rPr>
        <w:t>Ichsan</w:t>
      </w:r>
      <w:proofErr w:type="spellEnd"/>
      <w:r w:rsidRPr="00AF2478">
        <w:rPr>
          <w:rFonts w:cs="Times New Roman"/>
          <w:szCs w:val="24"/>
          <w:shd w:val="clear" w:color="auto" w:fill="FFFFFF"/>
        </w:rPr>
        <w:t xml:space="preserve">, R., Suparmin, S., Yusuf, M., Ismal, R. and Sitompul, S., 2021. Determinant of Sharia Bank's financial performance during the COVID-19 pandemic. </w:t>
      </w:r>
      <w:r w:rsidRPr="00AF2478">
        <w:rPr>
          <w:rFonts w:cs="Times New Roman"/>
          <w:i/>
          <w:iCs/>
          <w:szCs w:val="24"/>
          <w:shd w:val="clear" w:color="auto" w:fill="FFFFFF"/>
        </w:rPr>
        <w:t>Budapest International Research and Critics Institute-Journal (BIRCI-Journal)</w:t>
      </w:r>
      <w:r w:rsidRPr="00AF2478">
        <w:rPr>
          <w:rFonts w:cs="Times New Roman"/>
          <w:szCs w:val="24"/>
          <w:shd w:val="clear" w:color="auto" w:fill="FFFFFF"/>
        </w:rPr>
        <w:t>, </w:t>
      </w:r>
      <w:r w:rsidRPr="00AF2478">
        <w:rPr>
          <w:rFonts w:cs="Times New Roman"/>
          <w:i/>
          <w:iCs/>
          <w:szCs w:val="24"/>
          <w:shd w:val="clear" w:color="auto" w:fill="FFFFFF"/>
        </w:rPr>
        <w:t>4</w:t>
      </w:r>
      <w:r w:rsidRPr="00AF2478">
        <w:rPr>
          <w:rFonts w:cs="Times New Roman"/>
          <w:szCs w:val="24"/>
          <w:shd w:val="clear" w:color="auto" w:fill="FFFFFF"/>
        </w:rPr>
        <w:t>(1), pp.298-309.</w:t>
      </w:r>
    </w:p>
    <w:p w:rsidR="00AF2478" w:rsidRPr="00AF2478" w:rsidRDefault="00AF2478" w:rsidP="00AF2478">
      <w:pPr>
        <w:ind w:left="1440" w:hanging="720"/>
        <w:rPr>
          <w:rFonts w:cs="Times New Roman"/>
          <w:szCs w:val="24"/>
          <w:shd w:val="clear" w:color="auto" w:fill="FFFFFF"/>
        </w:rPr>
      </w:pPr>
      <w:proofErr w:type="spellStart"/>
      <w:r w:rsidRPr="00AF2478">
        <w:rPr>
          <w:rFonts w:cs="Times New Roman"/>
          <w:szCs w:val="24"/>
          <w:shd w:val="clear" w:color="auto" w:fill="FFFFFF"/>
        </w:rPr>
        <w:t>Kliestik</w:t>
      </w:r>
      <w:proofErr w:type="spellEnd"/>
      <w:r w:rsidRPr="00AF2478">
        <w:rPr>
          <w:rFonts w:cs="Times New Roman"/>
          <w:szCs w:val="24"/>
          <w:shd w:val="clear" w:color="auto" w:fill="FFFFFF"/>
        </w:rPr>
        <w:t>, T., Valaskova, K., Lazaroiu, G., Kovacova, M. and Vrbka, J., 2020. Remaining financially healthy and competitive: The role of financial predictors. </w:t>
      </w:r>
      <w:r w:rsidRPr="00AF2478">
        <w:rPr>
          <w:rFonts w:cs="Times New Roman"/>
          <w:i/>
          <w:iCs/>
          <w:szCs w:val="24"/>
          <w:shd w:val="clear" w:color="auto" w:fill="FFFFFF"/>
        </w:rPr>
        <w:t>Journal of Competitiveness</w:t>
      </w:r>
      <w:r w:rsidRPr="00AF2478">
        <w:rPr>
          <w:rFonts w:cs="Times New Roman"/>
          <w:szCs w:val="24"/>
          <w:shd w:val="clear" w:color="auto" w:fill="FFFFFF"/>
        </w:rPr>
        <w:t>, (1).</w:t>
      </w:r>
    </w:p>
    <w:p w:rsidR="00AF2478" w:rsidRPr="00AF2478" w:rsidRDefault="00AF2478" w:rsidP="00AF2478">
      <w:pPr>
        <w:ind w:left="1440" w:hanging="720"/>
        <w:rPr>
          <w:rFonts w:cs="Times New Roman"/>
          <w:szCs w:val="24"/>
        </w:rPr>
      </w:pPr>
      <w:r w:rsidRPr="00AF2478">
        <w:rPr>
          <w:rFonts w:cs="Times New Roman"/>
          <w:szCs w:val="24"/>
        </w:rPr>
        <w:t xml:space="preserve">Legrand, W., Chen, J.S. and </w:t>
      </w:r>
      <w:proofErr w:type="spellStart"/>
      <w:r w:rsidRPr="00AF2478">
        <w:rPr>
          <w:rFonts w:cs="Times New Roman"/>
          <w:szCs w:val="24"/>
        </w:rPr>
        <w:t>Laeis</w:t>
      </w:r>
      <w:proofErr w:type="spellEnd"/>
      <w:r w:rsidRPr="00AF2478">
        <w:rPr>
          <w:rFonts w:cs="Times New Roman"/>
          <w:szCs w:val="24"/>
        </w:rPr>
        <w:t>, G.C., 2022. Sustainability in the hospitality industry: Principles of sustainable operations. Routledge.</w:t>
      </w:r>
    </w:p>
    <w:p w:rsidR="00AF2478" w:rsidRPr="00AF2478" w:rsidRDefault="00AF2478" w:rsidP="00AF2478">
      <w:pPr>
        <w:ind w:left="1440" w:hanging="720"/>
        <w:rPr>
          <w:rFonts w:cs="Times New Roman"/>
          <w:szCs w:val="24"/>
        </w:rPr>
      </w:pPr>
      <w:r w:rsidRPr="00AF2478">
        <w:rPr>
          <w:rFonts w:cs="Times New Roman"/>
          <w:szCs w:val="24"/>
        </w:rPr>
        <w:t xml:space="preserve">Lin, M.S., Song, H.J., Sharma, A. and Lee, S., 2020. Formal and informal SME financing in the restaurant industry: The impact of </w:t>
      </w:r>
      <w:proofErr w:type="spellStart"/>
      <w:r w:rsidRPr="00AF2478">
        <w:rPr>
          <w:rFonts w:cs="Times New Roman"/>
          <w:szCs w:val="24"/>
        </w:rPr>
        <w:t>macroenvironment</w:t>
      </w:r>
      <w:proofErr w:type="spellEnd"/>
      <w:r w:rsidRPr="00AF2478">
        <w:rPr>
          <w:rFonts w:cs="Times New Roman"/>
          <w:szCs w:val="24"/>
        </w:rPr>
        <w:t>. Journal of Hospitality and Tourism Management, 45, pp.276-284.</w:t>
      </w:r>
    </w:p>
    <w:p w:rsidR="00AF2478" w:rsidRPr="00AF2478" w:rsidRDefault="00AF2478" w:rsidP="00AF2478">
      <w:pPr>
        <w:ind w:left="1440" w:hanging="720"/>
        <w:rPr>
          <w:rFonts w:cs="Times New Roman"/>
          <w:color w:val="222222"/>
          <w:szCs w:val="24"/>
          <w:shd w:val="clear" w:color="auto" w:fill="FFFFFF"/>
        </w:rPr>
      </w:pPr>
      <w:r w:rsidRPr="00AF2478">
        <w:rPr>
          <w:rFonts w:cs="Times New Roman"/>
          <w:color w:val="222222"/>
          <w:szCs w:val="24"/>
          <w:shd w:val="clear" w:color="auto" w:fill="FFFFFF"/>
        </w:rPr>
        <w:lastRenderedPageBreak/>
        <w:t xml:space="preserve">Manes-Rossi, F., </w:t>
      </w:r>
      <w:proofErr w:type="spellStart"/>
      <w:r w:rsidRPr="00AF2478">
        <w:rPr>
          <w:rFonts w:cs="Times New Roman"/>
          <w:color w:val="222222"/>
          <w:szCs w:val="24"/>
          <w:shd w:val="clear" w:color="auto" w:fill="FFFFFF"/>
        </w:rPr>
        <w:t>Nicolò</w:t>
      </w:r>
      <w:proofErr w:type="spellEnd"/>
      <w:r w:rsidRPr="00AF2478">
        <w:rPr>
          <w:rFonts w:cs="Times New Roman"/>
          <w:color w:val="222222"/>
          <w:szCs w:val="24"/>
          <w:shd w:val="clear" w:color="auto" w:fill="FFFFFF"/>
        </w:rPr>
        <w:t xml:space="preserve">, G. and </w:t>
      </w:r>
      <w:proofErr w:type="spellStart"/>
      <w:r w:rsidRPr="00AF2478">
        <w:rPr>
          <w:rFonts w:cs="Times New Roman"/>
          <w:color w:val="222222"/>
          <w:szCs w:val="24"/>
          <w:shd w:val="clear" w:color="auto" w:fill="FFFFFF"/>
        </w:rPr>
        <w:t>Argento</w:t>
      </w:r>
      <w:proofErr w:type="spellEnd"/>
      <w:r w:rsidRPr="00AF2478">
        <w:rPr>
          <w:rFonts w:cs="Times New Roman"/>
          <w:color w:val="222222"/>
          <w:szCs w:val="24"/>
          <w:shd w:val="clear" w:color="auto" w:fill="FFFFFF"/>
        </w:rPr>
        <w:t>, D., 2020. Non-financial reporting formats in public sector organizations: a structured literature review. </w:t>
      </w:r>
      <w:r w:rsidRPr="00AF2478">
        <w:rPr>
          <w:rFonts w:cs="Times New Roman"/>
          <w:i/>
          <w:iCs/>
          <w:color w:val="222222"/>
          <w:szCs w:val="24"/>
          <w:shd w:val="clear" w:color="auto" w:fill="FFFFFF"/>
        </w:rPr>
        <w:t>Journal of Public Budgeting, Accounting &amp; Financial Management</w:t>
      </w:r>
      <w:r w:rsidRPr="00AF2478">
        <w:rPr>
          <w:rFonts w:cs="Times New Roman"/>
          <w:color w:val="222222"/>
          <w:szCs w:val="24"/>
          <w:shd w:val="clear" w:color="auto" w:fill="FFFFFF"/>
        </w:rPr>
        <w:t>, </w:t>
      </w:r>
      <w:r w:rsidRPr="00AF2478">
        <w:rPr>
          <w:rFonts w:cs="Times New Roman"/>
          <w:i/>
          <w:iCs/>
          <w:color w:val="222222"/>
          <w:szCs w:val="24"/>
          <w:shd w:val="clear" w:color="auto" w:fill="FFFFFF"/>
        </w:rPr>
        <w:t>32</w:t>
      </w:r>
      <w:r w:rsidRPr="00AF2478">
        <w:rPr>
          <w:rFonts w:cs="Times New Roman"/>
          <w:color w:val="222222"/>
          <w:szCs w:val="24"/>
          <w:shd w:val="clear" w:color="auto" w:fill="FFFFFF"/>
        </w:rPr>
        <w:t>(4), pp.639-669.</w:t>
      </w:r>
    </w:p>
    <w:p w:rsidR="00AF2478" w:rsidRPr="00AF2478" w:rsidRDefault="00AF2478" w:rsidP="00AF2478">
      <w:pPr>
        <w:ind w:left="1440" w:hanging="720"/>
        <w:rPr>
          <w:rFonts w:cs="Times New Roman"/>
          <w:szCs w:val="24"/>
          <w:shd w:val="clear" w:color="auto" w:fill="FFFFFF"/>
        </w:rPr>
      </w:pPr>
      <w:proofErr w:type="spellStart"/>
      <w:r w:rsidRPr="00AF2478">
        <w:rPr>
          <w:rFonts w:cs="Times New Roman"/>
          <w:szCs w:val="24"/>
          <w:shd w:val="clear" w:color="auto" w:fill="FFFFFF"/>
        </w:rPr>
        <w:t>Olayinka</w:t>
      </w:r>
      <w:proofErr w:type="spellEnd"/>
      <w:r w:rsidRPr="00AF2478">
        <w:rPr>
          <w:rFonts w:cs="Times New Roman"/>
          <w:szCs w:val="24"/>
          <w:shd w:val="clear" w:color="auto" w:fill="FFFFFF"/>
        </w:rPr>
        <w:t>, A.A., 2022. Financial statement analysis as a tool for investment decisions and assessment of companies’ performance. </w:t>
      </w:r>
      <w:r w:rsidRPr="00AF2478">
        <w:rPr>
          <w:rFonts w:cs="Times New Roman"/>
          <w:i/>
          <w:iCs/>
          <w:szCs w:val="24"/>
          <w:shd w:val="clear" w:color="auto" w:fill="FFFFFF"/>
        </w:rPr>
        <w:t>International Journal of Financial, Accounting, and Management</w:t>
      </w:r>
      <w:r w:rsidRPr="00AF2478">
        <w:rPr>
          <w:rFonts w:cs="Times New Roman"/>
          <w:szCs w:val="24"/>
          <w:shd w:val="clear" w:color="auto" w:fill="FFFFFF"/>
        </w:rPr>
        <w:t>, </w:t>
      </w:r>
      <w:r w:rsidRPr="00AF2478">
        <w:rPr>
          <w:rFonts w:cs="Times New Roman"/>
          <w:i/>
          <w:iCs/>
          <w:szCs w:val="24"/>
          <w:shd w:val="clear" w:color="auto" w:fill="FFFFFF"/>
        </w:rPr>
        <w:t>4</w:t>
      </w:r>
      <w:r w:rsidRPr="00AF2478">
        <w:rPr>
          <w:rFonts w:cs="Times New Roman"/>
          <w:szCs w:val="24"/>
          <w:shd w:val="clear" w:color="auto" w:fill="FFFFFF"/>
        </w:rPr>
        <w:t>(1), pp.49-66.</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t>Rafid</w:t>
      </w:r>
      <w:proofErr w:type="spellEnd"/>
      <w:r w:rsidRPr="00AF2478">
        <w:rPr>
          <w:rFonts w:cs="Times New Roman"/>
          <w:color w:val="222222"/>
          <w:szCs w:val="24"/>
          <w:shd w:val="clear" w:color="auto" w:fill="FFFFFF"/>
        </w:rPr>
        <w:t xml:space="preserve">, M., </w:t>
      </w:r>
      <w:proofErr w:type="spellStart"/>
      <w:r w:rsidRPr="00AF2478">
        <w:rPr>
          <w:rFonts w:cs="Times New Roman"/>
          <w:color w:val="222222"/>
          <w:szCs w:val="24"/>
          <w:shd w:val="clear" w:color="auto" w:fill="FFFFFF"/>
        </w:rPr>
        <w:t>Soukotta</w:t>
      </w:r>
      <w:proofErr w:type="spellEnd"/>
      <w:r w:rsidRPr="00AF2478">
        <w:rPr>
          <w:rFonts w:cs="Times New Roman"/>
          <w:color w:val="222222"/>
          <w:szCs w:val="24"/>
          <w:shd w:val="clear" w:color="auto" w:fill="FFFFFF"/>
        </w:rPr>
        <w:t xml:space="preserve">, A., </w:t>
      </w:r>
      <w:proofErr w:type="spellStart"/>
      <w:r w:rsidRPr="00AF2478">
        <w:rPr>
          <w:rFonts w:cs="Times New Roman"/>
          <w:color w:val="222222"/>
          <w:szCs w:val="24"/>
          <w:shd w:val="clear" w:color="auto" w:fill="FFFFFF"/>
        </w:rPr>
        <w:t>Cakranegara</w:t>
      </w:r>
      <w:proofErr w:type="spellEnd"/>
      <w:r w:rsidRPr="00AF2478">
        <w:rPr>
          <w:rFonts w:cs="Times New Roman"/>
          <w:color w:val="222222"/>
          <w:szCs w:val="24"/>
          <w:shd w:val="clear" w:color="auto" w:fill="FFFFFF"/>
        </w:rPr>
        <w:t xml:space="preserve">, P.A., </w:t>
      </w:r>
      <w:proofErr w:type="spellStart"/>
      <w:r w:rsidRPr="00AF2478">
        <w:rPr>
          <w:rFonts w:cs="Times New Roman"/>
          <w:color w:val="222222"/>
          <w:szCs w:val="24"/>
          <w:shd w:val="clear" w:color="auto" w:fill="FFFFFF"/>
        </w:rPr>
        <w:t>Sutiyan</w:t>
      </w:r>
      <w:proofErr w:type="spellEnd"/>
      <w:r w:rsidRPr="00AF2478">
        <w:rPr>
          <w:rFonts w:cs="Times New Roman"/>
          <w:color w:val="222222"/>
          <w:szCs w:val="24"/>
          <w:shd w:val="clear" w:color="auto" w:fill="FFFFFF"/>
        </w:rPr>
        <w:t xml:space="preserve">, O.S.J. and </w:t>
      </w:r>
      <w:proofErr w:type="spellStart"/>
      <w:r w:rsidRPr="00AF2478">
        <w:rPr>
          <w:rFonts w:cs="Times New Roman"/>
          <w:color w:val="222222"/>
          <w:szCs w:val="24"/>
          <w:shd w:val="clear" w:color="auto" w:fill="FFFFFF"/>
        </w:rPr>
        <w:t>Nurriqli</w:t>
      </w:r>
      <w:proofErr w:type="spellEnd"/>
      <w:r w:rsidRPr="00AF2478">
        <w:rPr>
          <w:rFonts w:cs="Times New Roman"/>
          <w:color w:val="222222"/>
          <w:szCs w:val="24"/>
          <w:shd w:val="clear" w:color="auto" w:fill="FFFFFF"/>
        </w:rPr>
        <w:t xml:space="preserve">, A., 2024. Analysis </w:t>
      </w:r>
      <w:proofErr w:type="gramStart"/>
      <w:r w:rsidRPr="00AF2478">
        <w:rPr>
          <w:rFonts w:cs="Times New Roman"/>
          <w:color w:val="222222"/>
          <w:szCs w:val="24"/>
          <w:shd w:val="clear" w:color="auto" w:fill="FFFFFF"/>
        </w:rPr>
        <w:t>Of</w:t>
      </w:r>
      <w:proofErr w:type="gramEnd"/>
      <w:r w:rsidRPr="00AF2478">
        <w:rPr>
          <w:rFonts w:cs="Times New Roman"/>
          <w:color w:val="222222"/>
          <w:szCs w:val="24"/>
          <w:shd w:val="clear" w:color="auto" w:fill="FFFFFF"/>
        </w:rPr>
        <w:t xml:space="preserve"> Liquidity Ratios, Profitability Ratios, And Capital Structures On Financial Distress Conditions In Service Companies During The Covid-19 Period. </w:t>
      </w:r>
      <w:proofErr w:type="spellStart"/>
      <w:r w:rsidRPr="00AF2478">
        <w:rPr>
          <w:rFonts w:cs="Times New Roman"/>
          <w:i/>
          <w:iCs/>
          <w:color w:val="222222"/>
          <w:szCs w:val="24"/>
          <w:shd w:val="clear" w:color="auto" w:fill="FFFFFF"/>
        </w:rPr>
        <w:t>Jurnal</w:t>
      </w:r>
      <w:proofErr w:type="spellEnd"/>
      <w:r w:rsidRPr="00AF2478">
        <w:rPr>
          <w:rFonts w:cs="Times New Roman"/>
          <w:i/>
          <w:iCs/>
          <w:color w:val="222222"/>
          <w:szCs w:val="24"/>
          <w:shd w:val="clear" w:color="auto" w:fill="FFFFFF"/>
        </w:rPr>
        <w:t xml:space="preserve"> </w:t>
      </w:r>
      <w:proofErr w:type="spellStart"/>
      <w:r w:rsidRPr="00AF2478">
        <w:rPr>
          <w:rFonts w:cs="Times New Roman"/>
          <w:i/>
          <w:iCs/>
          <w:color w:val="222222"/>
          <w:szCs w:val="24"/>
          <w:shd w:val="clear" w:color="auto" w:fill="FFFFFF"/>
        </w:rPr>
        <w:t>Darma</w:t>
      </w:r>
      <w:proofErr w:type="spellEnd"/>
      <w:r w:rsidRPr="00AF2478">
        <w:rPr>
          <w:rFonts w:cs="Times New Roman"/>
          <w:i/>
          <w:iCs/>
          <w:color w:val="222222"/>
          <w:szCs w:val="24"/>
          <w:shd w:val="clear" w:color="auto" w:fill="FFFFFF"/>
        </w:rPr>
        <w:t xml:space="preserve"> </w:t>
      </w:r>
      <w:proofErr w:type="spellStart"/>
      <w:r w:rsidRPr="00AF2478">
        <w:rPr>
          <w:rFonts w:cs="Times New Roman"/>
          <w:i/>
          <w:iCs/>
          <w:color w:val="222222"/>
          <w:szCs w:val="24"/>
          <w:shd w:val="clear" w:color="auto" w:fill="FFFFFF"/>
        </w:rPr>
        <w:t>Agung</w:t>
      </w:r>
      <w:proofErr w:type="spellEnd"/>
      <w:r w:rsidRPr="00AF2478">
        <w:rPr>
          <w:rFonts w:cs="Times New Roman"/>
          <w:color w:val="222222"/>
          <w:szCs w:val="24"/>
          <w:shd w:val="clear" w:color="auto" w:fill="FFFFFF"/>
        </w:rPr>
        <w:t>, </w:t>
      </w:r>
      <w:r w:rsidRPr="00AF2478">
        <w:rPr>
          <w:rFonts w:cs="Times New Roman"/>
          <w:i/>
          <w:iCs/>
          <w:color w:val="222222"/>
          <w:szCs w:val="24"/>
          <w:shd w:val="clear" w:color="auto" w:fill="FFFFFF"/>
        </w:rPr>
        <w:t>30</w:t>
      </w:r>
      <w:r w:rsidRPr="00AF2478">
        <w:rPr>
          <w:rFonts w:cs="Times New Roman"/>
          <w:color w:val="222222"/>
          <w:szCs w:val="24"/>
          <w:shd w:val="clear" w:color="auto" w:fill="FFFFFF"/>
        </w:rPr>
        <w:t>(3), pp.614-622.</w:t>
      </w:r>
    </w:p>
    <w:p w:rsidR="00AF2478" w:rsidRPr="00AF2478" w:rsidRDefault="00AF2478" w:rsidP="00AF2478">
      <w:pPr>
        <w:ind w:left="1440" w:hanging="720"/>
        <w:rPr>
          <w:rFonts w:cs="Times New Roman"/>
          <w:szCs w:val="24"/>
          <w:shd w:val="clear" w:color="auto" w:fill="FFFFFF"/>
        </w:rPr>
      </w:pPr>
      <w:proofErr w:type="spellStart"/>
      <w:r w:rsidRPr="00AF2478">
        <w:rPr>
          <w:rFonts w:cs="Times New Roman"/>
          <w:szCs w:val="24"/>
          <w:shd w:val="clear" w:color="auto" w:fill="FFFFFF"/>
        </w:rPr>
        <w:t>Revsine</w:t>
      </w:r>
      <w:proofErr w:type="spellEnd"/>
      <w:r w:rsidRPr="00AF2478">
        <w:rPr>
          <w:rFonts w:cs="Times New Roman"/>
          <w:szCs w:val="24"/>
          <w:shd w:val="clear" w:color="auto" w:fill="FFFFFF"/>
        </w:rPr>
        <w:t>, L., Collins, D.W. and Johnson, W.B., 2021. </w:t>
      </w:r>
      <w:r w:rsidRPr="00AF2478">
        <w:rPr>
          <w:rFonts w:cs="Times New Roman"/>
          <w:i/>
          <w:iCs/>
          <w:szCs w:val="24"/>
          <w:shd w:val="clear" w:color="auto" w:fill="FFFFFF"/>
        </w:rPr>
        <w:t>Financial reporting &amp; analysis</w:t>
      </w:r>
      <w:r w:rsidRPr="00AF2478">
        <w:rPr>
          <w:rFonts w:cs="Times New Roman"/>
          <w:szCs w:val="24"/>
          <w:shd w:val="clear" w:color="auto" w:fill="FFFFFF"/>
        </w:rPr>
        <w:t>. McGraw-Hill.</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t>Roszkowska</w:t>
      </w:r>
      <w:proofErr w:type="spellEnd"/>
      <w:r w:rsidRPr="00AF2478">
        <w:rPr>
          <w:rFonts w:cs="Times New Roman"/>
          <w:color w:val="222222"/>
          <w:szCs w:val="24"/>
          <w:shd w:val="clear" w:color="auto" w:fill="FFFFFF"/>
        </w:rPr>
        <w:t>, P., 2021. Fintech in financial reporting and audit for fraud prevention and safeguarding equity investments. </w:t>
      </w:r>
      <w:r w:rsidRPr="00AF2478">
        <w:rPr>
          <w:rFonts w:cs="Times New Roman"/>
          <w:i/>
          <w:iCs/>
          <w:color w:val="222222"/>
          <w:szCs w:val="24"/>
          <w:shd w:val="clear" w:color="auto" w:fill="FFFFFF"/>
        </w:rPr>
        <w:t>Journal of Accounting &amp; Organizational Change</w:t>
      </w:r>
      <w:r w:rsidRPr="00AF2478">
        <w:rPr>
          <w:rFonts w:cs="Times New Roman"/>
          <w:color w:val="222222"/>
          <w:szCs w:val="24"/>
          <w:shd w:val="clear" w:color="auto" w:fill="FFFFFF"/>
        </w:rPr>
        <w:t>, </w:t>
      </w:r>
      <w:r w:rsidRPr="00AF2478">
        <w:rPr>
          <w:rFonts w:cs="Times New Roman"/>
          <w:i/>
          <w:iCs/>
          <w:color w:val="222222"/>
          <w:szCs w:val="24"/>
          <w:shd w:val="clear" w:color="auto" w:fill="FFFFFF"/>
        </w:rPr>
        <w:t>17</w:t>
      </w:r>
      <w:r w:rsidRPr="00AF2478">
        <w:rPr>
          <w:rFonts w:cs="Times New Roman"/>
          <w:color w:val="222222"/>
          <w:szCs w:val="24"/>
          <w:shd w:val="clear" w:color="auto" w:fill="FFFFFF"/>
        </w:rPr>
        <w:t>(2), pp.164-196.</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t>Roychowdhury</w:t>
      </w:r>
      <w:proofErr w:type="spellEnd"/>
      <w:r w:rsidRPr="00AF2478">
        <w:rPr>
          <w:rFonts w:cs="Times New Roman"/>
          <w:color w:val="222222"/>
          <w:szCs w:val="24"/>
          <w:shd w:val="clear" w:color="auto" w:fill="FFFFFF"/>
        </w:rPr>
        <w:t>, S., Shroff, N. and Verdi, R.S., 2019. The effects of financial reporting and disclosure on corporate investment: A review. </w:t>
      </w:r>
      <w:r w:rsidRPr="00AF2478">
        <w:rPr>
          <w:rFonts w:cs="Times New Roman"/>
          <w:i/>
          <w:iCs/>
          <w:color w:val="222222"/>
          <w:szCs w:val="24"/>
          <w:shd w:val="clear" w:color="auto" w:fill="FFFFFF"/>
        </w:rPr>
        <w:t>Journal of Accounting and Economics</w:t>
      </w:r>
      <w:r w:rsidRPr="00AF2478">
        <w:rPr>
          <w:rFonts w:cs="Times New Roman"/>
          <w:color w:val="222222"/>
          <w:szCs w:val="24"/>
          <w:shd w:val="clear" w:color="auto" w:fill="FFFFFF"/>
        </w:rPr>
        <w:t>, </w:t>
      </w:r>
      <w:r w:rsidRPr="00AF2478">
        <w:rPr>
          <w:rFonts w:cs="Times New Roman"/>
          <w:i/>
          <w:iCs/>
          <w:color w:val="222222"/>
          <w:szCs w:val="24"/>
          <w:shd w:val="clear" w:color="auto" w:fill="FFFFFF"/>
        </w:rPr>
        <w:t>68</w:t>
      </w:r>
      <w:r w:rsidRPr="00AF2478">
        <w:rPr>
          <w:rFonts w:cs="Times New Roman"/>
          <w:color w:val="222222"/>
          <w:szCs w:val="24"/>
          <w:shd w:val="clear" w:color="auto" w:fill="FFFFFF"/>
        </w:rPr>
        <w:t>(2-3), p.101246.</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t>Roychowdhury</w:t>
      </w:r>
      <w:proofErr w:type="spellEnd"/>
      <w:r w:rsidRPr="00AF2478">
        <w:rPr>
          <w:rFonts w:cs="Times New Roman"/>
          <w:color w:val="222222"/>
          <w:szCs w:val="24"/>
          <w:shd w:val="clear" w:color="auto" w:fill="FFFFFF"/>
        </w:rPr>
        <w:t>, S., Shroff, N. and Verdi, R.S., 2019. The effects of financial reporting and disclosure on corporate investment: A review. </w:t>
      </w:r>
      <w:r w:rsidRPr="00AF2478">
        <w:rPr>
          <w:rFonts w:cs="Times New Roman"/>
          <w:i/>
          <w:iCs/>
          <w:color w:val="222222"/>
          <w:szCs w:val="24"/>
          <w:shd w:val="clear" w:color="auto" w:fill="FFFFFF"/>
        </w:rPr>
        <w:t>Journal of Accounting and Economics</w:t>
      </w:r>
      <w:r w:rsidRPr="00AF2478">
        <w:rPr>
          <w:rFonts w:cs="Times New Roman"/>
          <w:color w:val="222222"/>
          <w:szCs w:val="24"/>
          <w:shd w:val="clear" w:color="auto" w:fill="FFFFFF"/>
        </w:rPr>
        <w:t>, </w:t>
      </w:r>
      <w:r w:rsidRPr="00AF2478">
        <w:rPr>
          <w:rFonts w:cs="Times New Roman"/>
          <w:i/>
          <w:iCs/>
          <w:color w:val="222222"/>
          <w:szCs w:val="24"/>
          <w:shd w:val="clear" w:color="auto" w:fill="FFFFFF"/>
        </w:rPr>
        <w:t>68</w:t>
      </w:r>
      <w:r w:rsidRPr="00AF2478">
        <w:rPr>
          <w:rFonts w:cs="Times New Roman"/>
          <w:color w:val="222222"/>
          <w:szCs w:val="24"/>
          <w:shd w:val="clear" w:color="auto" w:fill="FFFFFF"/>
        </w:rPr>
        <w:t>(2-3), p.101246.</w:t>
      </w:r>
    </w:p>
    <w:p w:rsidR="00AF2478" w:rsidRPr="00AF2478" w:rsidRDefault="00AF2478" w:rsidP="00AF2478">
      <w:pPr>
        <w:ind w:left="1440" w:hanging="720"/>
        <w:rPr>
          <w:rFonts w:cs="Times New Roman"/>
          <w:szCs w:val="24"/>
          <w:shd w:val="clear" w:color="auto" w:fill="FFFFFF"/>
        </w:rPr>
      </w:pPr>
      <w:r w:rsidRPr="00AF2478">
        <w:rPr>
          <w:rFonts w:cs="Times New Roman"/>
          <w:szCs w:val="24"/>
          <w:shd w:val="clear" w:color="auto" w:fill="FFFFFF"/>
        </w:rPr>
        <w:t xml:space="preserve">Tracy, T.C., 2024. </w:t>
      </w:r>
      <w:r w:rsidRPr="00AF2478">
        <w:rPr>
          <w:rFonts w:cs="Times New Roman"/>
          <w:i/>
          <w:szCs w:val="24"/>
          <w:shd w:val="clear" w:color="auto" w:fill="FFFFFF"/>
        </w:rPr>
        <w:t>How to read a financial report: wringing vital signs out of the numbers</w:t>
      </w:r>
      <w:r w:rsidRPr="00AF2478">
        <w:rPr>
          <w:rFonts w:cs="Times New Roman"/>
          <w:szCs w:val="24"/>
          <w:shd w:val="clear" w:color="auto" w:fill="FFFFFF"/>
        </w:rPr>
        <w:t>. John Wiley &amp; Sons.</w:t>
      </w:r>
    </w:p>
    <w:p w:rsidR="00AF2478" w:rsidRPr="00AF2478" w:rsidRDefault="00AF2478" w:rsidP="00AF2478">
      <w:pPr>
        <w:ind w:left="1440" w:hanging="720"/>
        <w:rPr>
          <w:rFonts w:cs="Times New Roman"/>
          <w:color w:val="222222"/>
          <w:szCs w:val="24"/>
          <w:shd w:val="clear" w:color="auto" w:fill="FFFFFF"/>
        </w:rPr>
      </w:pPr>
      <w:proofErr w:type="spellStart"/>
      <w:r w:rsidRPr="00AF2478">
        <w:rPr>
          <w:rFonts w:cs="Times New Roman"/>
          <w:color w:val="222222"/>
          <w:szCs w:val="24"/>
          <w:shd w:val="clear" w:color="auto" w:fill="FFFFFF"/>
        </w:rPr>
        <w:t>Yenni</w:t>
      </w:r>
      <w:proofErr w:type="spellEnd"/>
      <w:r w:rsidRPr="00AF2478">
        <w:rPr>
          <w:rFonts w:cs="Times New Roman"/>
          <w:color w:val="222222"/>
          <w:szCs w:val="24"/>
          <w:shd w:val="clear" w:color="auto" w:fill="FFFFFF"/>
        </w:rPr>
        <w:t xml:space="preserve">, Y., </w:t>
      </w:r>
      <w:proofErr w:type="spellStart"/>
      <w:r w:rsidRPr="00AF2478">
        <w:rPr>
          <w:rFonts w:cs="Times New Roman"/>
          <w:color w:val="222222"/>
          <w:szCs w:val="24"/>
          <w:shd w:val="clear" w:color="auto" w:fill="FFFFFF"/>
        </w:rPr>
        <w:t>Arifin</w:t>
      </w:r>
      <w:proofErr w:type="spellEnd"/>
      <w:r w:rsidRPr="00AF2478">
        <w:rPr>
          <w:rFonts w:cs="Times New Roman"/>
          <w:color w:val="222222"/>
          <w:szCs w:val="24"/>
          <w:shd w:val="clear" w:color="auto" w:fill="FFFFFF"/>
        </w:rPr>
        <w:t xml:space="preserve">, A., </w:t>
      </w:r>
      <w:proofErr w:type="spellStart"/>
      <w:r w:rsidRPr="00AF2478">
        <w:rPr>
          <w:rFonts w:cs="Times New Roman"/>
          <w:color w:val="222222"/>
          <w:szCs w:val="24"/>
          <w:shd w:val="clear" w:color="auto" w:fill="FFFFFF"/>
        </w:rPr>
        <w:t>Gunawan</w:t>
      </w:r>
      <w:proofErr w:type="spellEnd"/>
      <w:r w:rsidRPr="00AF2478">
        <w:rPr>
          <w:rFonts w:cs="Times New Roman"/>
          <w:color w:val="222222"/>
          <w:szCs w:val="24"/>
          <w:shd w:val="clear" w:color="auto" w:fill="FFFFFF"/>
        </w:rPr>
        <w:t xml:space="preserve">, E., </w:t>
      </w:r>
      <w:proofErr w:type="spellStart"/>
      <w:r w:rsidRPr="00AF2478">
        <w:rPr>
          <w:rFonts w:cs="Times New Roman"/>
          <w:color w:val="222222"/>
          <w:szCs w:val="24"/>
          <w:shd w:val="clear" w:color="auto" w:fill="FFFFFF"/>
        </w:rPr>
        <w:t>Pakpahan</w:t>
      </w:r>
      <w:proofErr w:type="spellEnd"/>
      <w:r w:rsidRPr="00AF2478">
        <w:rPr>
          <w:rFonts w:cs="Times New Roman"/>
          <w:color w:val="222222"/>
          <w:szCs w:val="24"/>
          <w:shd w:val="clear" w:color="auto" w:fill="FFFFFF"/>
        </w:rPr>
        <w:t xml:space="preserve">, L. and </w:t>
      </w:r>
      <w:proofErr w:type="spellStart"/>
      <w:r w:rsidRPr="00AF2478">
        <w:rPr>
          <w:rFonts w:cs="Times New Roman"/>
          <w:color w:val="222222"/>
          <w:szCs w:val="24"/>
          <w:shd w:val="clear" w:color="auto" w:fill="FFFFFF"/>
        </w:rPr>
        <w:t>Siregar</w:t>
      </w:r>
      <w:proofErr w:type="spellEnd"/>
      <w:r w:rsidRPr="00AF2478">
        <w:rPr>
          <w:rFonts w:cs="Times New Roman"/>
          <w:color w:val="222222"/>
          <w:szCs w:val="24"/>
          <w:shd w:val="clear" w:color="auto" w:fill="FFFFFF"/>
        </w:rPr>
        <w:t>, H., 2021. The impact of solvency and working capital on profitability. </w:t>
      </w:r>
      <w:r w:rsidRPr="00AF2478">
        <w:rPr>
          <w:rFonts w:cs="Times New Roman"/>
          <w:i/>
          <w:iCs/>
          <w:color w:val="222222"/>
          <w:szCs w:val="24"/>
          <w:shd w:val="clear" w:color="auto" w:fill="FFFFFF"/>
        </w:rPr>
        <w:t>Journal of Industrial Engineering &amp; Management Research</w:t>
      </w:r>
      <w:r w:rsidRPr="00AF2478">
        <w:rPr>
          <w:rFonts w:cs="Times New Roman"/>
          <w:color w:val="222222"/>
          <w:szCs w:val="24"/>
          <w:shd w:val="clear" w:color="auto" w:fill="FFFFFF"/>
        </w:rPr>
        <w:t>, </w:t>
      </w:r>
      <w:r w:rsidRPr="00AF2478">
        <w:rPr>
          <w:rFonts w:cs="Times New Roman"/>
          <w:i/>
          <w:iCs/>
          <w:color w:val="222222"/>
          <w:szCs w:val="24"/>
          <w:shd w:val="clear" w:color="auto" w:fill="FFFFFF"/>
        </w:rPr>
        <w:t>2</w:t>
      </w:r>
      <w:r w:rsidRPr="00AF2478">
        <w:rPr>
          <w:rFonts w:cs="Times New Roman"/>
          <w:color w:val="222222"/>
          <w:szCs w:val="24"/>
          <w:shd w:val="clear" w:color="auto" w:fill="FFFFFF"/>
        </w:rPr>
        <w:t>(4), pp.15-38.</w:t>
      </w:r>
    </w:p>
    <w:sectPr w:rsidR="00AF2478" w:rsidRPr="00AF24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0A66EE"/>
    <w:multiLevelType w:val="multilevel"/>
    <w:tmpl w:val="3FC6E246"/>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nsid w:val="151D23AC"/>
    <w:multiLevelType w:val="multilevel"/>
    <w:tmpl w:val="3FC6E246"/>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nsid w:val="303F0F2F"/>
    <w:multiLevelType w:val="hybridMultilevel"/>
    <w:tmpl w:val="3266FC3A"/>
    <w:lvl w:ilvl="0" w:tplc="352C4D8C">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345D06AE"/>
    <w:multiLevelType w:val="hybridMultilevel"/>
    <w:tmpl w:val="E676EE04"/>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3AC027C4"/>
    <w:multiLevelType w:val="hybridMultilevel"/>
    <w:tmpl w:val="71EC06EC"/>
    <w:lvl w:ilvl="0" w:tplc="352C4D8C">
      <w:start w:val="5"/>
      <w:numFmt w:val="decimal"/>
      <w:lvlText w:val="%1."/>
      <w:lvlJc w:val="left"/>
      <w:pPr>
        <w:ind w:left="144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3CD1716D"/>
    <w:multiLevelType w:val="multilevel"/>
    <w:tmpl w:val="71704CC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nsid w:val="449B3224"/>
    <w:multiLevelType w:val="hybridMultilevel"/>
    <w:tmpl w:val="8ED85C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191628B"/>
    <w:multiLevelType w:val="hybridMultilevel"/>
    <w:tmpl w:val="757C82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8A452CF"/>
    <w:multiLevelType w:val="hybridMultilevel"/>
    <w:tmpl w:val="4A3A25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7706FDD"/>
    <w:multiLevelType w:val="hybridMultilevel"/>
    <w:tmpl w:val="8D1008C4"/>
    <w:lvl w:ilvl="0" w:tplc="352C4D8C">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nsid w:val="68BF25FA"/>
    <w:multiLevelType w:val="multilevel"/>
    <w:tmpl w:val="561AA266"/>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6"/>
  </w:num>
  <w:num w:numId="3">
    <w:abstractNumId w:val="1"/>
  </w:num>
  <w:num w:numId="4">
    <w:abstractNumId w:val="0"/>
  </w:num>
  <w:num w:numId="5">
    <w:abstractNumId w:val="11"/>
  </w:num>
  <w:num w:numId="6">
    <w:abstractNumId w:val="7"/>
  </w:num>
  <w:num w:numId="7">
    <w:abstractNumId w:val="9"/>
  </w:num>
  <w:num w:numId="8">
    <w:abstractNumId w:val="8"/>
  </w:num>
  <w:num w:numId="9">
    <w:abstractNumId w:val="3"/>
  </w:num>
  <w:num w:numId="10">
    <w:abstractNumId w:val="5"/>
  </w:num>
  <w:num w:numId="11">
    <w:abstractNumId w:val="1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2B06"/>
    <w:rsid w:val="00066538"/>
    <w:rsid w:val="000B1FCA"/>
    <w:rsid w:val="00113258"/>
    <w:rsid w:val="0019670D"/>
    <w:rsid w:val="001B6CD5"/>
    <w:rsid w:val="001F0818"/>
    <w:rsid w:val="0021245F"/>
    <w:rsid w:val="00246FF6"/>
    <w:rsid w:val="00270469"/>
    <w:rsid w:val="003A40DC"/>
    <w:rsid w:val="003A755D"/>
    <w:rsid w:val="004D6C93"/>
    <w:rsid w:val="004F5833"/>
    <w:rsid w:val="005B2BFE"/>
    <w:rsid w:val="00601FA0"/>
    <w:rsid w:val="00606CA5"/>
    <w:rsid w:val="00607A24"/>
    <w:rsid w:val="006342FE"/>
    <w:rsid w:val="00697004"/>
    <w:rsid w:val="006D6DE8"/>
    <w:rsid w:val="0071060F"/>
    <w:rsid w:val="00712C1D"/>
    <w:rsid w:val="00781A31"/>
    <w:rsid w:val="007F6476"/>
    <w:rsid w:val="00852D2C"/>
    <w:rsid w:val="00A178E4"/>
    <w:rsid w:val="00A61254"/>
    <w:rsid w:val="00AA2B06"/>
    <w:rsid w:val="00AF2478"/>
    <w:rsid w:val="00B15A17"/>
    <w:rsid w:val="00B56A83"/>
    <w:rsid w:val="00C53777"/>
    <w:rsid w:val="00C55C3A"/>
    <w:rsid w:val="00C638EA"/>
    <w:rsid w:val="00CA7230"/>
    <w:rsid w:val="00DB502F"/>
    <w:rsid w:val="00DD5488"/>
    <w:rsid w:val="00F67482"/>
    <w:rsid w:val="00F7134F"/>
    <w:rsid w:val="00F97A60"/>
    <w:rsid w:val="00FF61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BDEE6A0E-3094-4F5E-9655-36C23DE03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78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2D2C"/>
    <w:pPr>
      <w:keepNext/>
      <w:keepLines/>
      <w:spacing w:before="240" w:after="0" w:line="259" w:lineRule="auto"/>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B6CD5"/>
    <w:pPr>
      <w:keepNext/>
      <w:keepLines/>
      <w:spacing w:before="40" w:after="0" w:line="259" w:lineRule="auto"/>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A40DC"/>
    <w:pPr>
      <w:keepNext/>
      <w:keepLines/>
      <w:numPr>
        <w:ilvl w:val="2"/>
        <w:numId w:val="2"/>
      </w:numPr>
      <w:spacing w:before="200" w:after="0"/>
      <w:ind w:left="72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852D2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B6CD5"/>
    <w:rPr>
      <w:rFonts w:ascii="Times New Roman" w:eastAsiaTheme="majorEastAsia" w:hAnsi="Times New Roman" w:cstheme="majorBidi"/>
      <w:b/>
      <w:sz w:val="24"/>
      <w:szCs w:val="26"/>
    </w:rPr>
  </w:style>
  <w:style w:type="paragraph" w:styleId="NoSpacing">
    <w:name w:val="No Spacing"/>
    <w:uiPriority w:val="1"/>
    <w:qFormat/>
    <w:rsid w:val="00607A24"/>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3A755D"/>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A755D"/>
    <w:pPr>
      <w:spacing w:after="100"/>
    </w:pPr>
  </w:style>
  <w:style w:type="paragraph" w:styleId="TOC2">
    <w:name w:val="toc 2"/>
    <w:basedOn w:val="Normal"/>
    <w:next w:val="Normal"/>
    <w:autoRedefine/>
    <w:uiPriority w:val="39"/>
    <w:unhideWhenUsed/>
    <w:rsid w:val="003A755D"/>
    <w:pPr>
      <w:spacing w:after="100"/>
      <w:ind w:left="240"/>
    </w:pPr>
  </w:style>
  <w:style w:type="character" w:styleId="Hyperlink">
    <w:name w:val="Hyperlink"/>
    <w:basedOn w:val="DefaultParagraphFont"/>
    <w:uiPriority w:val="99"/>
    <w:unhideWhenUsed/>
    <w:rsid w:val="003A755D"/>
    <w:rPr>
      <w:color w:val="0563C1" w:themeColor="hyperlink"/>
      <w:u w:val="single"/>
    </w:rPr>
  </w:style>
  <w:style w:type="paragraph" w:styleId="ListParagraph">
    <w:name w:val="List Paragraph"/>
    <w:basedOn w:val="Normal"/>
    <w:uiPriority w:val="34"/>
    <w:qFormat/>
    <w:rsid w:val="00AF24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555308">
      <w:bodyDiv w:val="1"/>
      <w:marLeft w:val="0"/>
      <w:marRight w:val="0"/>
      <w:marTop w:val="0"/>
      <w:marBottom w:val="0"/>
      <w:divBdr>
        <w:top w:val="none" w:sz="0" w:space="0" w:color="auto"/>
        <w:left w:val="none" w:sz="0" w:space="0" w:color="auto"/>
        <w:bottom w:val="none" w:sz="0" w:space="0" w:color="auto"/>
        <w:right w:val="none" w:sz="0" w:space="0" w:color="auto"/>
      </w:divBdr>
    </w:div>
    <w:div w:id="770321609">
      <w:bodyDiv w:val="1"/>
      <w:marLeft w:val="0"/>
      <w:marRight w:val="0"/>
      <w:marTop w:val="0"/>
      <w:marBottom w:val="0"/>
      <w:divBdr>
        <w:top w:val="none" w:sz="0" w:space="0" w:color="auto"/>
        <w:left w:val="none" w:sz="0" w:space="0" w:color="auto"/>
        <w:bottom w:val="none" w:sz="0" w:space="0" w:color="auto"/>
        <w:right w:val="none" w:sz="0" w:space="0" w:color="auto"/>
      </w:divBdr>
    </w:div>
    <w:div w:id="1994602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Desktop\Oan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Desktop\Oan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Desktop\Oan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ENOVO\Desktop\Oan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ENOVO\Desktop\Oan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ENOVO\Desktop\Oan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ENOVO\Desktop\Oan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LENOVO\Desktop\Oana.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Reveune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Revenue!$N$3:$N$5</c:f>
              <c:numCache>
                <c:formatCode>General</c:formatCode>
                <c:ptCount val="3"/>
                <c:pt idx="0">
                  <c:v>2021</c:v>
                </c:pt>
                <c:pt idx="1">
                  <c:v>2022</c:v>
                </c:pt>
                <c:pt idx="2">
                  <c:v>2023</c:v>
                </c:pt>
              </c:numCache>
            </c:numRef>
          </c:cat>
          <c:val>
            <c:numRef>
              <c:f>Revenue!$O$3:$O$5</c:f>
              <c:numCache>
                <c:formatCode>#,##0</c:formatCode>
                <c:ptCount val="3"/>
                <c:pt idx="0">
                  <c:v>5248290</c:v>
                </c:pt>
                <c:pt idx="1">
                  <c:v>5307480</c:v>
                </c:pt>
                <c:pt idx="2">
                  <c:v>2325440</c:v>
                </c:pt>
              </c:numCache>
            </c:numRef>
          </c:val>
        </c:ser>
        <c:dLbls>
          <c:dLblPos val="inEnd"/>
          <c:showLegendKey val="0"/>
          <c:showVal val="1"/>
          <c:showCatName val="0"/>
          <c:showSerName val="0"/>
          <c:showPercent val="0"/>
          <c:showBubbleSize val="0"/>
        </c:dLbls>
        <c:gapWidth val="100"/>
        <c:overlap val="-24"/>
        <c:axId val="321014888"/>
        <c:axId val="269518904"/>
      </c:barChart>
      <c:catAx>
        <c:axId val="321014888"/>
        <c:scaling>
          <c:orientation val="minMax"/>
        </c:scaling>
        <c:delete val="0"/>
        <c:axPos val="b"/>
        <c:numFmt formatCode="General" sourceLinked="1"/>
        <c:majorTickMark val="none"/>
        <c:minorTickMark val="none"/>
        <c:tickLblPos val="nextTo"/>
        <c:spPr>
          <a:noFill/>
          <a:ln w="12700">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9518904"/>
        <c:crosses val="autoZero"/>
        <c:auto val="1"/>
        <c:lblAlgn val="ctr"/>
        <c:lblOffset val="100"/>
        <c:noMultiLvlLbl val="0"/>
      </c:catAx>
      <c:valAx>
        <c:axId val="269518904"/>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014888"/>
        <c:crosses val="autoZero"/>
        <c:crossBetween val="between"/>
      </c:valAx>
      <c:spPr>
        <a:noFill/>
        <a:ln>
          <a:noFill/>
        </a:ln>
        <a:effectLst/>
      </c:spPr>
    </c:plotArea>
    <c:plotVisOnly val="1"/>
    <c:dispBlanksAs val="gap"/>
    <c:showDLblsOverMax val="0"/>
  </c:chart>
  <c:spPr>
    <a:solidFill>
      <a:schemeClr val="accent1">
        <a:lumMod val="20000"/>
        <a:lumOff val="80000"/>
      </a:schemeClr>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a:t>
            </a:r>
            <a:r>
              <a:rPr lang="en-US" baseline="0"/>
              <a:t> Growth Rate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dPt>
          <c:dPt>
            <c:idx val="1"/>
            <c:bubble3D val="0"/>
            <c:spPr>
              <a:solidFill>
                <a:schemeClr val="accent4"/>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numRef>
              <c:f>Revenue!$B$24:$B$25</c:f>
              <c:numCache>
                <c:formatCode>General</c:formatCode>
                <c:ptCount val="2"/>
                <c:pt idx="0">
                  <c:v>2022</c:v>
                </c:pt>
                <c:pt idx="1">
                  <c:v>2023</c:v>
                </c:pt>
              </c:numCache>
            </c:numRef>
          </c:cat>
          <c:val>
            <c:numRef>
              <c:f>Revenue!$C$24:$C$25</c:f>
              <c:numCache>
                <c:formatCode>0%</c:formatCode>
                <c:ptCount val="2"/>
                <c:pt idx="0" formatCode="0.00%">
                  <c:v>1.1277959106680462E-2</c:v>
                </c:pt>
                <c:pt idx="1">
                  <c:v>-0.56185609743230314</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accent3">
        <a:lumMod val="20000"/>
        <a:lumOff val="80000"/>
      </a:schemeClr>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solidFill>
                <a:effectLst/>
                <a:latin typeface="+mn-lt"/>
                <a:ea typeface="+mn-ea"/>
                <a:cs typeface="+mn-cs"/>
              </a:defRPr>
            </a:pPr>
            <a:r>
              <a:rPr lang="en-US"/>
              <a:t>Gross Profit Margin</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solidFill>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dk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'Profitabilty ratio'!$G$4:$G$6</c:f>
              <c:numCache>
                <c:formatCode>General</c:formatCode>
                <c:ptCount val="3"/>
                <c:pt idx="0">
                  <c:v>2021</c:v>
                </c:pt>
                <c:pt idx="1">
                  <c:v>2022</c:v>
                </c:pt>
                <c:pt idx="2">
                  <c:v>2023</c:v>
                </c:pt>
              </c:numCache>
            </c:numRef>
          </c:cat>
          <c:val>
            <c:numRef>
              <c:f>'Profitabilty ratio'!$H$4:$H$6</c:f>
              <c:numCache>
                <c:formatCode>0.00%</c:formatCode>
                <c:ptCount val="3"/>
                <c:pt idx="0">
                  <c:v>0.92157445567984997</c:v>
                </c:pt>
                <c:pt idx="1">
                  <c:v>0.92435016241229362</c:v>
                </c:pt>
                <c:pt idx="2">
                  <c:v>0.92420789183982388</c:v>
                </c:pt>
              </c:numCache>
            </c:numRef>
          </c:val>
        </c:ser>
        <c:dLbls>
          <c:dLblPos val="inEnd"/>
          <c:showLegendKey val="0"/>
          <c:showVal val="1"/>
          <c:showCatName val="0"/>
          <c:showSerName val="0"/>
          <c:showPercent val="0"/>
          <c:showBubbleSize val="0"/>
        </c:dLbls>
        <c:gapWidth val="41"/>
        <c:axId val="399782480"/>
        <c:axId val="399780520"/>
      </c:barChart>
      <c:catAx>
        <c:axId val="3997824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effectLst/>
                <a:latin typeface="+mn-lt"/>
                <a:ea typeface="+mn-ea"/>
                <a:cs typeface="+mn-cs"/>
              </a:defRPr>
            </a:pPr>
            <a:endParaRPr lang="en-US"/>
          </a:p>
        </c:txPr>
        <c:crossAx val="399780520"/>
        <c:crosses val="autoZero"/>
        <c:auto val="1"/>
        <c:lblAlgn val="ctr"/>
        <c:lblOffset val="100"/>
        <c:noMultiLvlLbl val="0"/>
      </c:catAx>
      <c:valAx>
        <c:axId val="399780520"/>
        <c:scaling>
          <c:orientation val="minMax"/>
        </c:scaling>
        <c:delete val="1"/>
        <c:axPos val="l"/>
        <c:numFmt formatCode="0.00%" sourceLinked="1"/>
        <c:majorTickMark val="none"/>
        <c:minorTickMark val="none"/>
        <c:tickLblPos val="nextTo"/>
        <c:crossAx val="399782480"/>
        <c:crosses val="autoZero"/>
        <c:crossBetween val="between"/>
      </c:valAx>
      <c:spPr>
        <a:noFill/>
        <a:ln>
          <a:noFill/>
        </a:ln>
        <a:effectLst/>
      </c:spPr>
    </c:plotArea>
    <c:plotVisOnly val="1"/>
    <c:dispBlanksAs val="gap"/>
    <c:showDLblsOverMax val="0"/>
  </c:chart>
  <c:spPr>
    <a:solidFill>
      <a:schemeClr val="accent6">
        <a:lumMod val="40000"/>
        <a:lumOff val="60000"/>
      </a:schemeClr>
    </a:solidFill>
    <a:ln w="12700">
      <a:solidFill>
        <a:schemeClr val="accent1"/>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dk1"/>
                </a:solidFill>
                <a:latin typeface="+mn-lt"/>
                <a:ea typeface="+mn-ea"/>
                <a:cs typeface="+mn-cs"/>
              </a:defRPr>
            </a:pPr>
            <a:r>
              <a:rPr lang="en-US"/>
              <a:t>Operating Profit Margin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dk1"/>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dLbl>
              <c:idx val="0"/>
              <c:showLegendKey val="0"/>
              <c:showVal val="1"/>
              <c:showCatName val="0"/>
              <c:showSerName val="0"/>
              <c:showPercent val="0"/>
              <c:showBubbleSize val="0"/>
              <c:extLst>
                <c:ext xmlns:c15="http://schemas.microsoft.com/office/drawing/2012/chart" uri="{CE6537A1-D6FC-4f65-9D91-7224C49458BB}"/>
              </c:extLst>
            </c:dLbl>
            <c:dLbl>
              <c:idx val="1"/>
              <c:showLegendKey val="0"/>
              <c:showVal val="1"/>
              <c:showCatName val="0"/>
              <c:showSerName val="0"/>
              <c:showPercent val="0"/>
              <c:showBubbleSize val="0"/>
              <c:extLst>
                <c:ext xmlns:c15="http://schemas.microsoft.com/office/drawing/2012/chart" uri="{CE6537A1-D6FC-4f65-9D91-7224C49458BB}"/>
              </c:extLst>
            </c:dLbl>
            <c:dLbl>
              <c:idx val="2"/>
              <c:showLegendKey val="0"/>
              <c:showVal val="1"/>
              <c:showCatName val="0"/>
              <c:showSerName val="0"/>
              <c:showPercent val="0"/>
              <c:showBubbleSize val="0"/>
              <c:extLst>
                <c:ext xmlns:c15="http://schemas.microsoft.com/office/drawing/2012/chart" uri="{CE6537A1-D6FC-4f65-9D91-7224C49458BB}"/>
              </c:extLst>
            </c:dLbl>
            <c:spPr>
              <a:solidFill>
                <a:schemeClr val="lt1"/>
              </a:solidFill>
              <a:ln w="12700">
                <a:solidFill>
                  <a:schemeClr val="accent2"/>
                </a:solidFill>
                <a:prstDash val="solid"/>
                <a:miter lim="800000"/>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numRef>
              <c:f>'Profitabilty ratio'!$G$9:$G$11</c:f>
              <c:numCache>
                <c:formatCode>General</c:formatCode>
                <c:ptCount val="3"/>
                <c:pt idx="0">
                  <c:v>2021</c:v>
                </c:pt>
                <c:pt idx="1">
                  <c:v>2022</c:v>
                </c:pt>
                <c:pt idx="2">
                  <c:v>2023</c:v>
                </c:pt>
              </c:numCache>
            </c:numRef>
          </c:cat>
          <c:val>
            <c:numRef>
              <c:f>'Profitabilty ratio'!$H$9:$H$11</c:f>
              <c:numCache>
                <c:formatCode>0.000%</c:formatCode>
                <c:ptCount val="3"/>
                <c:pt idx="0" formatCode="0.0%">
                  <c:v>0.12654788512067741</c:v>
                </c:pt>
                <c:pt idx="1">
                  <c:v>0.127128128603405</c:v>
                </c:pt>
                <c:pt idx="2">
                  <c:v>-0.52413736755194718</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showDLblsOverMax val="0"/>
  </c:chart>
  <c:spPr>
    <a:solidFill>
      <a:schemeClr val="accent2">
        <a:lumMod val="60000"/>
        <a:lumOff val="40000"/>
      </a:schemeClr>
    </a:solidFill>
    <a:ln w="12700">
      <a:solidFill>
        <a:schemeClr val="accent2"/>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800" b="1" i="0" u="none" strike="noStrike" kern="1200" cap="all" spc="50" baseline="0">
                <a:solidFill>
                  <a:schemeClr val="dk1"/>
                </a:solidFill>
                <a:latin typeface="+mn-lt"/>
                <a:ea typeface="+mn-ea"/>
                <a:cs typeface="+mn-cs"/>
              </a:defRPr>
            </a:pPr>
            <a:r>
              <a:rPr lang="en-US"/>
              <a:t>Current Ratio</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dk1"/>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numRef>
              <c:f>'Liquidity Ratio'!$F$7:$F$9</c:f>
              <c:numCache>
                <c:formatCode>General</c:formatCode>
                <c:ptCount val="3"/>
                <c:pt idx="0">
                  <c:v>2021</c:v>
                </c:pt>
                <c:pt idx="1">
                  <c:v>2022</c:v>
                </c:pt>
                <c:pt idx="2">
                  <c:v>2023</c:v>
                </c:pt>
              </c:numCache>
            </c:numRef>
          </c:cat>
          <c:val>
            <c:numRef>
              <c:f>'Liquidity Ratio'!$G$7:$G$9</c:f>
              <c:numCache>
                <c:formatCode>0.00%</c:formatCode>
                <c:ptCount val="3"/>
                <c:pt idx="0">
                  <c:v>0.96659275759185848</c:v>
                </c:pt>
                <c:pt idx="1">
                  <c:v>0.93243506108409446</c:v>
                </c:pt>
                <c:pt idx="2">
                  <c:v>0.63828055197061451</c:v>
                </c:pt>
              </c:numCache>
            </c:numRef>
          </c:val>
        </c:ser>
        <c:dLbls>
          <c:showLegendKey val="0"/>
          <c:showVal val="0"/>
          <c:showCatName val="0"/>
          <c:showSerName val="0"/>
          <c:showPercent val="0"/>
          <c:showBubbleSize val="0"/>
        </c:dLbls>
        <c:gapWidth val="355"/>
        <c:overlap val="-70"/>
        <c:axId val="399779344"/>
        <c:axId val="399779736"/>
      </c:barChart>
      <c:catAx>
        <c:axId val="39977934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399779736"/>
        <c:crosses val="autoZero"/>
        <c:auto val="1"/>
        <c:lblAlgn val="ctr"/>
        <c:lblOffset val="100"/>
        <c:noMultiLvlLbl val="0"/>
      </c:catAx>
      <c:valAx>
        <c:axId val="399779736"/>
        <c:scaling>
          <c:orientation val="minMax"/>
        </c:scaling>
        <c:delete val="0"/>
        <c:axPos val="l"/>
        <c:majorGridlines>
          <c:spPr>
            <a:ln w="9525">
              <a:gradFill rotWithShape="1">
                <a:gsLst>
                  <a:gs pos="100000">
                    <a:schemeClr val="tx1">
                      <a:lumMod val="5000"/>
                      <a:lumOff val="95000"/>
                    </a:schemeClr>
                  </a:gs>
                  <a:gs pos="0">
                    <a:schemeClr val="tx1">
                      <a:lumMod val="25000"/>
                      <a:lumOff val="75000"/>
                    </a:schemeClr>
                  </a:gs>
                </a:gsLst>
                <a:lin ang="5400000" scaled="0"/>
              </a:gradFill>
              <a:round/>
            </a:ln>
            <a:effectLst/>
          </c:spPr>
        </c:majorGridlines>
        <c:numFmt formatCode="0.00%" sourceLinked="1"/>
        <c:majorTickMark val="none"/>
        <c:minorTickMark val="none"/>
        <c:tickLblPos val="nextTo"/>
        <c:spPr>
          <a:noFill/>
          <a:ln w="6350">
            <a:solidFill>
              <a:schemeClr val="accent2"/>
            </a:solidFill>
            <a:prstDash val="solid"/>
            <a:miter lim="800000"/>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399779344"/>
        <c:crosses val="autoZero"/>
        <c:crossBetween val="between"/>
      </c:valAx>
      <c:spPr>
        <a:noFill/>
        <a:ln>
          <a:noFill/>
        </a:ln>
        <a:effectLst/>
      </c:spPr>
    </c:plotArea>
    <c:plotVisOnly val="1"/>
    <c:dispBlanksAs val="gap"/>
    <c:showDLblsOverMax val="0"/>
  </c:chart>
  <c:spPr>
    <a:solidFill>
      <a:schemeClr val="lt1"/>
    </a:solidFill>
    <a:ln w="12700">
      <a:solidFill>
        <a:schemeClr val="accent2"/>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b="0" i="0" u="none" strike="noStrike" kern="1200" baseline="0">
                <a:solidFill>
                  <a:schemeClr val="dk1"/>
                </a:solidFill>
                <a:effectLst/>
                <a:latin typeface="+mn-lt"/>
                <a:ea typeface="+mn-ea"/>
                <a:cs typeface="+mn-cs"/>
              </a:defRPr>
            </a:pPr>
            <a:r>
              <a:rPr lang="en-US"/>
              <a:t>Quick Ratio</a:t>
            </a:r>
          </a:p>
        </c:rich>
      </c:tx>
      <c:layout>
        <c:manualLayout>
          <c:xMode val="edge"/>
          <c:yMode val="edge"/>
          <c:x val="0.37577777777777777"/>
          <c:y val="1.8518518518518517E-2"/>
        </c:manualLayout>
      </c:layout>
      <c:overlay val="0"/>
      <c:spPr>
        <a:noFill/>
        <a:ln>
          <a:noFill/>
        </a:ln>
        <a:effectLst/>
      </c:spPr>
      <c:txPr>
        <a:bodyPr rot="0" spcFirstLastPara="1" vertOverflow="ellipsis" vert="horz" wrap="square" anchor="ctr" anchorCtr="1"/>
        <a:lstStyle/>
        <a:p>
          <a:pPr>
            <a:defRPr b="0" i="0" u="none" strike="noStrike" kern="1200" baseline="0">
              <a:solidFill>
                <a:schemeClr val="dk1"/>
              </a:solidFill>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dk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'Liquidity Ratio'!$F$14:$F$16</c:f>
              <c:numCache>
                <c:formatCode>General</c:formatCode>
                <c:ptCount val="3"/>
                <c:pt idx="0">
                  <c:v>2021</c:v>
                </c:pt>
                <c:pt idx="1">
                  <c:v>2022</c:v>
                </c:pt>
                <c:pt idx="2">
                  <c:v>2023</c:v>
                </c:pt>
              </c:numCache>
            </c:numRef>
          </c:cat>
          <c:val>
            <c:numRef>
              <c:f>'Liquidity Ratio'!$G$14:$G$16</c:f>
              <c:numCache>
                <c:formatCode>0.00%</c:formatCode>
                <c:ptCount val="3"/>
                <c:pt idx="0">
                  <c:v>0.94859402460456943</c:v>
                </c:pt>
                <c:pt idx="1">
                  <c:v>0.91518918277784367</c:v>
                </c:pt>
                <c:pt idx="2">
                  <c:v>0.6236523379330885</c:v>
                </c:pt>
              </c:numCache>
            </c:numRef>
          </c:val>
        </c:ser>
        <c:dLbls>
          <c:dLblPos val="inEnd"/>
          <c:showLegendKey val="0"/>
          <c:showVal val="1"/>
          <c:showCatName val="0"/>
          <c:showSerName val="0"/>
          <c:showPercent val="0"/>
          <c:showBubbleSize val="0"/>
        </c:dLbls>
        <c:gapWidth val="41"/>
        <c:axId val="399780128"/>
        <c:axId val="405087896"/>
      </c:barChart>
      <c:catAx>
        <c:axId val="3997801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effectLst/>
                <a:latin typeface="+mn-lt"/>
                <a:ea typeface="+mn-ea"/>
                <a:cs typeface="+mn-cs"/>
              </a:defRPr>
            </a:pPr>
            <a:endParaRPr lang="en-US"/>
          </a:p>
        </c:txPr>
        <c:crossAx val="405087896"/>
        <c:crosses val="autoZero"/>
        <c:auto val="1"/>
        <c:lblAlgn val="ctr"/>
        <c:lblOffset val="100"/>
        <c:noMultiLvlLbl val="0"/>
      </c:catAx>
      <c:valAx>
        <c:axId val="405087896"/>
        <c:scaling>
          <c:orientation val="minMax"/>
        </c:scaling>
        <c:delete val="1"/>
        <c:axPos val="l"/>
        <c:numFmt formatCode="0.00%" sourceLinked="1"/>
        <c:majorTickMark val="none"/>
        <c:minorTickMark val="none"/>
        <c:tickLblPos val="nextTo"/>
        <c:crossAx val="399780128"/>
        <c:crosses val="autoZero"/>
        <c:crossBetween val="between"/>
      </c:valAx>
      <c:spPr>
        <a:noFill/>
        <a:ln>
          <a:noFill/>
        </a:ln>
        <a:effectLst/>
      </c:spPr>
    </c:plotArea>
    <c:plotVisOnly val="1"/>
    <c:dispBlanksAs val="gap"/>
    <c:showDLblsOverMax val="0"/>
  </c:chart>
  <c:spPr>
    <a:solidFill>
      <a:schemeClr val="lt1"/>
    </a:solidFill>
    <a:ln w="12700">
      <a:solidFill>
        <a:schemeClr val="accent2"/>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dk1"/>
                </a:solidFill>
                <a:latin typeface="+mn-lt"/>
                <a:ea typeface="+mn-ea"/>
                <a:cs typeface="+mn-cs"/>
              </a:defRPr>
            </a:pPr>
            <a:r>
              <a:rPr lang="en-US"/>
              <a:t>Debt to Equity Ratio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dk1"/>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5400000" scaled="0"/>
            </a:gradFill>
            <a:ln>
              <a:noFill/>
            </a:ln>
            <a:effectLst/>
          </c:spPr>
          <c:invertIfNegative val="0"/>
          <c:cat>
            <c:numRef>
              <c:f>'Solvency Ratio'!$F$7:$F$9</c:f>
              <c:numCache>
                <c:formatCode>General</c:formatCode>
                <c:ptCount val="3"/>
                <c:pt idx="0">
                  <c:v>2021</c:v>
                </c:pt>
                <c:pt idx="1">
                  <c:v>2022</c:v>
                </c:pt>
                <c:pt idx="2">
                  <c:v>2023</c:v>
                </c:pt>
              </c:numCache>
            </c:numRef>
          </c:cat>
          <c:val>
            <c:numRef>
              <c:f>'Solvency Ratio'!$G$7:$G$9</c:f>
              <c:numCache>
                <c:formatCode>_(* #,##0.00_);_(* \(#,##0.00\);_(* "-"??_);_(@_)</c:formatCode>
                <c:ptCount val="3"/>
                <c:pt idx="0" formatCode="0.00">
                  <c:v>4.7358544087794412</c:v>
                </c:pt>
                <c:pt idx="1">
                  <c:v>5.1637224499909022</c:v>
                </c:pt>
                <c:pt idx="2">
                  <c:v>10.097541436855762</c:v>
                </c:pt>
              </c:numCache>
            </c:numRef>
          </c:val>
        </c:ser>
        <c:dLbls>
          <c:showLegendKey val="0"/>
          <c:showVal val="0"/>
          <c:showCatName val="0"/>
          <c:showSerName val="0"/>
          <c:showPercent val="0"/>
          <c:showBubbleSize val="0"/>
        </c:dLbls>
        <c:gapWidth val="355"/>
        <c:overlap val="-70"/>
        <c:axId val="405091424"/>
        <c:axId val="405089464"/>
      </c:barChart>
      <c:catAx>
        <c:axId val="40509142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405089464"/>
        <c:crosses val="autoZero"/>
        <c:auto val="1"/>
        <c:lblAlgn val="ctr"/>
        <c:lblOffset val="100"/>
        <c:noMultiLvlLbl val="0"/>
      </c:catAx>
      <c:valAx>
        <c:axId val="405089464"/>
        <c:scaling>
          <c:orientation val="minMax"/>
        </c:scaling>
        <c:delete val="0"/>
        <c:axPos val="l"/>
        <c:majorGridlines>
          <c:spPr>
            <a:ln w="9525">
              <a:gradFill rotWithShape="1">
                <a:gsLst>
                  <a:gs pos="100000">
                    <a:schemeClr val="tx1">
                      <a:lumMod val="5000"/>
                      <a:lumOff val="95000"/>
                    </a:schemeClr>
                  </a:gs>
                  <a:gs pos="0">
                    <a:schemeClr val="tx1">
                      <a:lumMod val="25000"/>
                      <a:lumOff val="7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405091424"/>
        <c:crosses val="autoZero"/>
        <c:crossBetween val="between"/>
      </c:valAx>
      <c:spPr>
        <a:noFill/>
        <a:ln>
          <a:noFill/>
        </a:ln>
        <a:effectLst/>
      </c:spPr>
    </c:plotArea>
    <c:plotVisOnly val="1"/>
    <c:dispBlanksAs val="gap"/>
    <c:showDLblsOverMax val="0"/>
  </c:chart>
  <c:spPr>
    <a:solidFill>
      <a:schemeClr val="accent6">
        <a:lumMod val="20000"/>
        <a:lumOff val="80000"/>
      </a:schemeClr>
    </a:solidFill>
    <a:ln w="6350">
      <a:solidFill>
        <a:schemeClr val="accent6"/>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800" b="1" i="0" u="none" strike="noStrike" kern="1200" cap="all" spc="50" baseline="0">
                <a:solidFill>
                  <a:schemeClr val="dk1"/>
                </a:solidFill>
                <a:latin typeface="+mn-lt"/>
                <a:ea typeface="+mn-ea"/>
                <a:cs typeface="+mn-cs"/>
              </a:defRPr>
            </a:pPr>
            <a:r>
              <a:rPr lang="en-US"/>
              <a:t>Equity Ratio</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dk1"/>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numRef>
              <c:f>'Solvency Ratio'!$F$18:$F$20</c:f>
              <c:numCache>
                <c:formatCode>General</c:formatCode>
                <c:ptCount val="3"/>
                <c:pt idx="0">
                  <c:v>2021</c:v>
                </c:pt>
                <c:pt idx="1">
                  <c:v>2022</c:v>
                </c:pt>
                <c:pt idx="2">
                  <c:v>2023</c:v>
                </c:pt>
              </c:numCache>
            </c:numRef>
          </c:cat>
          <c:val>
            <c:numRef>
              <c:f>'Solvency Ratio'!$G$18:$G$20</c:f>
              <c:numCache>
                <c:formatCode>0%</c:formatCode>
                <c:ptCount val="3"/>
                <c:pt idx="0">
                  <c:v>0.17434207730248796</c:v>
                </c:pt>
                <c:pt idx="1">
                  <c:v>0.16223962193519534</c:v>
                </c:pt>
                <c:pt idx="2">
                  <c:v>9.0110048760793593E-2</c:v>
                </c:pt>
              </c:numCache>
            </c:numRef>
          </c:val>
        </c:ser>
        <c:dLbls>
          <c:showLegendKey val="0"/>
          <c:showVal val="0"/>
          <c:showCatName val="0"/>
          <c:showSerName val="0"/>
          <c:showPercent val="0"/>
          <c:showBubbleSize val="0"/>
        </c:dLbls>
        <c:gapWidth val="355"/>
        <c:overlap val="-70"/>
        <c:axId val="405094952"/>
        <c:axId val="405089856"/>
      </c:barChart>
      <c:catAx>
        <c:axId val="405094952"/>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405089856"/>
        <c:crosses val="autoZero"/>
        <c:auto val="1"/>
        <c:lblAlgn val="ctr"/>
        <c:lblOffset val="100"/>
        <c:noMultiLvlLbl val="0"/>
      </c:catAx>
      <c:valAx>
        <c:axId val="405089856"/>
        <c:scaling>
          <c:orientation val="minMax"/>
        </c:scaling>
        <c:delete val="0"/>
        <c:axPos val="l"/>
        <c:majorGridlines>
          <c:spPr>
            <a:ln w="9525">
              <a:gradFill rotWithShape="1">
                <a:gsLst>
                  <a:gs pos="100000">
                    <a:schemeClr val="tx1">
                      <a:lumMod val="5000"/>
                      <a:lumOff val="95000"/>
                    </a:schemeClr>
                  </a:gs>
                  <a:gs pos="0">
                    <a:schemeClr val="tx1">
                      <a:lumMod val="25000"/>
                      <a:lumOff val="7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405094952"/>
        <c:crosses val="autoZero"/>
        <c:crossBetween val="between"/>
      </c:valAx>
      <c:spPr>
        <a:noFill/>
        <a:ln>
          <a:noFill/>
        </a:ln>
        <a:effectLst/>
      </c:spPr>
    </c:plotArea>
    <c:plotVisOnly val="1"/>
    <c:dispBlanksAs val="gap"/>
    <c:showDLblsOverMax val="0"/>
  </c:chart>
  <c:spPr>
    <a:solidFill>
      <a:schemeClr val="accent4">
        <a:lumMod val="20000"/>
        <a:lumOff val="80000"/>
      </a:schemeClr>
    </a:solidFill>
    <a:ln w="12700">
      <a:solidFill>
        <a:schemeClr val="accent2"/>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5">
  <a:schemeClr val="accent2"/>
</cs:colorStyle>
</file>

<file path=word/charts/colors6.xml><?xml version="1.0" encoding="utf-8"?>
<cs:colorStyle xmlns:cs="http://schemas.microsoft.com/office/drawing/2012/chartStyle" xmlns:a="http://schemas.openxmlformats.org/drawingml/2006/main" meth="withinLinear" id="15">
  <a:schemeClr val="accent2"/>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rotWithShape="1">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rotWithShape="1">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2357C-DF51-4152-8659-E18D69980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18</Pages>
  <Words>3239</Words>
  <Characters>18467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Windows User</cp:lastModifiedBy>
  <cp:revision>33</cp:revision>
  <dcterms:created xsi:type="dcterms:W3CDTF">2024-10-28T08:28:00Z</dcterms:created>
  <dcterms:modified xsi:type="dcterms:W3CDTF">2024-11-05T15:03:00Z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7afd9ca6a2c6688702e561dd801f31c95b4f6849e545e3ce21647ee121c19926</vt:lpwstr>
  </property>
</Properties>
</file>