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sidP="007F31CE">
      <w:pPr>
        <w:jc w:val="center"/>
      </w:pPr>
      <w:r>
        <w:rPr>
          <w:noProof/>
        </w:rPr>
        <w:drawing>
          <wp:inline distT="0" distB="0" distL="0" distR="0" wp14:anchorId="319B7E25" wp14:editId="21DE67F3">
            <wp:extent cx="4186451" cy="1388506"/>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979" cy="1390340"/>
                    </a:xfrm>
                    <a:prstGeom prst="rect">
                      <a:avLst/>
                    </a:prstGeom>
                    <a:noFill/>
                  </pic:spPr>
                </pic:pic>
              </a:graphicData>
            </a:graphic>
          </wp:inline>
        </w:drawing>
      </w:r>
    </w:p>
    <w:p w14:paraId="05A13EAD" w14:textId="15EE3251" w:rsidR="00F37B62" w:rsidRDefault="00F37B62"/>
    <w:p w14:paraId="3A2C342B" w14:textId="4CDA3754" w:rsidR="00F37B62" w:rsidRDefault="00F37B62"/>
    <w:p w14:paraId="6A8965F5" w14:textId="4B31DB52" w:rsidR="00F37B62" w:rsidRPr="006833D5" w:rsidRDefault="006833D5" w:rsidP="007F31CE">
      <w:pPr>
        <w:jc w:val="center"/>
        <w:rPr>
          <w:rFonts w:ascii="Arial" w:hAnsi="Arial" w:cs="Arial"/>
          <w:b/>
          <w:bCs/>
          <w:sz w:val="44"/>
          <w:szCs w:val="44"/>
        </w:rPr>
      </w:pPr>
      <w:r w:rsidRPr="006833D5">
        <w:rPr>
          <w:rFonts w:ascii="Arial" w:hAnsi="Arial" w:cs="Arial"/>
          <w:b/>
          <w:bCs/>
          <w:sz w:val="44"/>
          <w:szCs w:val="44"/>
        </w:rPr>
        <w:t>BA (Hons) Leadership and Management</w:t>
      </w:r>
    </w:p>
    <w:p w14:paraId="43FA50BC" w14:textId="395F2E77" w:rsidR="00F37B62" w:rsidRPr="007F31CE" w:rsidRDefault="007F31CE" w:rsidP="007F31CE">
      <w:pPr>
        <w:spacing w:line="600" w:lineRule="auto"/>
        <w:jc w:val="center"/>
        <w:rPr>
          <w:rFonts w:ascii="Arial" w:hAnsi="Arial" w:cs="Arial"/>
        </w:rPr>
      </w:pPr>
      <w:r w:rsidRPr="007F31CE">
        <w:rPr>
          <w:rFonts w:ascii="Arial" w:hAnsi="Arial" w:cs="Arial"/>
        </w:rPr>
        <w:t>(S</w:t>
      </w:r>
      <w:r w:rsidR="00147127">
        <w:rPr>
          <w:rFonts w:ascii="Arial" w:hAnsi="Arial" w:cs="Arial"/>
        </w:rPr>
        <w:t>kills for the workplace)</w:t>
      </w:r>
    </w:p>
    <w:p w14:paraId="1EE10BBF" w14:textId="00222CBE" w:rsidR="00F37B62" w:rsidRDefault="00F37B62" w:rsidP="007F31CE">
      <w:pPr>
        <w:spacing w:line="600" w:lineRule="auto"/>
        <w:jc w:val="center"/>
        <w:rPr>
          <w:rFonts w:ascii="Arial" w:hAnsi="Arial" w:cs="Arial"/>
          <w:b/>
          <w:bCs/>
          <w:i/>
          <w:iCs/>
        </w:rPr>
      </w:pPr>
      <w:r w:rsidRPr="008F4215">
        <w:rPr>
          <w:rFonts w:ascii="Arial" w:hAnsi="Arial" w:cs="Arial"/>
          <w:b/>
          <w:bCs/>
          <w:i/>
          <w:iCs/>
        </w:rPr>
        <w:t>Student Name:</w:t>
      </w:r>
      <w:r w:rsidR="00147127">
        <w:rPr>
          <w:rFonts w:ascii="Arial" w:hAnsi="Arial" w:cs="Arial"/>
          <w:b/>
          <w:bCs/>
          <w:i/>
          <w:iCs/>
        </w:rPr>
        <w:t xml:space="preserve">  Jennifer Nicole Chauca Hernandez </w:t>
      </w:r>
    </w:p>
    <w:p w14:paraId="2372514A" w14:textId="071D51A1" w:rsidR="00147127" w:rsidRPr="008F4215" w:rsidRDefault="00147127" w:rsidP="00147127">
      <w:pPr>
        <w:spacing w:line="600" w:lineRule="auto"/>
        <w:jc w:val="center"/>
        <w:rPr>
          <w:rFonts w:ascii="Arial" w:hAnsi="Arial" w:cs="Arial"/>
          <w:b/>
          <w:bCs/>
          <w:i/>
          <w:iCs/>
        </w:rPr>
      </w:pPr>
      <w:r>
        <w:rPr>
          <w:rFonts w:ascii="Arial" w:hAnsi="Arial" w:cs="Arial"/>
          <w:b/>
          <w:bCs/>
          <w:i/>
          <w:iCs/>
        </w:rPr>
        <w:t xml:space="preserve">Module: Developing and Managing Individuals and Teams </w:t>
      </w:r>
    </w:p>
    <w:p w14:paraId="3F81286F" w14:textId="2FC4BEA9" w:rsidR="007F31CE" w:rsidRPr="00147127" w:rsidRDefault="00F37B62" w:rsidP="00147127">
      <w:pPr>
        <w:spacing w:line="600" w:lineRule="auto"/>
        <w:jc w:val="center"/>
        <w:rPr>
          <w:rFonts w:ascii="Arial" w:hAnsi="Arial" w:cs="Arial"/>
          <w:b/>
          <w:bCs/>
          <w:i/>
          <w:iCs/>
        </w:rPr>
      </w:pPr>
      <w:r w:rsidRPr="008F4215">
        <w:rPr>
          <w:rFonts w:ascii="Arial" w:hAnsi="Arial" w:cs="Arial"/>
          <w:b/>
          <w:bCs/>
          <w:i/>
          <w:iCs/>
        </w:rPr>
        <w:t>Student Number:</w:t>
      </w:r>
      <w:r w:rsidR="00147127">
        <w:rPr>
          <w:rFonts w:ascii="Arial" w:hAnsi="Arial" w:cs="Arial"/>
          <w:b/>
          <w:bCs/>
          <w:i/>
          <w:iCs/>
        </w:rPr>
        <w:t>2410851</w:t>
      </w:r>
    </w:p>
    <w:p w14:paraId="6B299385" w14:textId="249EC539" w:rsidR="003C2732" w:rsidRDefault="00F37B62" w:rsidP="003C2732">
      <w:pPr>
        <w:spacing w:line="600" w:lineRule="auto"/>
        <w:jc w:val="center"/>
        <w:rPr>
          <w:rFonts w:ascii="Arial" w:hAnsi="Arial" w:cs="Arial"/>
          <w:b/>
          <w:bCs/>
          <w:i/>
          <w:iCs/>
        </w:rPr>
      </w:pPr>
      <w:r w:rsidRPr="008F4215">
        <w:rPr>
          <w:rFonts w:ascii="Arial" w:hAnsi="Arial" w:cs="Arial"/>
          <w:b/>
          <w:bCs/>
          <w:i/>
          <w:iCs/>
        </w:rPr>
        <w:t xml:space="preserve">Lecturer </w:t>
      </w:r>
      <w:r w:rsidR="0030696B">
        <w:rPr>
          <w:rFonts w:ascii="Arial" w:hAnsi="Arial" w:cs="Arial"/>
          <w:b/>
          <w:bCs/>
          <w:i/>
          <w:iCs/>
        </w:rPr>
        <w:t xml:space="preserve">leader : Doreen </w:t>
      </w:r>
      <w:r w:rsidR="003C2732">
        <w:rPr>
          <w:rFonts w:ascii="Arial" w:hAnsi="Arial" w:cs="Arial"/>
          <w:b/>
          <w:bCs/>
          <w:i/>
          <w:iCs/>
        </w:rPr>
        <w:t xml:space="preserve">Nyaa Amundam </w:t>
      </w:r>
      <w:r w:rsidR="000B385E">
        <w:rPr>
          <w:rFonts w:ascii="Arial" w:hAnsi="Arial" w:cs="Arial"/>
          <w:b/>
          <w:bCs/>
          <w:i/>
          <w:iCs/>
        </w:rPr>
        <w:t>, Nishi Ramsu</w:t>
      </w:r>
      <w:r w:rsidR="0074580D">
        <w:rPr>
          <w:rFonts w:ascii="Arial" w:hAnsi="Arial" w:cs="Arial"/>
          <w:b/>
          <w:bCs/>
          <w:i/>
          <w:iCs/>
        </w:rPr>
        <w:t xml:space="preserve">rrum </w:t>
      </w:r>
    </w:p>
    <w:p w14:paraId="10717DB3" w14:textId="2C2F52FC" w:rsidR="0074580D" w:rsidRPr="003C2732" w:rsidRDefault="0074580D" w:rsidP="003C2732">
      <w:pPr>
        <w:spacing w:line="600" w:lineRule="auto"/>
        <w:jc w:val="center"/>
        <w:rPr>
          <w:rFonts w:ascii="Arial" w:hAnsi="Arial" w:cs="Arial"/>
          <w:b/>
          <w:bCs/>
          <w:i/>
          <w:iCs/>
        </w:rPr>
      </w:pPr>
      <w:r>
        <w:rPr>
          <w:rFonts w:ascii="Arial" w:hAnsi="Arial" w:cs="Arial"/>
          <w:b/>
          <w:bCs/>
          <w:i/>
          <w:iCs/>
        </w:rPr>
        <w:t xml:space="preserve">Assigment title: component </w:t>
      </w:r>
      <w:r w:rsidR="00602FC5">
        <w:rPr>
          <w:rFonts w:ascii="Arial" w:hAnsi="Arial" w:cs="Arial"/>
          <w:b/>
          <w:bCs/>
          <w:i/>
          <w:iCs/>
        </w:rPr>
        <w:t xml:space="preserve">2 – Individual Report </w:t>
      </w:r>
    </w:p>
    <w:p w14:paraId="1D93CDAE" w14:textId="77777777" w:rsidR="007F31CE" w:rsidRDefault="007F31CE" w:rsidP="007F31CE">
      <w:pPr>
        <w:spacing w:line="600" w:lineRule="auto"/>
        <w:jc w:val="center"/>
        <w:rPr>
          <w:rFonts w:ascii="Arial" w:hAnsi="Arial" w:cs="Arial"/>
          <w:i/>
          <w:iCs/>
        </w:rPr>
      </w:pPr>
    </w:p>
    <w:p w14:paraId="2C69753F" w14:textId="77777777" w:rsidR="007F31CE" w:rsidRDefault="007F31CE" w:rsidP="007F31CE">
      <w:pPr>
        <w:spacing w:line="600" w:lineRule="auto"/>
        <w:jc w:val="center"/>
        <w:rPr>
          <w:rFonts w:ascii="Arial" w:hAnsi="Arial" w:cs="Arial"/>
          <w:i/>
          <w:iCs/>
        </w:rPr>
      </w:pPr>
    </w:p>
    <w:p w14:paraId="456E7B9F" w14:textId="77777777" w:rsidR="007F31CE" w:rsidRPr="00F37B62" w:rsidRDefault="007F31CE" w:rsidP="007F31CE">
      <w:pPr>
        <w:spacing w:line="600" w:lineRule="auto"/>
        <w:jc w:val="center"/>
        <w:rPr>
          <w:rFonts w:ascii="Arial" w:hAnsi="Arial" w:cs="Arial"/>
          <w:i/>
          <w:iCs/>
        </w:rPr>
      </w:pPr>
    </w:p>
    <w:p w14:paraId="300834F4" w14:textId="7BD3BBD6" w:rsidR="545F6007" w:rsidRDefault="545F6007" w:rsidP="00147127">
      <w:pPr>
        <w:spacing w:line="600" w:lineRule="auto"/>
        <w:jc w:val="center"/>
        <w:rPr>
          <w:rFonts w:ascii="Arial" w:hAnsi="Arial" w:cs="Arial"/>
          <w:b/>
          <w:bCs/>
          <w:i/>
          <w:iCs/>
        </w:rPr>
      </w:pPr>
    </w:p>
    <w:p w14:paraId="557D2D02" w14:textId="4FAFE366" w:rsidR="19DF5ED4" w:rsidRDefault="19DF5ED4" w:rsidP="19DF5ED4">
      <w:pPr>
        <w:spacing w:line="600" w:lineRule="auto"/>
        <w:rPr>
          <w:rFonts w:ascii="Arial" w:hAnsi="Arial" w:cs="Arial"/>
          <w:b/>
          <w:bCs/>
          <w:i/>
          <w:iCs/>
        </w:rPr>
      </w:pPr>
    </w:p>
    <w:p w14:paraId="5AA42B3D" w14:textId="55AB8D7C" w:rsidR="19DF5ED4" w:rsidRDefault="19DF5ED4" w:rsidP="19DF5ED4">
      <w:pPr>
        <w:spacing w:line="600" w:lineRule="auto"/>
        <w:rPr>
          <w:rFonts w:ascii="Arial" w:hAnsi="Arial" w:cs="Arial"/>
          <w:b/>
          <w:bCs/>
          <w:i/>
          <w:iCs/>
        </w:rPr>
      </w:pPr>
    </w:p>
    <w:p w14:paraId="48A12DF4" w14:textId="3BDA537D" w:rsidR="19DF5ED4" w:rsidRDefault="19DF5ED4" w:rsidP="19DF5ED4">
      <w:pPr>
        <w:spacing w:line="600" w:lineRule="auto"/>
        <w:rPr>
          <w:rFonts w:ascii="Arial" w:hAnsi="Arial" w:cs="Arial"/>
          <w:b/>
          <w:bCs/>
          <w:i/>
          <w:iCs/>
        </w:rPr>
      </w:pPr>
    </w:p>
    <w:p w14:paraId="048F3136" w14:textId="6FE39698" w:rsidR="19DF5ED4" w:rsidRDefault="19DF5ED4" w:rsidP="19DF5ED4">
      <w:pPr>
        <w:spacing w:line="600" w:lineRule="auto"/>
        <w:rPr>
          <w:rFonts w:ascii="Arial" w:hAnsi="Arial" w:cs="Arial"/>
          <w:b/>
          <w:bCs/>
          <w:i/>
          <w:iCs/>
        </w:rPr>
      </w:pPr>
    </w:p>
    <w:p w14:paraId="71DD1595" w14:textId="586F4BB7" w:rsidR="00720333" w:rsidRPr="00720333" w:rsidRDefault="00720333" w:rsidP="00720333">
      <w:pPr>
        <w:autoSpaceDE w:val="0"/>
        <w:autoSpaceDN w:val="0"/>
        <w:adjustRightInd w:val="0"/>
        <w:spacing w:after="0" w:line="240" w:lineRule="auto"/>
        <w:rPr>
          <w:rFonts w:ascii="Arial" w:hAnsi="Arial" w:cs="Arial"/>
          <w:b/>
          <w:bCs/>
          <w:sz w:val="24"/>
          <w:szCs w:val="24"/>
        </w:rPr>
      </w:pPr>
      <w:r w:rsidRPr="00720333">
        <w:rPr>
          <w:rFonts w:ascii="Arial" w:hAnsi="Arial" w:cs="Arial"/>
          <w:b/>
          <w:bCs/>
          <w:sz w:val="24"/>
          <w:szCs w:val="24"/>
        </w:rPr>
        <w:t xml:space="preserve">Introduction </w:t>
      </w:r>
    </w:p>
    <w:p w14:paraId="029A440F" w14:textId="77777777" w:rsidR="00720333" w:rsidRPr="00720333" w:rsidRDefault="00720333" w:rsidP="00720333">
      <w:pPr>
        <w:autoSpaceDE w:val="0"/>
        <w:autoSpaceDN w:val="0"/>
        <w:adjustRightInd w:val="0"/>
        <w:spacing w:after="0" w:line="240" w:lineRule="auto"/>
        <w:rPr>
          <w:rFonts w:ascii="Arial" w:hAnsi="Arial" w:cs="Arial"/>
          <w:sz w:val="24"/>
          <w:szCs w:val="24"/>
        </w:rPr>
      </w:pPr>
    </w:p>
    <w:p w14:paraId="65BA5A2D" w14:textId="37A5E208"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Organisations operating within the United Kingdom are currently undergoing substantial changes influenced by organisational restructuring, advances in digital technology and the expansion of flexible working practices. Although these developments aim to improve productivity, competitiveness and employee satisfaction, they can also create significant challenges if not implemented effectively. Upon commencing employment within the Human Resources department of a London or Birmingham-based organisation, an unexpectedly high number of employee grievances has revealed underlying issues associated with these changes.</w:t>
      </w:r>
    </w:p>
    <w:p w14:paraId="392266BC" w14:textId="77777777" w:rsidR="00720333" w:rsidRPr="00720333" w:rsidRDefault="00720333" w:rsidP="00720333">
      <w:pPr>
        <w:autoSpaceDE w:val="0"/>
        <w:autoSpaceDN w:val="0"/>
        <w:adjustRightInd w:val="0"/>
        <w:spacing w:after="0" w:line="240" w:lineRule="auto"/>
        <w:rPr>
          <w:rFonts w:ascii="Arial" w:hAnsi="Arial" w:cs="Arial"/>
        </w:rPr>
      </w:pPr>
    </w:p>
    <w:p w14:paraId="77CC13D5" w14:textId="77777777" w:rsid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Senior management has therefore requested a formal report to analyse the key factors contributing to these concerns. This report will explore how business transformation, emerging digital trends and flexible working arrangements impact employees and workplace relations. It will further assess contemporary HR practices designed to address these challenges and critically examine the role of departmental managers in ensuring timely and effective implementation. The report concludes with recommendations intended to reduce grievances, enhance employee wellbeing and support long-term organisational success.</w:t>
      </w:r>
    </w:p>
    <w:p w14:paraId="4BAC1398" w14:textId="77777777" w:rsidR="00720333" w:rsidRDefault="00720333" w:rsidP="00720333">
      <w:pPr>
        <w:autoSpaceDE w:val="0"/>
        <w:autoSpaceDN w:val="0"/>
        <w:adjustRightInd w:val="0"/>
        <w:spacing w:after="0" w:line="240" w:lineRule="auto"/>
        <w:rPr>
          <w:rFonts w:ascii="Arial" w:hAnsi="Arial" w:cs="Arial"/>
        </w:rPr>
      </w:pPr>
    </w:p>
    <w:p w14:paraId="60424D8E" w14:textId="77777777" w:rsidR="00720333" w:rsidRPr="00720333" w:rsidRDefault="00720333" w:rsidP="00720333">
      <w:pPr>
        <w:autoSpaceDE w:val="0"/>
        <w:autoSpaceDN w:val="0"/>
        <w:adjustRightInd w:val="0"/>
        <w:spacing w:after="0" w:line="240" w:lineRule="auto"/>
        <w:rPr>
          <w:rFonts w:ascii="Arial" w:hAnsi="Arial" w:cs="Arial"/>
        </w:rPr>
      </w:pPr>
    </w:p>
    <w:p w14:paraId="40DAAA91" w14:textId="4CFB32CC" w:rsidR="00A367DB" w:rsidRPr="00A367DB" w:rsidRDefault="00720333" w:rsidP="00720333">
      <w:pPr>
        <w:autoSpaceDE w:val="0"/>
        <w:autoSpaceDN w:val="0"/>
        <w:adjustRightInd w:val="0"/>
        <w:spacing w:after="0" w:line="240" w:lineRule="auto"/>
        <w:rPr>
          <w:rFonts w:ascii="Arial" w:hAnsi="Arial" w:cs="Arial"/>
          <w:b/>
          <w:bCs/>
        </w:rPr>
      </w:pPr>
      <w:r w:rsidRPr="00720333">
        <w:rPr>
          <w:rFonts w:ascii="Arial" w:hAnsi="Arial" w:cs="Arial"/>
          <w:b/>
          <w:bCs/>
        </w:rPr>
        <w:t>1.</w:t>
      </w:r>
      <w:r w:rsidR="00825A17">
        <w:rPr>
          <w:rFonts w:ascii="Arial" w:hAnsi="Arial" w:cs="Arial"/>
          <w:b/>
          <w:bCs/>
        </w:rPr>
        <w:t xml:space="preserve">An explanation </w:t>
      </w:r>
      <w:r w:rsidR="00A367DB">
        <w:rPr>
          <w:rFonts w:ascii="Arial" w:hAnsi="Arial" w:cs="Arial"/>
          <w:b/>
          <w:bCs/>
        </w:rPr>
        <w:t xml:space="preserve">of the specific factors </w:t>
      </w:r>
      <w:r w:rsidR="00C66C92">
        <w:rPr>
          <w:rFonts w:ascii="Arial" w:hAnsi="Arial" w:cs="Arial"/>
          <w:b/>
          <w:bCs/>
        </w:rPr>
        <w:t xml:space="preserve">related to </w:t>
      </w:r>
    </w:p>
    <w:p w14:paraId="222EBF1E" w14:textId="77777777" w:rsidR="00720333" w:rsidRPr="00720333" w:rsidRDefault="00720333" w:rsidP="00720333">
      <w:pPr>
        <w:autoSpaceDE w:val="0"/>
        <w:autoSpaceDN w:val="0"/>
        <w:adjustRightInd w:val="0"/>
        <w:spacing w:after="0" w:line="240" w:lineRule="auto"/>
        <w:rPr>
          <w:rFonts w:ascii="Arial" w:hAnsi="Arial" w:cs="Arial"/>
        </w:rPr>
      </w:pPr>
    </w:p>
    <w:p w14:paraId="7DE3DDC7"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Employee grievances within contemporary organisations are increasingly associated with rapid organisational change, technological advancement and evolving working arrangements. One of the primary contributors to employee dissatisfaction is business transformation. Business transformation refers to large-scale organisational change initiatives designed to improve efficiency, competitiveness and long-term sustainability. These initiatives often include restructuring, role redesign, revised performance expectations and cultural change. While transformation is frequently necessary, it can disrupt employees’ sense of stability and predictability. Uncertainty surrounding job security, changes in responsibilities and unclear reporting structures can increase stress and reduce morale. When employees feel insufficiently informed or excluded from decision-making processes, resistance to change may develop, increasing the likelihood of grievances being raised.</w:t>
      </w:r>
    </w:p>
    <w:p w14:paraId="29C0205E" w14:textId="77777777" w:rsidR="00720333" w:rsidRPr="00720333" w:rsidRDefault="00720333" w:rsidP="00720333">
      <w:pPr>
        <w:autoSpaceDE w:val="0"/>
        <w:autoSpaceDN w:val="0"/>
        <w:adjustRightInd w:val="0"/>
        <w:spacing w:after="0" w:line="240" w:lineRule="auto"/>
        <w:rPr>
          <w:rFonts w:ascii="Arial" w:hAnsi="Arial" w:cs="Arial"/>
        </w:rPr>
      </w:pPr>
    </w:p>
    <w:p w14:paraId="4AA68067"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Communication plays a crucial role during periods of transformation. Where communication is limited, inconsistent or overly technical, employees may struggle to understand the purpose and impact of change. This can lead to feelings of mistrust towards management and perceptions that decisions are imposed rather than collaborative. Additionally, transformation often increases workloads as employees adapt to new processes while maintaining existing responsibilities. Without adequate support and resources, this pressure can result in frustration, disengagement and formal complaints.</w:t>
      </w:r>
    </w:p>
    <w:p w14:paraId="7098C97B" w14:textId="77777777" w:rsidR="00720333" w:rsidRPr="00720333" w:rsidRDefault="00720333" w:rsidP="00720333">
      <w:pPr>
        <w:autoSpaceDE w:val="0"/>
        <w:autoSpaceDN w:val="0"/>
        <w:adjustRightInd w:val="0"/>
        <w:spacing w:after="0" w:line="240" w:lineRule="auto"/>
        <w:rPr>
          <w:rFonts w:ascii="Arial" w:hAnsi="Arial" w:cs="Arial"/>
        </w:rPr>
      </w:pPr>
    </w:p>
    <w:p w14:paraId="30765A43"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Digitalisation represents another significant factor influencing employee grievances. The increasing reliance on digital technologies has transformed how work is performed, monitored and managed. Automated systems, digital communication tools and performance-tracking software have improved efficiency but have also introduced new challenges. Employees with limited digital skills may experience anxiety, reduced confidence and fear of job displacement. The rapid pace of technological change can intensify these concerns, particularly when training is insufficient or poorly delivered. As a result, employees may feel unsupported and overwhelmed.</w:t>
      </w:r>
    </w:p>
    <w:p w14:paraId="47718971" w14:textId="77777777" w:rsidR="00720333" w:rsidRPr="00720333" w:rsidRDefault="00720333" w:rsidP="00720333">
      <w:pPr>
        <w:autoSpaceDE w:val="0"/>
        <w:autoSpaceDN w:val="0"/>
        <w:adjustRightInd w:val="0"/>
        <w:spacing w:after="0" w:line="240" w:lineRule="auto"/>
        <w:rPr>
          <w:rFonts w:ascii="Arial" w:hAnsi="Arial" w:cs="Arial"/>
        </w:rPr>
      </w:pPr>
    </w:p>
    <w:p w14:paraId="69B28A5E"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Furthermore, constant connectivity enabled by digital tools can blur the boundaries between work and personal life. Expectations of rapid responses outside normal working hours can contribute to fatigue and burnout. In some organisations, digital monitoring systems are perceived as intrusive, raising concerns related to privacy, fairness and trust. When employees feel excessively monitored or evaluated through data-driven systems without transparency, dissatisfaction and grievances are more likely to occur.</w:t>
      </w:r>
    </w:p>
    <w:p w14:paraId="01731B95" w14:textId="77777777" w:rsidR="00720333" w:rsidRPr="00720333" w:rsidRDefault="00720333" w:rsidP="00720333">
      <w:pPr>
        <w:autoSpaceDE w:val="0"/>
        <w:autoSpaceDN w:val="0"/>
        <w:adjustRightInd w:val="0"/>
        <w:spacing w:after="0" w:line="240" w:lineRule="auto"/>
        <w:rPr>
          <w:rFonts w:ascii="Arial" w:hAnsi="Arial" w:cs="Arial"/>
        </w:rPr>
      </w:pPr>
    </w:p>
    <w:p w14:paraId="37F5D807"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Flexible working arrangements also play a key role in shaping employee experiences. Remote working, hybrid models and flexible hours have become more widespread, offering benefits such as improved work–life balance and increased autonomy. However, when flexible working is poorly managed, it can create new sources of tension. Employees working remotely may experience isolation, reduced visibility and weakened relationships with colleagues. Informal communication and collaboration may decline, negatively affecting engagement and team cohesion.</w:t>
      </w:r>
    </w:p>
    <w:p w14:paraId="6D6D6786" w14:textId="77777777" w:rsidR="00720333" w:rsidRPr="00720333" w:rsidRDefault="00720333" w:rsidP="00720333">
      <w:pPr>
        <w:autoSpaceDE w:val="0"/>
        <w:autoSpaceDN w:val="0"/>
        <w:adjustRightInd w:val="0"/>
        <w:spacing w:after="0" w:line="240" w:lineRule="auto"/>
        <w:rPr>
          <w:rFonts w:ascii="Arial" w:hAnsi="Arial" w:cs="Arial"/>
        </w:rPr>
      </w:pPr>
    </w:p>
    <w:p w14:paraId="192962F6"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Inconsistent access to flexible working opportunities can also generate perceptions of unfair treatment. When decisions regarding flexible work lack transparency or are applied unevenly across teams, employees may feel disadvantaged. Additionally, the absence of clear boundaries can result in longer working hours and difficulty separating work from personal life, contributing to stress and dissatisfaction.</w:t>
      </w:r>
    </w:p>
    <w:p w14:paraId="63C644C4" w14:textId="77777777" w:rsidR="00720333" w:rsidRPr="00720333" w:rsidRDefault="00720333" w:rsidP="00720333">
      <w:pPr>
        <w:autoSpaceDE w:val="0"/>
        <w:autoSpaceDN w:val="0"/>
        <w:adjustRightInd w:val="0"/>
        <w:spacing w:after="0" w:line="240" w:lineRule="auto"/>
        <w:rPr>
          <w:rFonts w:ascii="Arial" w:hAnsi="Arial" w:cs="Arial"/>
        </w:rPr>
      </w:pPr>
    </w:p>
    <w:p w14:paraId="48490565"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Management capability is a critical factor influencing how employees experience organisational change. Line managers are often responsible for implementing transformation initiatives, supporting digital adoption and managing flexible teams. When managers lack training, confidence or clarity, they may struggle to communicate effectively and provide adequate support. Poor leadership, inconsistent decision-making and limited empathy can intensify employee concerns. As managers act as the primary link between senior leadership and employees, their effectiveness has a direct impact on trust, morale and grievance levels.</w:t>
      </w:r>
    </w:p>
    <w:p w14:paraId="3460C6A3" w14:textId="77777777" w:rsidR="00720333" w:rsidRPr="00720333" w:rsidRDefault="00720333" w:rsidP="00720333">
      <w:pPr>
        <w:autoSpaceDE w:val="0"/>
        <w:autoSpaceDN w:val="0"/>
        <w:adjustRightInd w:val="0"/>
        <w:spacing w:after="0" w:line="240" w:lineRule="auto"/>
        <w:rPr>
          <w:rFonts w:ascii="Arial" w:hAnsi="Arial" w:cs="Arial"/>
        </w:rPr>
      </w:pPr>
    </w:p>
    <w:p w14:paraId="7FB137F9"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Overall, organisational transformation, digitalisation and flexible working introduce complex challenges that affect employee wellbeing, engagement and perceptions of fairness. When these factors are not managed effectively, grievances are more likely to arise.</w:t>
      </w:r>
    </w:p>
    <w:p w14:paraId="7ED5F71F" w14:textId="77777777" w:rsidR="00720333" w:rsidRPr="00720333" w:rsidRDefault="00720333" w:rsidP="00720333">
      <w:pPr>
        <w:autoSpaceDE w:val="0"/>
        <w:autoSpaceDN w:val="0"/>
        <w:adjustRightInd w:val="0"/>
        <w:spacing w:after="0" w:line="240" w:lineRule="auto"/>
        <w:rPr>
          <w:rFonts w:ascii="Arial" w:hAnsi="Arial" w:cs="Arial"/>
        </w:rPr>
      </w:pPr>
    </w:p>
    <w:p w14:paraId="64CFCD71" w14:textId="77777777" w:rsidR="00720333" w:rsidRPr="00720333" w:rsidRDefault="00720333" w:rsidP="00720333">
      <w:pPr>
        <w:autoSpaceDE w:val="0"/>
        <w:autoSpaceDN w:val="0"/>
        <w:adjustRightInd w:val="0"/>
        <w:spacing w:after="0" w:line="240" w:lineRule="auto"/>
        <w:rPr>
          <w:rFonts w:ascii="Arial" w:hAnsi="Arial" w:cs="Arial"/>
        </w:rPr>
      </w:pPr>
    </w:p>
    <w:p w14:paraId="42D3FAC5" w14:textId="0F440124"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b/>
          <w:bCs/>
        </w:rPr>
        <w:t xml:space="preserve">2. Evaluation of </w:t>
      </w:r>
      <w:r w:rsidR="00950621">
        <w:rPr>
          <w:rFonts w:ascii="Arial" w:hAnsi="Arial" w:cs="Arial"/>
          <w:b/>
          <w:bCs/>
        </w:rPr>
        <w:t xml:space="preserve"> different </w:t>
      </w:r>
      <w:r w:rsidRPr="00720333">
        <w:rPr>
          <w:rFonts w:ascii="Arial" w:hAnsi="Arial" w:cs="Arial"/>
          <w:b/>
          <w:bCs/>
        </w:rPr>
        <w:t>Contemporary HR Practices</w:t>
      </w:r>
      <w:r w:rsidR="00D41CCB">
        <w:rPr>
          <w:rFonts w:ascii="Arial" w:hAnsi="Arial" w:cs="Arial"/>
          <w:b/>
          <w:bCs/>
        </w:rPr>
        <w:t xml:space="preserve"> to address</w:t>
      </w:r>
      <w:r w:rsidR="004B2828">
        <w:rPr>
          <w:rFonts w:ascii="Arial" w:hAnsi="Arial" w:cs="Arial"/>
          <w:b/>
          <w:bCs/>
        </w:rPr>
        <w:t xml:space="preserve"> each afo</w:t>
      </w:r>
      <w:r w:rsidR="00807FC6">
        <w:rPr>
          <w:rFonts w:ascii="Arial" w:hAnsi="Arial" w:cs="Arial"/>
          <w:b/>
          <w:bCs/>
        </w:rPr>
        <w:t>re</w:t>
      </w:r>
      <w:r w:rsidR="004B2828">
        <w:rPr>
          <w:rFonts w:ascii="Arial" w:hAnsi="Arial" w:cs="Arial"/>
          <w:b/>
          <w:bCs/>
        </w:rPr>
        <w:t>mentioned</w:t>
      </w:r>
      <w:r w:rsidR="00807FC6">
        <w:rPr>
          <w:rFonts w:ascii="Arial" w:hAnsi="Arial" w:cs="Arial"/>
          <w:b/>
          <w:bCs/>
        </w:rPr>
        <w:t xml:space="preserve"> factor </w:t>
      </w:r>
    </w:p>
    <w:p w14:paraId="49962364" w14:textId="77777777" w:rsidR="00720333" w:rsidRDefault="00720333" w:rsidP="00720333">
      <w:pPr>
        <w:autoSpaceDE w:val="0"/>
        <w:autoSpaceDN w:val="0"/>
        <w:adjustRightInd w:val="0"/>
        <w:spacing w:after="0" w:line="240" w:lineRule="auto"/>
        <w:rPr>
          <w:rFonts w:ascii="Arial" w:hAnsi="Arial" w:cs="Arial"/>
        </w:rPr>
      </w:pPr>
    </w:p>
    <w:p w14:paraId="3F744D49" w14:textId="19897690"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b/>
          <w:bCs/>
        </w:rPr>
        <w:t>Change Management and Communication</w:t>
      </w:r>
    </w:p>
    <w:p w14:paraId="6BC5B485" w14:textId="77777777" w:rsidR="00720333" w:rsidRPr="00720333" w:rsidRDefault="00720333" w:rsidP="00720333">
      <w:pPr>
        <w:autoSpaceDE w:val="0"/>
        <w:autoSpaceDN w:val="0"/>
        <w:adjustRightInd w:val="0"/>
        <w:spacing w:after="0" w:line="240" w:lineRule="auto"/>
        <w:rPr>
          <w:rFonts w:ascii="Arial" w:hAnsi="Arial" w:cs="Arial"/>
        </w:rPr>
      </w:pPr>
    </w:p>
    <w:p w14:paraId="1AAB4BB4"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Structured change management practices are essential for addressing the challenges associated with organisational transformation. HR-led change frameworks emphasise transparent communication, employee participation and leadership alignment. By clearly explaining the purpose, benefits and impact of change, HR can reduce uncertainty and resistance.</w:t>
      </w:r>
    </w:p>
    <w:p w14:paraId="3883F5C2" w14:textId="77777777" w:rsidR="00720333" w:rsidRPr="00720333" w:rsidRDefault="00720333" w:rsidP="00720333">
      <w:pPr>
        <w:autoSpaceDE w:val="0"/>
        <w:autoSpaceDN w:val="0"/>
        <w:adjustRightInd w:val="0"/>
        <w:spacing w:after="0" w:line="240" w:lineRule="auto"/>
        <w:rPr>
          <w:rFonts w:ascii="Arial" w:hAnsi="Arial" w:cs="Arial"/>
        </w:rPr>
      </w:pPr>
    </w:p>
    <w:p w14:paraId="3977E440" w14:textId="746D84B3"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Regular communication channels such as team briefings, surveys and feedback sessions enable employees to voice concerns and feel involved in the process. When staff perceive change as inclusive rather than imposed, trust in</w:t>
      </w:r>
      <w:r>
        <w:rPr>
          <w:rFonts w:ascii="Arial" w:hAnsi="Arial" w:cs="Arial"/>
        </w:rPr>
        <w:t xml:space="preserve"> business </w:t>
      </w:r>
      <w:r w:rsidRPr="00720333">
        <w:rPr>
          <w:rFonts w:ascii="Arial" w:hAnsi="Arial" w:cs="Arial"/>
        </w:rPr>
        <w:t>management increases and conflict is reduced.</w:t>
      </w:r>
    </w:p>
    <w:p w14:paraId="477C3DBF" w14:textId="77777777" w:rsidR="00720333" w:rsidRPr="00720333" w:rsidRDefault="00720333" w:rsidP="00720333">
      <w:pPr>
        <w:autoSpaceDE w:val="0"/>
        <w:autoSpaceDN w:val="0"/>
        <w:adjustRightInd w:val="0"/>
        <w:spacing w:after="0" w:line="240" w:lineRule="auto"/>
        <w:rPr>
          <w:rFonts w:ascii="Arial" w:hAnsi="Arial" w:cs="Arial"/>
        </w:rPr>
      </w:pPr>
    </w:p>
    <w:p w14:paraId="0459A1B5"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b/>
          <w:bCs/>
        </w:rPr>
        <w:t>Training and Development Initiatives</w:t>
      </w:r>
    </w:p>
    <w:p w14:paraId="7D9D3DA5" w14:textId="77777777" w:rsidR="00720333" w:rsidRPr="00720333" w:rsidRDefault="00720333" w:rsidP="00720333">
      <w:pPr>
        <w:autoSpaceDE w:val="0"/>
        <w:autoSpaceDN w:val="0"/>
        <w:adjustRightInd w:val="0"/>
        <w:spacing w:after="0" w:line="240" w:lineRule="auto"/>
        <w:rPr>
          <w:rFonts w:ascii="Arial" w:hAnsi="Arial" w:cs="Arial"/>
        </w:rPr>
      </w:pPr>
    </w:p>
    <w:p w14:paraId="1452D92E"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Learning and development strategies play a vital role in supporting employees during digital transformation. HR departments can implement targeted training programmes to improve digital skills and confidence. Online learning platforms, workshops and ongoing professional development opportunities ensure employees remain competent and adaptable.</w:t>
      </w:r>
    </w:p>
    <w:p w14:paraId="49628550" w14:textId="77777777" w:rsidR="00720333" w:rsidRPr="00720333" w:rsidRDefault="00720333" w:rsidP="00720333">
      <w:pPr>
        <w:autoSpaceDE w:val="0"/>
        <w:autoSpaceDN w:val="0"/>
        <w:adjustRightInd w:val="0"/>
        <w:spacing w:after="0" w:line="240" w:lineRule="auto"/>
        <w:rPr>
          <w:rFonts w:ascii="Arial" w:hAnsi="Arial" w:cs="Arial"/>
        </w:rPr>
      </w:pPr>
    </w:p>
    <w:p w14:paraId="63A13277"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Equally important is the development of managerial capability. Leadership training focusing on change management, digital literacy and remote team leadership equips managers to support employees effectively. Investment in development demonstrates organisational commitment and contributes to improved engagement and retention.</w:t>
      </w:r>
    </w:p>
    <w:p w14:paraId="3A19E85B" w14:textId="77777777" w:rsidR="00720333" w:rsidRPr="00720333" w:rsidRDefault="00720333" w:rsidP="00720333">
      <w:pPr>
        <w:autoSpaceDE w:val="0"/>
        <w:autoSpaceDN w:val="0"/>
        <w:adjustRightInd w:val="0"/>
        <w:spacing w:after="0" w:line="240" w:lineRule="auto"/>
        <w:rPr>
          <w:rFonts w:ascii="Arial" w:hAnsi="Arial" w:cs="Arial"/>
        </w:rPr>
      </w:pPr>
    </w:p>
    <w:p w14:paraId="0EF3BED5"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b/>
          <w:bCs/>
        </w:rPr>
        <w:t>Employee Wellbeing Support</w:t>
      </w:r>
    </w:p>
    <w:p w14:paraId="37ECA7B4" w14:textId="77777777" w:rsidR="00720333" w:rsidRPr="00720333" w:rsidRDefault="00720333" w:rsidP="00720333">
      <w:pPr>
        <w:autoSpaceDE w:val="0"/>
        <w:autoSpaceDN w:val="0"/>
        <w:adjustRightInd w:val="0"/>
        <w:spacing w:after="0" w:line="240" w:lineRule="auto"/>
        <w:rPr>
          <w:rFonts w:ascii="Arial" w:hAnsi="Arial" w:cs="Arial"/>
        </w:rPr>
      </w:pPr>
    </w:p>
    <w:p w14:paraId="0CEA7252"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Modern HR practices increasingly recognise the importance of mental health and wellbeing. Support mechanisms such as Employee Assistance Programmes, wellbeing policies and mental health awareness initiatives help employees manage stress related to change and workload pressures.</w:t>
      </w:r>
    </w:p>
    <w:p w14:paraId="376CE26B" w14:textId="77777777" w:rsidR="00720333" w:rsidRDefault="00720333" w:rsidP="00720333">
      <w:pPr>
        <w:autoSpaceDE w:val="0"/>
        <w:autoSpaceDN w:val="0"/>
        <w:adjustRightInd w:val="0"/>
        <w:spacing w:after="0" w:line="240" w:lineRule="auto"/>
        <w:rPr>
          <w:rFonts w:ascii="Arial" w:hAnsi="Arial" w:cs="Arial"/>
        </w:rPr>
      </w:pPr>
    </w:p>
    <w:p w14:paraId="633A2A2A" w14:textId="77777777" w:rsid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HR can also encourage healthy working practices by promoting clear boundaries around working hours and availability, particularly within flexible and remote working environments</w:t>
      </w:r>
    </w:p>
    <w:p w14:paraId="706C7394" w14:textId="3A297354"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These initiatives contribute to a positive workplace culture and help minimise stress-related grievances.</w:t>
      </w:r>
    </w:p>
    <w:p w14:paraId="0B9AFA84" w14:textId="77777777" w:rsidR="00720333" w:rsidRPr="00720333" w:rsidRDefault="00720333" w:rsidP="00720333">
      <w:pPr>
        <w:autoSpaceDE w:val="0"/>
        <w:autoSpaceDN w:val="0"/>
        <w:adjustRightInd w:val="0"/>
        <w:spacing w:after="0" w:line="240" w:lineRule="auto"/>
        <w:rPr>
          <w:rFonts w:ascii="Arial" w:hAnsi="Arial" w:cs="Arial"/>
        </w:rPr>
      </w:pPr>
    </w:p>
    <w:p w14:paraId="53895645"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b/>
          <w:bCs/>
        </w:rPr>
        <w:t>Flexible Working Policies and Inclusion</w:t>
      </w:r>
    </w:p>
    <w:p w14:paraId="0322C5D2" w14:textId="77777777" w:rsidR="00720333" w:rsidRDefault="00720333" w:rsidP="00720333">
      <w:pPr>
        <w:autoSpaceDE w:val="0"/>
        <w:autoSpaceDN w:val="0"/>
        <w:adjustRightInd w:val="0"/>
        <w:spacing w:after="0" w:line="240" w:lineRule="auto"/>
        <w:rPr>
          <w:rFonts w:ascii="AppleSystemUIFont" w:hAnsi="AppleSystemUIFont" w:cs="AppleSystemUIFont"/>
          <w:sz w:val="26"/>
          <w:szCs w:val="26"/>
        </w:rPr>
      </w:pPr>
    </w:p>
    <w:p w14:paraId="680BB964"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Clear and inclusive flexible working policies represent a further key HR practice. HR must ensure that flexible working arrangements are transparent, consistently applied and aligned with organisational needs. Policies should clearly outline expectations regarding availability, communication and performance management to reduce ambiguity. Consistency in decision-making helps to minimise perceptions of favouritism or inequality. Monitoring the impact of flexible working on productivity, engagement and inclusion enables HR to identify potential issues and make necessary adjustments.</w:t>
      </w:r>
    </w:p>
    <w:p w14:paraId="24D422B3" w14:textId="77777777" w:rsidR="00720333" w:rsidRPr="00720333" w:rsidRDefault="00720333" w:rsidP="00720333">
      <w:pPr>
        <w:autoSpaceDE w:val="0"/>
        <w:autoSpaceDN w:val="0"/>
        <w:adjustRightInd w:val="0"/>
        <w:spacing w:after="0" w:line="240" w:lineRule="auto"/>
        <w:rPr>
          <w:rFonts w:ascii="Arial" w:hAnsi="Arial" w:cs="Arial"/>
        </w:rPr>
      </w:pPr>
    </w:p>
    <w:p w14:paraId="7943F0AF"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Contemporary HR practice increasingly relies on data-driven decision-making. HR analytics can be used to identify trends in grievances, absence, turnover and engagement, allowing early intervention where problems arise. By analysing workforce data, HR can tailor interventions to specific teams or employee groups, improving effectiveness. This proactive approach supports preventative people management rather than reactive responses to conflict.</w:t>
      </w:r>
    </w:p>
    <w:p w14:paraId="3E756A9A" w14:textId="77777777" w:rsidR="00720333" w:rsidRPr="00720333" w:rsidRDefault="00720333" w:rsidP="00720333">
      <w:pPr>
        <w:autoSpaceDE w:val="0"/>
        <w:autoSpaceDN w:val="0"/>
        <w:adjustRightInd w:val="0"/>
        <w:spacing w:after="0" w:line="240" w:lineRule="auto"/>
        <w:rPr>
          <w:rFonts w:ascii="Arial" w:hAnsi="Arial" w:cs="Arial"/>
        </w:rPr>
      </w:pPr>
    </w:p>
    <w:p w14:paraId="3987678B"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Finally, robust HR policies and procedures provide a foundation for fairness and consistency across the organisation. Clear grievance procedures, equality policies and performance management systems ensure that employees understand their rights and responsibilities. When policies are applied consistently and managers are supported by HR guidance, trust in organisational processes is strengthened. Overall, contemporary HR practices play a vital role in managing change, supporting employees and maintaining positive workplace relations, thereby reducing grievances and supporting long-term organisational success.</w:t>
      </w:r>
    </w:p>
    <w:p w14:paraId="56BF775F" w14:textId="77777777" w:rsidR="00720333" w:rsidRPr="00720333" w:rsidRDefault="00720333" w:rsidP="00720333">
      <w:pPr>
        <w:autoSpaceDE w:val="0"/>
        <w:autoSpaceDN w:val="0"/>
        <w:adjustRightInd w:val="0"/>
        <w:spacing w:after="0" w:line="240" w:lineRule="auto"/>
        <w:rPr>
          <w:rFonts w:ascii="Arial" w:hAnsi="Arial" w:cs="Arial"/>
        </w:rPr>
      </w:pPr>
    </w:p>
    <w:p w14:paraId="143CA1FF" w14:textId="77777777" w:rsidR="00720333" w:rsidRDefault="00720333" w:rsidP="00720333">
      <w:pPr>
        <w:autoSpaceDE w:val="0"/>
        <w:autoSpaceDN w:val="0"/>
        <w:adjustRightInd w:val="0"/>
        <w:spacing w:after="0" w:line="240" w:lineRule="auto"/>
        <w:rPr>
          <w:rFonts w:ascii="Arial" w:hAnsi="Arial" w:cs="Arial"/>
          <w:b/>
          <w:bCs/>
        </w:rPr>
      </w:pPr>
    </w:p>
    <w:p w14:paraId="295FBD9C" w14:textId="113ACEBF"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b/>
          <w:bCs/>
        </w:rPr>
        <w:t xml:space="preserve">3. </w:t>
      </w:r>
      <w:r w:rsidR="006944CB">
        <w:rPr>
          <w:rFonts w:ascii="Arial" w:hAnsi="Arial" w:cs="Arial"/>
          <w:b/>
          <w:bCs/>
        </w:rPr>
        <w:t xml:space="preserve">A critical </w:t>
      </w:r>
      <w:r w:rsidR="00EA1221">
        <w:rPr>
          <w:rFonts w:ascii="Arial" w:hAnsi="Arial" w:cs="Arial"/>
          <w:b/>
          <w:bCs/>
        </w:rPr>
        <w:t xml:space="preserve">evaluation of how departmental managers can ensure </w:t>
      </w:r>
      <w:r w:rsidR="00753D5A">
        <w:rPr>
          <w:rFonts w:ascii="Arial" w:hAnsi="Arial" w:cs="Arial"/>
          <w:b/>
          <w:bCs/>
        </w:rPr>
        <w:t xml:space="preserve">these contemporary practices are being implemented as </w:t>
      </w:r>
      <w:r w:rsidR="007748CF">
        <w:rPr>
          <w:rFonts w:ascii="Arial" w:hAnsi="Arial" w:cs="Arial"/>
          <w:b/>
          <w:bCs/>
        </w:rPr>
        <w:t xml:space="preserve">a matter </w:t>
      </w:r>
      <w:r w:rsidR="0082554B">
        <w:rPr>
          <w:rFonts w:ascii="Arial" w:hAnsi="Arial" w:cs="Arial"/>
          <w:b/>
          <w:bCs/>
        </w:rPr>
        <w:t xml:space="preserve">of urgency </w:t>
      </w:r>
    </w:p>
    <w:p w14:paraId="58F9CBAF" w14:textId="77777777" w:rsidR="00720333" w:rsidRPr="00720333" w:rsidRDefault="00720333" w:rsidP="00720333">
      <w:pPr>
        <w:autoSpaceDE w:val="0"/>
        <w:autoSpaceDN w:val="0"/>
        <w:adjustRightInd w:val="0"/>
        <w:spacing w:after="0" w:line="240" w:lineRule="auto"/>
        <w:rPr>
          <w:rFonts w:ascii="Arial" w:hAnsi="Arial" w:cs="Arial"/>
        </w:rPr>
      </w:pPr>
    </w:p>
    <w:p w14:paraId="135514E0" w14:textId="77777777" w:rsid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Departmental managers play a crucial role in the successful implementation of HR practices, particularly during periods of organisational change. While HR policies provide structure and guidance, it is managers who translate these policies into everyday practice. Their actions significantly influence employee perceptions, engagement and the likelihood of grievances.</w:t>
      </w:r>
    </w:p>
    <w:p w14:paraId="420E9EA8" w14:textId="77777777" w:rsidR="00720333" w:rsidRPr="00720333" w:rsidRDefault="00720333" w:rsidP="00720333">
      <w:pPr>
        <w:autoSpaceDE w:val="0"/>
        <w:autoSpaceDN w:val="0"/>
        <w:adjustRightInd w:val="0"/>
        <w:spacing w:after="0" w:line="240" w:lineRule="auto"/>
        <w:rPr>
          <w:rFonts w:ascii="Arial" w:hAnsi="Arial" w:cs="Arial"/>
        </w:rPr>
      </w:pPr>
    </w:p>
    <w:p w14:paraId="45E95F3C"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Effective communication is one of the most important managerial responsibilities. During organisational transformation, employees often rely on their immediate managers for clarity and reassurance. Managers are expected to explain changes accurately, address concerns and provide consistent messages aligned with organisational objectives. When communication is unclear or inconsistent, employees may experience confusion and uncertainty, which can increase dissatisfaction and grievances. Managers who communicate openly and empathetically are more likely to build trust and reduce resistance to change.</w:t>
      </w:r>
    </w:p>
    <w:p w14:paraId="24F75039" w14:textId="77777777" w:rsidR="00720333" w:rsidRPr="00720333" w:rsidRDefault="00720333" w:rsidP="00720333">
      <w:pPr>
        <w:autoSpaceDE w:val="0"/>
        <w:autoSpaceDN w:val="0"/>
        <w:adjustRightInd w:val="0"/>
        <w:spacing w:after="0" w:line="240" w:lineRule="auto"/>
        <w:rPr>
          <w:rFonts w:ascii="Arial" w:hAnsi="Arial" w:cs="Arial"/>
        </w:rPr>
      </w:pPr>
    </w:p>
    <w:p w14:paraId="3ECD62DD" w14:textId="77777777" w:rsid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Managers also play a key role in supporting digital transformation. As new technologies are introduced, managers are expected to demonstrate competence and a positive attitude towards change. By engaging with training opportunities and modelling effective use of digital tools, managers encourage employees to adapt more confidently. Conversely, managerial resistance or lack of digital capability can undermine HR initiatives and create frustration within teams. This highlights the importance of equipping managers with appropriate training and ongoing support.</w:t>
      </w:r>
    </w:p>
    <w:p w14:paraId="68568F0D" w14:textId="77777777" w:rsidR="00720333" w:rsidRPr="00720333" w:rsidRDefault="00720333" w:rsidP="00720333">
      <w:pPr>
        <w:autoSpaceDE w:val="0"/>
        <w:autoSpaceDN w:val="0"/>
        <w:adjustRightInd w:val="0"/>
        <w:spacing w:after="0" w:line="240" w:lineRule="auto"/>
        <w:rPr>
          <w:rFonts w:ascii="Arial" w:hAnsi="Arial" w:cs="Arial"/>
        </w:rPr>
      </w:pPr>
    </w:p>
    <w:p w14:paraId="5BBACC99" w14:textId="77777777" w:rsid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In flexible working environments, the role of managers becomes increasingly complex. Managers must balance flexibility with accountability, shifting their focus from physical presence to performance outcomes. This requires trust-based leadership, clear goal-setting and regular communication. Managers who struggle to adapt to this approach may unintentionally create perceptions of unfairness, particularly if flexible working arrangements are managed inconsistently. Inclusive management practices are therefore essential to ensure all employees feel valued and supported, regardless of their working arrangements.</w:t>
      </w:r>
    </w:p>
    <w:p w14:paraId="2847F27C" w14:textId="77777777" w:rsidR="00720333" w:rsidRDefault="00720333" w:rsidP="00720333">
      <w:pPr>
        <w:autoSpaceDE w:val="0"/>
        <w:autoSpaceDN w:val="0"/>
        <w:adjustRightInd w:val="0"/>
        <w:spacing w:after="0" w:line="240" w:lineRule="auto"/>
        <w:rPr>
          <w:rFonts w:ascii="Arial" w:hAnsi="Arial" w:cs="Arial"/>
        </w:rPr>
      </w:pPr>
    </w:p>
    <w:p w14:paraId="6B2E3DE9" w14:textId="77777777" w:rsid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However, the effectiveness of managers in urgent implementation is often constrained by workload pressures and competing priorities. Managers may be required to meet performance targets while simultaneously managing change, supporting wellbeing and implementing new HR practices. Without sufficient time, resources and support from HR and senior leadership, managers may struggle to prioritise people management responsibilities. This can result in inconsistent application of policies and increased grievances. Critically, this demonstrates that while managers are central to implementation, organisational commitment, training and accountability mechanisms are equally important. Successful implementation depends on a shared responsibility between HR, managers and senior leadership to support employees effectively during periods of change.</w:t>
      </w:r>
    </w:p>
    <w:p w14:paraId="12780BF9" w14:textId="77777777" w:rsidR="00720333" w:rsidRDefault="00720333" w:rsidP="00720333">
      <w:pPr>
        <w:autoSpaceDE w:val="0"/>
        <w:autoSpaceDN w:val="0"/>
        <w:adjustRightInd w:val="0"/>
        <w:spacing w:after="0" w:line="240" w:lineRule="auto"/>
        <w:rPr>
          <w:rFonts w:ascii="Arial" w:hAnsi="Arial" w:cs="Arial"/>
        </w:rPr>
      </w:pPr>
    </w:p>
    <w:p w14:paraId="5423A3D0" w14:textId="0E950B6C"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Critically, responsibility for successful implementation should not rest solely with departmental managers. Senior leadership commitment, clear organisational priorities and ongoing HR guidance are essential. When managers are provided with appropriate training, resources and accountability mechanisms, they are more likely to implement HR practices consistently and effectively. Strong managerial leadership, supported by HR and senior management, is therefore essential for managing change, supporting employees and maintaining positive workplace relations.</w:t>
      </w:r>
    </w:p>
    <w:p w14:paraId="3950B0FD" w14:textId="77777777" w:rsidR="00720333" w:rsidRPr="00720333" w:rsidRDefault="00720333" w:rsidP="00720333">
      <w:pPr>
        <w:autoSpaceDE w:val="0"/>
        <w:autoSpaceDN w:val="0"/>
        <w:adjustRightInd w:val="0"/>
        <w:spacing w:after="0" w:line="240" w:lineRule="auto"/>
        <w:rPr>
          <w:rFonts w:ascii="Arial" w:hAnsi="Arial" w:cs="Arial"/>
          <w:b/>
          <w:bCs/>
        </w:rPr>
      </w:pPr>
    </w:p>
    <w:p w14:paraId="3F888120" w14:textId="77777777" w:rsidR="00720333" w:rsidRPr="00720333" w:rsidRDefault="00720333" w:rsidP="00720333">
      <w:pPr>
        <w:autoSpaceDE w:val="0"/>
        <w:autoSpaceDN w:val="0"/>
        <w:adjustRightInd w:val="0"/>
        <w:spacing w:after="0" w:line="240" w:lineRule="auto"/>
        <w:rPr>
          <w:rFonts w:ascii="Arial" w:hAnsi="Arial" w:cs="Arial"/>
          <w:b/>
          <w:bCs/>
        </w:rPr>
      </w:pPr>
    </w:p>
    <w:p w14:paraId="25620A92" w14:textId="0A1A23E4"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b/>
          <w:bCs/>
        </w:rPr>
        <w:t>Conclusion</w:t>
      </w:r>
      <w:r>
        <w:rPr>
          <w:rFonts w:ascii="Arial" w:hAnsi="Arial" w:cs="Arial"/>
          <w:b/>
          <w:bCs/>
        </w:rPr>
        <w:t xml:space="preserve"> </w:t>
      </w:r>
    </w:p>
    <w:p w14:paraId="3D3C5396" w14:textId="77777777" w:rsidR="00720333" w:rsidRPr="00720333" w:rsidRDefault="00720333" w:rsidP="00720333">
      <w:pPr>
        <w:autoSpaceDE w:val="0"/>
        <w:autoSpaceDN w:val="0"/>
        <w:adjustRightInd w:val="0"/>
        <w:spacing w:after="0" w:line="240" w:lineRule="auto"/>
        <w:rPr>
          <w:rFonts w:ascii="Arial" w:hAnsi="Arial" w:cs="Arial"/>
        </w:rPr>
      </w:pPr>
    </w:p>
    <w:p w14:paraId="4E5F8572"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Overall, organisational change, technological advancement and flexible working are integral to contemporary employment practices in the UK. While these developments offer clear advantages, they also present challenges that can contribute to employee dissatisfaction and grievances if not managed carefully. The analysis demonstrates that effective HR interventions and capable managerial leadership are essential in addressing these issues.</w:t>
      </w:r>
    </w:p>
    <w:p w14:paraId="418F4C18" w14:textId="77777777" w:rsidR="00720333" w:rsidRPr="00720333" w:rsidRDefault="00720333" w:rsidP="00720333">
      <w:pPr>
        <w:autoSpaceDE w:val="0"/>
        <w:autoSpaceDN w:val="0"/>
        <w:adjustRightInd w:val="0"/>
        <w:spacing w:after="0" w:line="240" w:lineRule="auto"/>
        <w:rPr>
          <w:rFonts w:ascii="Arial" w:hAnsi="Arial" w:cs="Arial"/>
        </w:rPr>
      </w:pPr>
    </w:p>
    <w:p w14:paraId="3166FADA" w14:textId="77777777" w:rsidR="00720333" w:rsidRPr="00720333" w:rsidRDefault="00720333" w:rsidP="00720333">
      <w:pPr>
        <w:autoSpaceDE w:val="0"/>
        <w:autoSpaceDN w:val="0"/>
        <w:adjustRightInd w:val="0"/>
        <w:spacing w:after="0" w:line="240" w:lineRule="auto"/>
        <w:rPr>
          <w:rFonts w:ascii="Arial" w:hAnsi="Arial" w:cs="Arial"/>
          <w:b/>
          <w:bCs/>
        </w:rPr>
      </w:pPr>
      <w:r w:rsidRPr="00720333">
        <w:rPr>
          <w:rFonts w:ascii="Arial" w:hAnsi="Arial" w:cs="Arial"/>
          <w:b/>
          <w:bCs/>
        </w:rPr>
        <w:t>Recommendations</w:t>
      </w:r>
    </w:p>
    <w:p w14:paraId="6336C7CB" w14:textId="77777777" w:rsidR="00720333" w:rsidRPr="00720333" w:rsidRDefault="00720333" w:rsidP="00720333">
      <w:pPr>
        <w:autoSpaceDE w:val="0"/>
        <w:autoSpaceDN w:val="0"/>
        <w:adjustRightInd w:val="0"/>
        <w:spacing w:after="0" w:line="240" w:lineRule="auto"/>
        <w:rPr>
          <w:rFonts w:ascii="Arial" w:hAnsi="Arial" w:cs="Arial"/>
        </w:rPr>
      </w:pPr>
    </w:p>
    <w:p w14:paraId="56B257A2" w14:textId="54B2F0E9" w:rsidR="00720333" w:rsidRPr="00720333" w:rsidRDefault="00720333" w:rsidP="00720333">
      <w:pPr>
        <w:pStyle w:val="ListParagraph"/>
        <w:numPr>
          <w:ilvl w:val="0"/>
          <w:numId w:val="1"/>
        </w:numPr>
        <w:autoSpaceDE w:val="0"/>
        <w:autoSpaceDN w:val="0"/>
        <w:adjustRightInd w:val="0"/>
        <w:spacing w:after="0" w:line="240" w:lineRule="auto"/>
        <w:rPr>
          <w:rFonts w:ascii="Arial" w:hAnsi="Arial" w:cs="Arial"/>
        </w:rPr>
      </w:pPr>
      <w:r w:rsidRPr="00720333">
        <w:rPr>
          <w:rFonts w:ascii="Arial" w:hAnsi="Arial" w:cs="Arial"/>
        </w:rPr>
        <w:t>Establish structured and inclusive approaches to organisational change.</w:t>
      </w:r>
    </w:p>
    <w:p w14:paraId="10EC4F82" w14:textId="77777777" w:rsidR="00720333" w:rsidRPr="00720333" w:rsidRDefault="00720333" w:rsidP="00720333">
      <w:pPr>
        <w:autoSpaceDE w:val="0"/>
        <w:autoSpaceDN w:val="0"/>
        <w:adjustRightInd w:val="0"/>
        <w:spacing w:after="0" w:line="240" w:lineRule="auto"/>
        <w:ind w:left="720"/>
        <w:rPr>
          <w:rFonts w:ascii="Arial" w:hAnsi="Arial" w:cs="Arial"/>
        </w:rPr>
      </w:pPr>
    </w:p>
    <w:p w14:paraId="648A03B2" w14:textId="1DBCA945" w:rsidR="00720333" w:rsidRPr="00720333" w:rsidRDefault="00720333" w:rsidP="00720333">
      <w:pPr>
        <w:pStyle w:val="ListParagraph"/>
        <w:numPr>
          <w:ilvl w:val="0"/>
          <w:numId w:val="1"/>
        </w:numPr>
        <w:autoSpaceDE w:val="0"/>
        <w:autoSpaceDN w:val="0"/>
        <w:adjustRightInd w:val="0"/>
        <w:spacing w:after="0" w:line="240" w:lineRule="auto"/>
        <w:rPr>
          <w:rFonts w:ascii="Arial" w:hAnsi="Arial" w:cs="Arial"/>
        </w:rPr>
      </w:pPr>
      <w:r w:rsidRPr="00720333">
        <w:rPr>
          <w:rFonts w:ascii="Arial" w:hAnsi="Arial" w:cs="Arial"/>
        </w:rPr>
        <w:t>Invest in ongoing training to strengthen digital and leadership</w:t>
      </w:r>
    </w:p>
    <w:p w14:paraId="12D8C4E9" w14:textId="48412510"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 xml:space="preserve">                         capability.</w:t>
      </w:r>
    </w:p>
    <w:p w14:paraId="5EB44921" w14:textId="77777777" w:rsidR="00720333" w:rsidRDefault="00720333" w:rsidP="00720333">
      <w:pPr>
        <w:pStyle w:val="ListParagraph"/>
        <w:numPr>
          <w:ilvl w:val="0"/>
          <w:numId w:val="1"/>
        </w:numPr>
        <w:autoSpaceDE w:val="0"/>
        <w:autoSpaceDN w:val="0"/>
        <w:adjustRightInd w:val="0"/>
        <w:spacing w:after="0" w:line="240" w:lineRule="auto"/>
        <w:rPr>
          <w:rFonts w:ascii="Arial" w:hAnsi="Arial" w:cs="Arial"/>
        </w:rPr>
      </w:pPr>
      <w:r w:rsidRPr="00720333">
        <w:rPr>
          <w:rFonts w:ascii="Arial" w:hAnsi="Arial" w:cs="Arial"/>
        </w:rPr>
        <w:t>Expand wellbeing support and promote healthy working practice</w:t>
      </w:r>
    </w:p>
    <w:p w14:paraId="62A7016E" w14:textId="014C1452" w:rsidR="00720333" w:rsidRPr="00720333" w:rsidRDefault="00720333" w:rsidP="00720333">
      <w:pPr>
        <w:pStyle w:val="ListParagraph"/>
        <w:numPr>
          <w:ilvl w:val="0"/>
          <w:numId w:val="1"/>
        </w:numPr>
        <w:autoSpaceDE w:val="0"/>
        <w:autoSpaceDN w:val="0"/>
        <w:adjustRightInd w:val="0"/>
        <w:spacing w:after="0" w:line="240" w:lineRule="auto"/>
        <w:rPr>
          <w:rFonts w:ascii="Arial" w:hAnsi="Arial" w:cs="Arial"/>
        </w:rPr>
      </w:pPr>
      <w:r w:rsidRPr="00720333">
        <w:rPr>
          <w:rFonts w:ascii="Arial" w:hAnsi="Arial" w:cs="Arial"/>
        </w:rPr>
        <w:t xml:space="preserve">Ensure flexible working policies are transparent and consistently </w:t>
      </w:r>
    </w:p>
    <w:p w14:paraId="4414B7C8" w14:textId="7CAF31E6"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 xml:space="preserve">                          applied.</w:t>
      </w:r>
    </w:p>
    <w:p w14:paraId="506293F4" w14:textId="77777777" w:rsidR="00720333" w:rsidRPr="00720333" w:rsidRDefault="00720333" w:rsidP="00720333">
      <w:pPr>
        <w:autoSpaceDE w:val="0"/>
        <w:autoSpaceDN w:val="0"/>
        <w:adjustRightInd w:val="0"/>
        <w:spacing w:after="0" w:line="240" w:lineRule="auto"/>
        <w:rPr>
          <w:rFonts w:ascii="Arial" w:hAnsi="Arial" w:cs="Arial"/>
        </w:rPr>
      </w:pPr>
    </w:p>
    <w:p w14:paraId="1B98B700" w14:textId="77777777" w:rsidR="00720333" w:rsidRPr="00720333" w:rsidRDefault="00720333" w:rsidP="00720333">
      <w:pPr>
        <w:autoSpaceDE w:val="0"/>
        <w:autoSpaceDN w:val="0"/>
        <w:adjustRightInd w:val="0"/>
        <w:spacing w:after="0" w:line="240" w:lineRule="auto"/>
        <w:rPr>
          <w:rFonts w:ascii="Arial" w:hAnsi="Arial" w:cs="Arial"/>
        </w:rPr>
      </w:pPr>
      <w:r w:rsidRPr="00720333">
        <w:rPr>
          <w:rFonts w:ascii="Arial" w:hAnsi="Arial" w:cs="Arial"/>
        </w:rPr>
        <w:tab/>
        <w:t>5.</w:t>
      </w:r>
      <w:r w:rsidRPr="00720333">
        <w:rPr>
          <w:rFonts w:ascii="Arial" w:hAnsi="Arial" w:cs="Arial"/>
        </w:rPr>
        <w:tab/>
        <w:t>Strengthen managerial accountability through training and HR support.</w:t>
      </w:r>
    </w:p>
    <w:p w14:paraId="4CB13B96" w14:textId="77777777" w:rsidR="00720333" w:rsidRPr="00720333" w:rsidRDefault="00720333" w:rsidP="00720333">
      <w:pPr>
        <w:autoSpaceDE w:val="0"/>
        <w:autoSpaceDN w:val="0"/>
        <w:adjustRightInd w:val="0"/>
        <w:spacing w:after="0" w:line="240" w:lineRule="auto"/>
        <w:rPr>
          <w:rFonts w:ascii="Arial" w:hAnsi="Arial" w:cs="Arial"/>
        </w:rPr>
      </w:pPr>
    </w:p>
    <w:p w14:paraId="7F7219A5" w14:textId="4647D95C" w:rsidR="00720333" w:rsidRPr="00720333" w:rsidRDefault="00720333" w:rsidP="00720333">
      <w:pPr>
        <w:spacing w:line="600" w:lineRule="auto"/>
        <w:rPr>
          <w:rFonts w:ascii="Arial" w:hAnsi="Arial" w:cs="Arial"/>
          <w:i/>
          <w:iCs/>
        </w:rPr>
      </w:pPr>
      <w:r w:rsidRPr="00720333">
        <w:rPr>
          <w:rFonts w:ascii="Arial" w:hAnsi="Arial" w:cs="Arial"/>
        </w:rPr>
        <w:t>Adopting these recommendations will help reduce grievances, enhance employee confidence and support long-term organisational stability.</w:t>
      </w:r>
    </w:p>
    <w:p w14:paraId="00FA2712" w14:textId="1A8BA959" w:rsidR="0087128B" w:rsidRDefault="00720333" w:rsidP="19DF5ED4">
      <w:pPr>
        <w:spacing w:line="600" w:lineRule="auto"/>
        <w:rPr>
          <w:rFonts w:ascii="Arial" w:hAnsi="Arial" w:cs="Arial"/>
          <w:b/>
          <w:bCs/>
          <w:i/>
          <w:iCs/>
        </w:rPr>
      </w:pPr>
      <w:r>
        <w:rPr>
          <w:rFonts w:ascii="Arial" w:hAnsi="Arial" w:cs="Arial"/>
          <w:b/>
          <w:bCs/>
          <w:i/>
          <w:iCs/>
        </w:rPr>
        <w:t xml:space="preserve">List of references </w:t>
      </w:r>
    </w:p>
    <w:p w14:paraId="60B6DE4B" w14:textId="6D829FE9"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r>
        <w:rPr>
          <w:rFonts w:ascii="AppleSystemUIFont" w:hAnsi="AppleSystemUIFont" w:cs="AppleSystemUIFont"/>
          <w:sz w:val="26"/>
          <w:szCs w:val="26"/>
        </w:rPr>
        <w:fldChar w:fldCharType="begin"/>
      </w:r>
      <w:r>
        <w:rPr>
          <w:rFonts w:ascii="AppleSystemUIFont" w:hAnsi="AppleSystemUIFont" w:cs="AppleSystemUIFont"/>
          <w:sz w:val="26"/>
          <w:szCs w:val="26"/>
        </w:rPr>
        <w:instrText>HYPERLINK "Armstrong,%20M.%20and%20Taylor,%20S.%20(2023)%20Armstrong’s%20Handbook%20of%20Human%20Resource%20Management%20Practice.%2016th%20edn.%20London:%20Kogan%20Page.%20%20Chartered%20Institute%20of%20Personnel%20and%20Development%20(CIPD)%20(2022)%20Managing%20and%20Supporting%20Mental%20Health%20at%20Work.%20London:%20CIPD.%20%20Chartered%20Institute%20of%20Personnel%20and%20Development%20(CIPD)%20(2023)%20Flexible%20Working%20Practices:%20An%20Evidence-Based%20Review.%20London:%20CIPD.%20%20Kotter,%20J.P.%20(2012)%20Leading%20Change.%20Boston,%20MA:%20Harvard%20Business%20Review%20Press.%20%20Marchington,%20M.,%20Wilkinson,%20A.,%20Donnelly,%20R.%20and%20Kynighou,%20A.%20(2020)%20Human%20Resource%20Management%20at%20Work.%207th%20edn.%20London:%20Kogan%20Page.%20%20McKinsey%20&amp;%20Company%20(2021)%20The%20Organisation%20of%20the%20Future:%20Implications%20for%20HR.%20McKinsey%20Global%20Institute.%20%20Torrington,%20D.,%20Hall,%20L.,%20Taylor,%20S.%20and%20Atkinson,%20C.%20(2020)%20Human%20Resource%20Management.%2011th%20edn.%20Harlow:%20Pearson%20Education.%20%20UK%20Government%20(2023)%20Flexible%20Working:%20Guidance%20for%20Employers.%20London:%20Department%20for%20Business%20and%20Trade.%20%20West,%20M.,%20Eckert,%20R.,%20Collins,%20B.%20and%20Chowla,%20R.%20(2017)%20Caring%20to%20Change:%20How%20Compassionate%20Leadership%20Can%20Stimulate%20Innovation.%20London:%20The%20King’s%20Fund."</w:instrText>
      </w:r>
      <w:r>
        <w:rPr>
          <w:rFonts w:ascii="AppleSystemUIFont" w:hAnsi="AppleSystemUIFont" w:cs="AppleSystemUIFont"/>
          <w:sz w:val="26"/>
          <w:szCs w:val="26"/>
        </w:rPr>
      </w:r>
      <w:r>
        <w:rPr>
          <w:rFonts w:ascii="AppleSystemUIFont" w:hAnsi="AppleSystemUIFont" w:cs="AppleSystemUIFont"/>
          <w:sz w:val="26"/>
          <w:szCs w:val="26"/>
        </w:rPr>
        <w:fldChar w:fldCharType="separate"/>
      </w:r>
      <w:r w:rsidRPr="00720333">
        <w:rPr>
          <w:rStyle w:val="Hyperlink"/>
          <w:rFonts w:ascii="AppleSystemUIFont" w:hAnsi="AppleSystemUIFont" w:cs="AppleSystemUIFont"/>
          <w:sz w:val="26"/>
          <w:szCs w:val="26"/>
        </w:rPr>
        <w:t xml:space="preserve">Armstrong, M. and Taylor, S. (2023) </w:t>
      </w:r>
      <w:r w:rsidRPr="00720333">
        <w:rPr>
          <w:rStyle w:val="Hyperlink"/>
          <w:rFonts w:ascii="AppleSystemUIFont" w:hAnsi="AppleSystemUIFont" w:cs="AppleSystemUIFont"/>
          <w:i/>
          <w:iCs/>
          <w:sz w:val="26"/>
          <w:szCs w:val="26"/>
        </w:rPr>
        <w:t>Armstrong’s Handbook of Human Resource Management Practice</w:t>
      </w:r>
      <w:r w:rsidRPr="00720333">
        <w:rPr>
          <w:rStyle w:val="Hyperlink"/>
          <w:rFonts w:ascii="AppleSystemUIFont" w:hAnsi="AppleSystemUIFont" w:cs="AppleSystemUIFont"/>
          <w:sz w:val="26"/>
          <w:szCs w:val="26"/>
        </w:rPr>
        <w:t>. 16th edn. London: Kogan Page.</w:t>
      </w:r>
    </w:p>
    <w:p w14:paraId="627ACEEB"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p>
    <w:p w14:paraId="1C60E7E3"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r w:rsidRPr="00720333">
        <w:rPr>
          <w:rStyle w:val="Hyperlink"/>
          <w:rFonts w:ascii="AppleSystemUIFont" w:hAnsi="AppleSystemUIFont" w:cs="AppleSystemUIFont"/>
          <w:sz w:val="26"/>
          <w:szCs w:val="26"/>
        </w:rPr>
        <w:t xml:space="preserve">Chartered Institute of Personnel and Development (CIPD) (2022) </w:t>
      </w:r>
      <w:r w:rsidRPr="00720333">
        <w:rPr>
          <w:rStyle w:val="Hyperlink"/>
          <w:rFonts w:ascii="AppleSystemUIFont" w:hAnsi="AppleSystemUIFont" w:cs="AppleSystemUIFont"/>
          <w:i/>
          <w:iCs/>
          <w:sz w:val="26"/>
          <w:szCs w:val="26"/>
        </w:rPr>
        <w:t>Managing and Supporting Mental Health at Work</w:t>
      </w:r>
      <w:r w:rsidRPr="00720333">
        <w:rPr>
          <w:rStyle w:val="Hyperlink"/>
          <w:rFonts w:ascii="AppleSystemUIFont" w:hAnsi="AppleSystemUIFont" w:cs="AppleSystemUIFont"/>
          <w:sz w:val="26"/>
          <w:szCs w:val="26"/>
        </w:rPr>
        <w:t>. London: CIPD.</w:t>
      </w:r>
    </w:p>
    <w:p w14:paraId="4CACB320"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p>
    <w:p w14:paraId="1860AD4A"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r w:rsidRPr="00720333">
        <w:rPr>
          <w:rStyle w:val="Hyperlink"/>
          <w:rFonts w:ascii="AppleSystemUIFont" w:hAnsi="AppleSystemUIFont" w:cs="AppleSystemUIFont"/>
          <w:sz w:val="26"/>
          <w:szCs w:val="26"/>
        </w:rPr>
        <w:t xml:space="preserve">Chartered Institute of Personnel and Development (CIPD) (2023) </w:t>
      </w:r>
      <w:r w:rsidRPr="00720333">
        <w:rPr>
          <w:rStyle w:val="Hyperlink"/>
          <w:rFonts w:ascii="AppleSystemUIFont" w:hAnsi="AppleSystemUIFont" w:cs="AppleSystemUIFont"/>
          <w:i/>
          <w:iCs/>
          <w:sz w:val="26"/>
          <w:szCs w:val="26"/>
        </w:rPr>
        <w:t>Flexible Working Practices: An Evidence-Based Review</w:t>
      </w:r>
      <w:r w:rsidRPr="00720333">
        <w:rPr>
          <w:rStyle w:val="Hyperlink"/>
          <w:rFonts w:ascii="AppleSystemUIFont" w:hAnsi="AppleSystemUIFont" w:cs="AppleSystemUIFont"/>
          <w:sz w:val="26"/>
          <w:szCs w:val="26"/>
        </w:rPr>
        <w:t>. London: CIPD.</w:t>
      </w:r>
    </w:p>
    <w:p w14:paraId="4FE4C17B"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p>
    <w:p w14:paraId="15DF5E1C"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r w:rsidRPr="00720333">
        <w:rPr>
          <w:rStyle w:val="Hyperlink"/>
          <w:rFonts w:ascii="AppleSystemUIFont" w:hAnsi="AppleSystemUIFont" w:cs="AppleSystemUIFont"/>
          <w:sz w:val="26"/>
          <w:szCs w:val="26"/>
        </w:rPr>
        <w:t xml:space="preserve">Kotter, J.P. (2012) </w:t>
      </w:r>
      <w:r w:rsidRPr="00720333">
        <w:rPr>
          <w:rStyle w:val="Hyperlink"/>
          <w:rFonts w:ascii="AppleSystemUIFont" w:hAnsi="AppleSystemUIFont" w:cs="AppleSystemUIFont"/>
          <w:i/>
          <w:iCs/>
          <w:sz w:val="26"/>
          <w:szCs w:val="26"/>
        </w:rPr>
        <w:t>Leading Change</w:t>
      </w:r>
      <w:r w:rsidRPr="00720333">
        <w:rPr>
          <w:rStyle w:val="Hyperlink"/>
          <w:rFonts w:ascii="AppleSystemUIFont" w:hAnsi="AppleSystemUIFont" w:cs="AppleSystemUIFont"/>
          <w:sz w:val="26"/>
          <w:szCs w:val="26"/>
        </w:rPr>
        <w:t>. Boston, MA: Harvard Business Review Press.</w:t>
      </w:r>
    </w:p>
    <w:p w14:paraId="352A0428"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p>
    <w:p w14:paraId="27EE3DE9"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r w:rsidRPr="00720333">
        <w:rPr>
          <w:rStyle w:val="Hyperlink"/>
          <w:rFonts w:ascii="AppleSystemUIFont" w:hAnsi="AppleSystemUIFont" w:cs="AppleSystemUIFont"/>
          <w:sz w:val="26"/>
          <w:szCs w:val="26"/>
        </w:rPr>
        <w:t xml:space="preserve">Marchington, M., Wilkinson, A., Donnelly, R. and Kynighou, A. (2020) </w:t>
      </w:r>
      <w:r w:rsidRPr="00720333">
        <w:rPr>
          <w:rStyle w:val="Hyperlink"/>
          <w:rFonts w:ascii="AppleSystemUIFont" w:hAnsi="AppleSystemUIFont" w:cs="AppleSystemUIFont"/>
          <w:i/>
          <w:iCs/>
          <w:sz w:val="26"/>
          <w:szCs w:val="26"/>
        </w:rPr>
        <w:t>Human Resource Management at Work</w:t>
      </w:r>
      <w:r w:rsidRPr="00720333">
        <w:rPr>
          <w:rStyle w:val="Hyperlink"/>
          <w:rFonts w:ascii="AppleSystemUIFont" w:hAnsi="AppleSystemUIFont" w:cs="AppleSystemUIFont"/>
          <w:sz w:val="26"/>
          <w:szCs w:val="26"/>
        </w:rPr>
        <w:t>. 7th edn. London: Kogan Page.</w:t>
      </w:r>
    </w:p>
    <w:p w14:paraId="79C9E324"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p>
    <w:p w14:paraId="511BD191"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r w:rsidRPr="00720333">
        <w:rPr>
          <w:rStyle w:val="Hyperlink"/>
          <w:rFonts w:ascii="AppleSystemUIFont" w:hAnsi="AppleSystemUIFont" w:cs="AppleSystemUIFont"/>
          <w:sz w:val="26"/>
          <w:szCs w:val="26"/>
        </w:rPr>
        <w:t xml:space="preserve">McKinsey &amp; Company (2021) </w:t>
      </w:r>
      <w:r w:rsidRPr="00720333">
        <w:rPr>
          <w:rStyle w:val="Hyperlink"/>
          <w:rFonts w:ascii="AppleSystemUIFont" w:hAnsi="AppleSystemUIFont" w:cs="AppleSystemUIFont"/>
          <w:i/>
          <w:iCs/>
          <w:sz w:val="26"/>
          <w:szCs w:val="26"/>
        </w:rPr>
        <w:t>The Organisation of the Future: Implications for HR</w:t>
      </w:r>
      <w:r w:rsidRPr="00720333">
        <w:rPr>
          <w:rStyle w:val="Hyperlink"/>
          <w:rFonts w:ascii="AppleSystemUIFont" w:hAnsi="AppleSystemUIFont" w:cs="AppleSystemUIFont"/>
          <w:sz w:val="26"/>
          <w:szCs w:val="26"/>
        </w:rPr>
        <w:t>. McKinsey Global Institute.</w:t>
      </w:r>
    </w:p>
    <w:p w14:paraId="33437A53"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p>
    <w:p w14:paraId="3EB8830A"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r w:rsidRPr="00720333">
        <w:rPr>
          <w:rStyle w:val="Hyperlink"/>
          <w:rFonts w:ascii="AppleSystemUIFont" w:hAnsi="AppleSystemUIFont" w:cs="AppleSystemUIFont"/>
          <w:sz w:val="26"/>
          <w:szCs w:val="26"/>
        </w:rPr>
        <w:t xml:space="preserve">Torrington, D., Hall, L., Taylor, S. and Atkinson, C. (2020) </w:t>
      </w:r>
      <w:r w:rsidRPr="00720333">
        <w:rPr>
          <w:rStyle w:val="Hyperlink"/>
          <w:rFonts w:ascii="AppleSystemUIFont" w:hAnsi="AppleSystemUIFont" w:cs="AppleSystemUIFont"/>
          <w:i/>
          <w:iCs/>
          <w:sz w:val="26"/>
          <w:szCs w:val="26"/>
        </w:rPr>
        <w:t>Human Resource Management</w:t>
      </w:r>
      <w:r w:rsidRPr="00720333">
        <w:rPr>
          <w:rStyle w:val="Hyperlink"/>
          <w:rFonts w:ascii="AppleSystemUIFont" w:hAnsi="AppleSystemUIFont" w:cs="AppleSystemUIFont"/>
          <w:sz w:val="26"/>
          <w:szCs w:val="26"/>
        </w:rPr>
        <w:t>. 11th edn. Harlow: Pearson Education.</w:t>
      </w:r>
    </w:p>
    <w:p w14:paraId="4787FC03"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p>
    <w:p w14:paraId="46DBCFB6"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r w:rsidRPr="00720333">
        <w:rPr>
          <w:rStyle w:val="Hyperlink"/>
          <w:rFonts w:ascii="AppleSystemUIFont" w:hAnsi="AppleSystemUIFont" w:cs="AppleSystemUIFont"/>
          <w:sz w:val="26"/>
          <w:szCs w:val="26"/>
        </w:rPr>
        <w:t xml:space="preserve">UK Government (2023) </w:t>
      </w:r>
      <w:r w:rsidRPr="00720333">
        <w:rPr>
          <w:rStyle w:val="Hyperlink"/>
          <w:rFonts w:ascii="AppleSystemUIFont" w:hAnsi="AppleSystemUIFont" w:cs="AppleSystemUIFont"/>
          <w:i/>
          <w:iCs/>
          <w:sz w:val="26"/>
          <w:szCs w:val="26"/>
        </w:rPr>
        <w:t>Flexible Working: Guidance for Employers</w:t>
      </w:r>
      <w:r w:rsidRPr="00720333">
        <w:rPr>
          <w:rStyle w:val="Hyperlink"/>
          <w:rFonts w:ascii="AppleSystemUIFont" w:hAnsi="AppleSystemUIFont" w:cs="AppleSystemUIFont"/>
          <w:sz w:val="26"/>
          <w:szCs w:val="26"/>
        </w:rPr>
        <w:t>. London: Department for Business and Trade.</w:t>
      </w:r>
    </w:p>
    <w:p w14:paraId="79BC6409" w14:textId="77777777" w:rsidR="00720333" w:rsidRPr="00720333" w:rsidRDefault="00720333" w:rsidP="00720333">
      <w:pPr>
        <w:autoSpaceDE w:val="0"/>
        <w:autoSpaceDN w:val="0"/>
        <w:adjustRightInd w:val="0"/>
        <w:spacing w:after="0" w:line="240" w:lineRule="auto"/>
        <w:rPr>
          <w:rStyle w:val="Hyperlink"/>
          <w:rFonts w:ascii="AppleSystemUIFont" w:hAnsi="AppleSystemUIFont" w:cs="AppleSystemUIFont"/>
          <w:sz w:val="26"/>
          <w:szCs w:val="26"/>
        </w:rPr>
      </w:pPr>
    </w:p>
    <w:p w14:paraId="4B56B530" w14:textId="668E8B4A" w:rsidR="00720333" w:rsidRDefault="00720333" w:rsidP="00720333">
      <w:pPr>
        <w:autoSpaceDE w:val="0"/>
        <w:autoSpaceDN w:val="0"/>
        <w:adjustRightInd w:val="0"/>
        <w:spacing w:after="0" w:line="240" w:lineRule="auto"/>
        <w:rPr>
          <w:rFonts w:ascii="AppleSystemUIFont" w:hAnsi="AppleSystemUIFont" w:cs="AppleSystemUIFont"/>
          <w:sz w:val="26"/>
          <w:szCs w:val="26"/>
        </w:rPr>
      </w:pPr>
      <w:r w:rsidRPr="00720333">
        <w:rPr>
          <w:rStyle w:val="Hyperlink"/>
          <w:rFonts w:ascii="AppleSystemUIFont" w:hAnsi="AppleSystemUIFont" w:cs="AppleSystemUIFont"/>
          <w:sz w:val="26"/>
          <w:szCs w:val="26"/>
        </w:rPr>
        <w:t xml:space="preserve">West, M., Eckert, R., Collins, B. and Chowla, R. (2017) </w:t>
      </w:r>
      <w:r w:rsidRPr="00720333">
        <w:rPr>
          <w:rStyle w:val="Hyperlink"/>
          <w:rFonts w:ascii="AppleSystemUIFont" w:hAnsi="AppleSystemUIFont" w:cs="AppleSystemUIFont"/>
          <w:i/>
          <w:iCs/>
          <w:sz w:val="26"/>
          <w:szCs w:val="26"/>
        </w:rPr>
        <w:t>Caring to Change: How Compassionate Leadership Can Stimulate Innovation</w:t>
      </w:r>
      <w:r w:rsidRPr="00720333">
        <w:rPr>
          <w:rStyle w:val="Hyperlink"/>
          <w:rFonts w:ascii="AppleSystemUIFont" w:hAnsi="AppleSystemUIFont" w:cs="AppleSystemUIFont"/>
          <w:sz w:val="26"/>
          <w:szCs w:val="26"/>
        </w:rPr>
        <w:t>. London: The King’s Fund.</w:t>
      </w:r>
      <w:r>
        <w:rPr>
          <w:rFonts w:ascii="AppleSystemUIFont" w:hAnsi="AppleSystemUIFont" w:cs="AppleSystemUIFont"/>
          <w:sz w:val="26"/>
          <w:szCs w:val="26"/>
        </w:rPr>
        <w:fldChar w:fldCharType="end"/>
      </w:r>
    </w:p>
    <w:p w14:paraId="5F6E9E50" w14:textId="77777777" w:rsidR="00720333" w:rsidRPr="00720333" w:rsidRDefault="00720333" w:rsidP="19DF5ED4">
      <w:pPr>
        <w:spacing w:line="600" w:lineRule="auto"/>
        <w:rPr>
          <w:rFonts w:ascii="Arial" w:hAnsi="Arial" w:cs="Arial"/>
        </w:rPr>
      </w:pPr>
    </w:p>
    <w:p w14:paraId="59F4BAFD" w14:textId="77777777" w:rsidR="00720333" w:rsidRPr="00720333" w:rsidRDefault="00720333" w:rsidP="19DF5ED4">
      <w:pPr>
        <w:spacing w:line="600" w:lineRule="auto"/>
        <w:rPr>
          <w:rFonts w:ascii="Arial" w:hAnsi="Arial" w:cs="Arial"/>
          <w:b/>
          <w:bCs/>
          <w:i/>
          <w:iCs/>
        </w:rPr>
      </w:pPr>
    </w:p>
    <w:sectPr w:rsidR="00720333" w:rsidRPr="007203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C3BA1" w14:textId="77777777" w:rsidR="00994089" w:rsidRDefault="00994089" w:rsidP="00F37B62">
      <w:pPr>
        <w:spacing w:after="0" w:line="240" w:lineRule="auto"/>
      </w:pPr>
      <w:r>
        <w:separator/>
      </w:r>
    </w:p>
  </w:endnote>
  <w:endnote w:type="continuationSeparator" w:id="0">
    <w:p w14:paraId="7B73EA69" w14:textId="77777777" w:rsidR="00994089" w:rsidRDefault="00994089"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0E38E" w14:textId="77777777" w:rsidR="00994089" w:rsidRDefault="00994089" w:rsidP="00F37B62">
      <w:pPr>
        <w:spacing w:after="0" w:line="240" w:lineRule="auto"/>
      </w:pPr>
      <w:r>
        <w:separator/>
      </w:r>
    </w:p>
  </w:footnote>
  <w:footnote w:type="continuationSeparator" w:id="0">
    <w:p w14:paraId="0899496F" w14:textId="77777777" w:rsidR="00994089" w:rsidRDefault="00994089" w:rsidP="00F37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D0420B"/>
    <w:multiLevelType w:val="hybridMultilevel"/>
    <w:tmpl w:val="7F9862EE"/>
    <w:lvl w:ilvl="0" w:tplc="676648F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07073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A4347"/>
    <w:rsid w:val="000B385E"/>
    <w:rsid w:val="000B4E76"/>
    <w:rsid w:val="00147127"/>
    <w:rsid w:val="001A74A9"/>
    <w:rsid w:val="001C2947"/>
    <w:rsid w:val="001C4467"/>
    <w:rsid w:val="002B5F6F"/>
    <w:rsid w:val="003022A1"/>
    <w:rsid w:val="0030696B"/>
    <w:rsid w:val="003C2732"/>
    <w:rsid w:val="003C42A2"/>
    <w:rsid w:val="003F3651"/>
    <w:rsid w:val="004B2828"/>
    <w:rsid w:val="004D05CB"/>
    <w:rsid w:val="00602FC5"/>
    <w:rsid w:val="006545DE"/>
    <w:rsid w:val="006833D5"/>
    <w:rsid w:val="006944CB"/>
    <w:rsid w:val="006B7E9D"/>
    <w:rsid w:val="00720333"/>
    <w:rsid w:val="0072707E"/>
    <w:rsid w:val="0074580D"/>
    <w:rsid w:val="00753D5A"/>
    <w:rsid w:val="007748CF"/>
    <w:rsid w:val="007F31CE"/>
    <w:rsid w:val="00807FC6"/>
    <w:rsid w:val="0082554B"/>
    <w:rsid w:val="00825A17"/>
    <w:rsid w:val="0087128B"/>
    <w:rsid w:val="008D1598"/>
    <w:rsid w:val="008F4215"/>
    <w:rsid w:val="00950621"/>
    <w:rsid w:val="00994089"/>
    <w:rsid w:val="00A367DB"/>
    <w:rsid w:val="00B465A0"/>
    <w:rsid w:val="00BD5CB9"/>
    <w:rsid w:val="00BF5CCA"/>
    <w:rsid w:val="00C66C92"/>
    <w:rsid w:val="00CB0553"/>
    <w:rsid w:val="00CF3FEA"/>
    <w:rsid w:val="00D41CCB"/>
    <w:rsid w:val="00D41CE9"/>
    <w:rsid w:val="00DA48EF"/>
    <w:rsid w:val="00DF4A48"/>
    <w:rsid w:val="00E12960"/>
    <w:rsid w:val="00E56451"/>
    <w:rsid w:val="00EA1221"/>
    <w:rsid w:val="00EB0EDB"/>
    <w:rsid w:val="00EC66F2"/>
    <w:rsid w:val="00F37B62"/>
    <w:rsid w:val="00F5191F"/>
    <w:rsid w:val="00F67811"/>
    <w:rsid w:val="00F77719"/>
    <w:rsid w:val="00FF2558"/>
    <w:rsid w:val="08F8BC97"/>
    <w:rsid w:val="0C4C9EEB"/>
    <w:rsid w:val="11C3AB27"/>
    <w:rsid w:val="19DF5ED4"/>
    <w:rsid w:val="4E55ACAF"/>
    <w:rsid w:val="53D01A0C"/>
    <w:rsid w:val="545F6007"/>
    <w:rsid w:val="69CB67C2"/>
    <w:rsid w:val="79F9EA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styleId="ListParagraph">
    <w:name w:val="List Paragraph"/>
    <w:basedOn w:val="Normal"/>
    <w:uiPriority w:val="34"/>
    <w:qFormat/>
    <w:rsid w:val="00720333"/>
    <w:pPr>
      <w:ind w:left="720"/>
      <w:contextualSpacing/>
    </w:pPr>
  </w:style>
  <w:style w:type="paragraph" w:styleId="NoSpacing">
    <w:name w:val="No Spacing"/>
    <w:uiPriority w:val="1"/>
    <w:qFormat/>
    <w:rsid w:val="00720333"/>
    <w:pPr>
      <w:spacing w:after="0" w:line="240" w:lineRule="auto"/>
    </w:pPr>
  </w:style>
  <w:style w:type="character" w:styleId="Hyperlink">
    <w:name w:val="Hyperlink"/>
    <w:basedOn w:val="DefaultParagraphFont"/>
    <w:uiPriority w:val="99"/>
    <w:unhideWhenUsed/>
    <w:rsid w:val="00720333"/>
    <w:rPr>
      <w:color w:val="0563C1" w:themeColor="hyperlink"/>
      <w:u w:val="single"/>
    </w:rPr>
  </w:style>
  <w:style w:type="character" w:styleId="UnresolvedMention">
    <w:name w:val="Unresolved Mention"/>
    <w:basedOn w:val="DefaultParagraphFont"/>
    <w:uiPriority w:val="99"/>
    <w:semiHidden/>
    <w:unhideWhenUsed/>
    <w:rsid w:val="007203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2568</Words>
  <Characters>14640</Characters>
  <Application>Microsoft Office Word</Application>
  <DocSecurity>0</DocSecurity>
  <Lines>122</Lines>
  <Paragraphs>34</Paragraphs>
  <ScaleCrop>false</ScaleCrop>
  <Company/>
  <LinksUpToDate>false</LinksUpToDate>
  <CharactersWithSpaces>17174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Jennifer Nicole Hernandez Chauca (2410851)</cp:lastModifiedBy>
  <cp:revision>24</cp:revision>
  <dcterms:created xsi:type="dcterms:W3CDTF">2025-12-18T19:07:00Z</dcterms:created>
  <dcterms:modified xsi:type="dcterms:W3CDTF">2026-04-08T12:58:00Z</dcterms:modified>
</cp:coreProperties>
</file>