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703B5" w14:textId="77777777" w:rsidR="00C92F98" w:rsidRDefault="00C92F98">
      <w:pPr>
        <w:jc w:val="center"/>
        <w:rPr>
          <w:b/>
          <w:bCs/>
          <w:sz w:val="32"/>
          <w:szCs w:val="32"/>
        </w:rPr>
      </w:pPr>
    </w:p>
    <w:p w14:paraId="64C5EB94" w14:textId="77777777" w:rsidR="00C92F98" w:rsidRDefault="00C92F98">
      <w:pPr>
        <w:jc w:val="center"/>
        <w:rPr>
          <w:b/>
          <w:bCs/>
          <w:sz w:val="32"/>
          <w:szCs w:val="32"/>
        </w:rPr>
      </w:pPr>
    </w:p>
    <w:p w14:paraId="17EB68C8" w14:textId="77777777" w:rsidR="00C92F98" w:rsidRDefault="00C92F98">
      <w:pPr>
        <w:jc w:val="center"/>
        <w:rPr>
          <w:b/>
          <w:bCs/>
          <w:sz w:val="32"/>
          <w:szCs w:val="32"/>
        </w:rPr>
      </w:pPr>
    </w:p>
    <w:p w14:paraId="3D1F763B" w14:textId="77777777" w:rsidR="00C92F98" w:rsidRDefault="00C92F98">
      <w:pPr>
        <w:jc w:val="center"/>
        <w:rPr>
          <w:b/>
          <w:bCs/>
          <w:sz w:val="32"/>
          <w:szCs w:val="32"/>
        </w:rPr>
      </w:pPr>
    </w:p>
    <w:p w14:paraId="7B078A66" w14:textId="77777777" w:rsidR="00C92F98" w:rsidRDefault="00C92F98">
      <w:pPr>
        <w:jc w:val="center"/>
        <w:rPr>
          <w:b/>
          <w:bCs/>
          <w:sz w:val="32"/>
          <w:szCs w:val="32"/>
        </w:rPr>
      </w:pPr>
    </w:p>
    <w:p w14:paraId="6B556A81" w14:textId="77777777" w:rsidR="00C92F98" w:rsidRDefault="00C95619">
      <w:pPr>
        <w:jc w:val="left"/>
        <w:rPr>
          <w:b/>
          <w:bCs/>
          <w:sz w:val="32"/>
          <w:szCs w:val="32"/>
        </w:rPr>
      </w:pPr>
      <w:r>
        <w:rPr>
          <w:noProof/>
        </w:rPr>
        <w:drawing>
          <wp:inline distT="0" distB="0" distL="0" distR="0" wp14:anchorId="3CE6B9A3" wp14:editId="7A6C6B0B">
            <wp:extent cx="2181225" cy="952500"/>
            <wp:effectExtent l="0" t="0" r="0" b="0"/>
            <wp:docPr id="18340362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81225" cy="952500"/>
                    </a:xfrm>
                    <a:prstGeom prst="rect">
                      <a:avLst/>
                    </a:prstGeom>
                    <a:ln/>
                  </pic:spPr>
                </pic:pic>
              </a:graphicData>
            </a:graphic>
          </wp:inline>
        </w:drawing>
      </w:r>
    </w:p>
    <w:p w14:paraId="46E3D604" w14:textId="77777777" w:rsidR="00C92F98" w:rsidRDefault="00C95619">
      <w:pPr>
        <w:jc w:val="center"/>
        <w:rPr>
          <w:b/>
          <w:bCs/>
          <w:sz w:val="28"/>
          <w:szCs w:val="28"/>
        </w:rPr>
      </w:pPr>
      <w:r>
        <w:rPr>
          <w:b/>
          <w:bCs/>
          <w:sz w:val="28"/>
          <w:szCs w:val="28"/>
        </w:rPr>
        <w:t>PROGRAMME: BA (HONS) BUSINESS MANAGEMENT</w:t>
      </w:r>
    </w:p>
    <w:p w14:paraId="2D963ABC" w14:textId="77777777" w:rsidR="00C92F98" w:rsidRDefault="00C95619">
      <w:pPr>
        <w:jc w:val="center"/>
        <w:rPr>
          <w:b/>
          <w:bCs/>
          <w:sz w:val="28"/>
          <w:szCs w:val="28"/>
        </w:rPr>
      </w:pPr>
      <w:r>
        <w:rPr>
          <w:b/>
          <w:bCs/>
          <w:sz w:val="28"/>
          <w:szCs w:val="28"/>
        </w:rPr>
        <w:t>MODULE: INTRODUCTION TO BUSINESS</w:t>
      </w:r>
    </w:p>
    <w:p w14:paraId="77580B9F" w14:textId="77777777" w:rsidR="00C92F98" w:rsidRDefault="00C95619">
      <w:pPr>
        <w:jc w:val="center"/>
        <w:rPr>
          <w:b/>
          <w:bCs/>
          <w:sz w:val="28"/>
          <w:szCs w:val="28"/>
        </w:rPr>
      </w:pPr>
      <w:r>
        <w:rPr>
          <w:b/>
          <w:bCs/>
          <w:sz w:val="28"/>
          <w:szCs w:val="28"/>
        </w:rPr>
        <w:t>MODULE CODE: LCBB4014</w:t>
      </w:r>
    </w:p>
    <w:p w14:paraId="07C2BDFD" w14:textId="77777777" w:rsidR="00C92F98" w:rsidRDefault="00C95619">
      <w:pPr>
        <w:jc w:val="center"/>
        <w:rPr>
          <w:b/>
          <w:bCs/>
          <w:sz w:val="28"/>
          <w:szCs w:val="28"/>
        </w:rPr>
      </w:pPr>
      <w:r>
        <w:rPr>
          <w:b/>
          <w:bCs/>
          <w:sz w:val="28"/>
          <w:szCs w:val="28"/>
        </w:rPr>
        <w:t>STUDENT NAME: Marin Ionut</w:t>
      </w:r>
    </w:p>
    <w:p w14:paraId="54FF43B0" w14:textId="3C1F0562" w:rsidR="00C92F98" w:rsidRDefault="00C95619">
      <w:pPr>
        <w:jc w:val="center"/>
        <w:rPr>
          <w:b/>
          <w:bCs/>
          <w:sz w:val="28"/>
          <w:szCs w:val="28"/>
        </w:rPr>
      </w:pPr>
      <w:r>
        <w:rPr>
          <w:b/>
          <w:bCs/>
          <w:sz w:val="28"/>
          <w:szCs w:val="28"/>
        </w:rPr>
        <w:t>STUDENT ID:</w:t>
      </w:r>
      <w:r w:rsidR="00F37861">
        <w:rPr>
          <w:b/>
          <w:bCs/>
          <w:sz w:val="28"/>
          <w:szCs w:val="28"/>
          <w:lang w:val="ro-RO"/>
        </w:rPr>
        <w:t xml:space="preserve"> 2512904</w:t>
      </w:r>
    </w:p>
    <w:p w14:paraId="5FD49A4A" w14:textId="77777777" w:rsidR="00C92F98" w:rsidRDefault="00C95619">
      <w:pPr>
        <w:jc w:val="center"/>
      </w:pPr>
      <w:r>
        <w:rPr>
          <w:b/>
          <w:bCs/>
          <w:sz w:val="28"/>
          <w:szCs w:val="28"/>
        </w:rPr>
        <w:t>WORD COUNT: 1071</w:t>
      </w:r>
      <w:r>
        <w:br w:type="page"/>
      </w:r>
    </w:p>
    <w:p w14:paraId="7A30038A" w14:textId="77777777" w:rsidR="00C92F98" w:rsidRDefault="00C95619">
      <w:pPr>
        <w:pStyle w:val="Heading1"/>
        <w:spacing w:before="240"/>
      </w:pPr>
      <w:bookmarkStart w:id="0" w:name="_heading=h.fhyg00g8mcyj" w:colFirst="0" w:colLast="0"/>
      <w:bookmarkEnd w:id="0"/>
      <w:r>
        <w:t>Introduction</w:t>
      </w:r>
    </w:p>
    <w:p w14:paraId="1F04AC3D" w14:textId="77777777" w:rsidR="00C92F98" w:rsidRDefault="00C95619">
      <w:pPr>
        <w:spacing w:before="240"/>
      </w:pPr>
      <w:r>
        <w:t>The present discussion examines the meaning of business ethics and corporate social responsibility (CSR) in the international automotive industry, where organisations are now more likely to be expected to act transparently, sustainably and accountably in terms of their responsibilities to society as well as the environment. In order to analyse these themes, the discussion relies on two frameworks. The first is Carroll CSR Pyramid, which enumerates economic, legal, ethical, and philanthropic responsibilities. The second is the Triple Bottom Line (TBL) model, which provides the basis of measuring performance in terms of people, planet, and profit. The focal analysis focuses on BMW as the primary company and Tesla, Volkswagen, and Ford as the competitors. The area of concern is on sustainability practices such as EV transition, battery sourcing, and carbon neutrality, and business ethics such as recalls, regulatory compliance, and customer safety.</w:t>
      </w:r>
    </w:p>
    <w:p w14:paraId="1150513E" w14:textId="77777777" w:rsidR="00C92F98" w:rsidRDefault="00C95619">
      <w:pPr>
        <w:pStyle w:val="Heading1"/>
        <w:spacing w:before="240"/>
      </w:pPr>
      <w:bookmarkStart w:id="1" w:name="_heading=h.7pw3ut3kfdti" w:colFirst="0" w:colLast="0"/>
      <w:bookmarkEnd w:id="1"/>
      <w:r>
        <w:t>Main Body</w:t>
      </w:r>
    </w:p>
    <w:p w14:paraId="51496A06" w14:textId="77777777" w:rsidR="00C92F98" w:rsidRDefault="00C95619">
      <w:pPr>
        <w:spacing w:before="240"/>
        <w:rPr>
          <w:b/>
          <w:bCs/>
          <w:i/>
          <w:iCs/>
        </w:rPr>
      </w:pPr>
      <w:r>
        <w:rPr>
          <w:b/>
          <w:bCs/>
          <w:i/>
          <w:iCs/>
        </w:rPr>
        <w:t>Definition of Business Ethics and CSR</w:t>
      </w:r>
    </w:p>
    <w:p w14:paraId="0875525B" w14:textId="77777777" w:rsidR="00C92F98" w:rsidRDefault="00C95619">
      <w:pPr>
        <w:spacing w:before="240"/>
      </w:pPr>
      <w:r>
        <w:t>Business ethics denotes an organisation decision-making principle based on moral standards with special attention to truthfulness, fairness, clarity, adherence, and customer and employee safety (Pembi and Ali, 2024). Responsible judgement and accountability is demanded by ethical behaviour making sure that firms are not driven by profit motives (Jedličková, 2025). Corporate Social Responsibility (CSR) must go further to point out the responsibility that a company has towards its stakeholders such as communities, employees, consumers, and the environment. CSR encourages the limitation of environmental degradation, morally fitting working conditions, and giving back to society (Wirba, 2024). These ideas play a crucial role in the automotive industry where there are stringent laws on emissions and safety and road transport also helps in putting about 15% of the global carbon dioxide emissions (McKinsey, 2022). Hence, ethics and CSR are crucial strategic platforms of long-term competitiveness and trust by the community.</w:t>
      </w:r>
    </w:p>
    <w:p w14:paraId="17E52F4C" w14:textId="77777777" w:rsidR="00C92F98" w:rsidRDefault="00C95619">
      <w:pPr>
        <w:spacing w:before="240"/>
        <w:rPr>
          <w:b/>
          <w:bCs/>
          <w:i/>
          <w:iCs/>
        </w:rPr>
      </w:pPr>
      <w:r>
        <w:rPr>
          <w:b/>
          <w:bCs/>
          <w:i/>
          <w:iCs/>
        </w:rPr>
        <w:t>Application of Carroll’s CSR Pyramid to BMW and Competitors</w:t>
      </w:r>
    </w:p>
    <w:p w14:paraId="4E543FF7" w14:textId="77777777" w:rsidR="00C92F98" w:rsidRDefault="00C95619">
      <w:pPr>
        <w:spacing w:before="240"/>
      </w:pPr>
      <w:r>
        <w:t xml:space="preserve">The CSR Pyramid by Carroll makes four interrelated duties that include economic, legal, ethical and philanthropic responsibilities showing how organisations combine commercial interests with broader societal demands (Saleh, 2022). </w:t>
      </w:r>
    </w:p>
    <w:p w14:paraId="1126B9E7" w14:textId="77777777" w:rsidR="00C92F98" w:rsidRDefault="00C95619">
      <w:pPr>
        <w:spacing w:before="240"/>
      </w:pPr>
      <w:r>
        <w:rPr>
          <w:b/>
          <w:bCs/>
          <w:i/>
          <w:iCs/>
        </w:rPr>
        <w:t>Economic Responsibilities:</w:t>
      </w:r>
      <w:r>
        <w:t xml:space="preserve"> Financial authority is necessary to gain profitability, long-term viability and innovativeness (Samborska </w:t>
      </w:r>
      <w:r>
        <w:rPr>
          <w:i/>
          <w:iCs/>
        </w:rPr>
        <w:t xml:space="preserve">et al. </w:t>
      </w:r>
      <w:r>
        <w:t xml:space="preserve">2023). The approach to the inclusion of sustainability in the business strategy core helps to build economic resiliency. BMW achieves this by expanding its higher end electric and hybrid lines, enhances financial performance and moves towards low carbon mobility. The Tesla EV-first approach is based on the battery innovations and software revenues (Ezugwu </w:t>
      </w:r>
      <w:r>
        <w:rPr>
          <w:i/>
          <w:iCs/>
        </w:rPr>
        <w:t xml:space="preserve">et al. </w:t>
      </w:r>
      <w:r>
        <w:t xml:space="preserve">2025). The F-150 Lightning investment at Ford indicates market adjustment to the electrification process (Ford, 2022). In order to remain competitive in the world, Volkswagen seeks to implement a mass-marketing strategy with EVs. </w:t>
      </w:r>
    </w:p>
    <w:p w14:paraId="15B69E39" w14:textId="77777777" w:rsidR="00C92F98" w:rsidRDefault="00C95619">
      <w:pPr>
        <w:spacing w:before="240"/>
      </w:pPr>
      <w:r>
        <w:rPr>
          <w:b/>
          <w:bCs/>
          <w:i/>
          <w:iCs/>
        </w:rPr>
        <w:t>Legal Responsibilities:</w:t>
      </w:r>
      <w:r>
        <w:t xml:space="preserve"> Legal liability entails being accountable to the regulations and safety requirements. BMW adheres to EU emission standards and safety standards around the whole world (BMW, 2024). The scandal involving Volkswagen and Dieselgate explains the reputational and financial consequences of breaking the rules (Ayushjain, 2024). The Tesla company has been challenged in regards to autopilot claims and this reflects why there should be responsible communication. The large number of safety recall incidents by Ford also highlights why legal compliance is important in preserving consumer confidence.</w:t>
      </w:r>
    </w:p>
    <w:p w14:paraId="19E0B93E" w14:textId="77777777" w:rsidR="00C92F98" w:rsidRDefault="00C95619">
      <w:pPr>
        <w:spacing w:before="240"/>
      </w:pPr>
      <w:r>
        <w:rPr>
          <w:b/>
          <w:bCs/>
          <w:i/>
          <w:iCs/>
        </w:rPr>
        <w:t xml:space="preserve">Legal Responsibilities: </w:t>
      </w:r>
      <w:r>
        <w:t xml:space="preserve">Commitment to ethical responsibility goes beyond compliance, which initiates equitability and accountable sourcing (Adebayo </w:t>
      </w:r>
      <w:r>
        <w:rPr>
          <w:i/>
          <w:iCs/>
        </w:rPr>
        <w:t xml:space="preserve">et al. </w:t>
      </w:r>
      <w:r>
        <w:t xml:space="preserve">2024). BMW conducts supplier audits, as well as conducting cobalt that is sourced in an ethical manner. Tesla has been associated with the work environment, among others, whereas Volkswagen hopes by promoting better governance regains its credibility. Ford reinforces its ethical action by boosting safety and well-being efforts. </w:t>
      </w:r>
    </w:p>
    <w:p w14:paraId="5D2F2C67" w14:textId="77777777" w:rsidR="00C92F98" w:rsidRDefault="00C95619">
      <w:pPr>
        <w:spacing w:before="240"/>
      </w:pPr>
      <w:r>
        <w:rPr>
          <w:b/>
          <w:bCs/>
          <w:i/>
          <w:iCs/>
        </w:rPr>
        <w:t>Philanthropic Responsibilities:</w:t>
      </w:r>
      <w:r>
        <w:t xml:space="preserve"> Philanthropic authority is the voluntary activity towards the society (Braithwaite, 2025). BMW invests in education and climatic programs; Ford operates long-term community programmes and Volkswagen invests in environmental restoration. Tesla has low philanthropic involvement, which underscores diversification among companies. The model stresses on the fact that voluntary action enhances corporate legitimacy and relationships between stakeholders.</w:t>
      </w:r>
    </w:p>
    <w:p w14:paraId="75C7640D" w14:textId="77777777" w:rsidR="00C92F98" w:rsidRDefault="00C95619">
      <w:pPr>
        <w:spacing w:before="240"/>
        <w:rPr>
          <w:b/>
          <w:bCs/>
          <w:i/>
          <w:iCs/>
        </w:rPr>
      </w:pPr>
      <w:r>
        <w:rPr>
          <w:b/>
          <w:bCs/>
          <w:i/>
          <w:iCs/>
        </w:rPr>
        <w:t>Implication of the Triple Bottom Line (TBL)</w:t>
      </w:r>
    </w:p>
    <w:p w14:paraId="7D56317E" w14:textId="77777777" w:rsidR="00C92F98" w:rsidRDefault="00C95619">
      <w:pPr>
        <w:spacing w:before="240"/>
      </w:pPr>
      <w:r>
        <w:t xml:space="preserve">The Triple Bottom Line (TBL) model is an evaluation of the organisational performance (Nogueira </w:t>
      </w:r>
      <w:r>
        <w:rPr>
          <w:i/>
          <w:iCs/>
        </w:rPr>
        <w:t xml:space="preserve">et al. </w:t>
      </w:r>
      <w:r>
        <w:t>2025). At the People dimension level, BMW is focused on employee development by implementing the systematic training programs and high safety culture. Conversely, Tesla has continued to be subjected to criticism regarding labour relations, employment terms, which has shown that it cannot attain social sustainability. Ford has well-established welfare mechanisms that have been long-term by the participation of the unions, whereas Volkswagen depends on formal worker councils to promote fair representation. All this dimension does highlight the fact that employee well-being leads straight to organisational stability and productivity.</w:t>
      </w:r>
    </w:p>
    <w:p w14:paraId="6EB5A8D4" w14:textId="77777777" w:rsidR="00C92F98" w:rsidRDefault="00C95619">
      <w:pPr>
        <w:spacing w:before="240"/>
      </w:pPr>
      <w:r>
        <w:t>The dimension of the planet is critical because the movement of global mobility is shifted to the low-emission technologies. As of 2023, electric vehicles registered 18% of all sales worldwide, indicating the rising need to use transport that is environmentally responsible (IEA, 2024). Nevertheless, 20-30% of lifetime emissions of a vehicle are produced in the manufacturing process and it demonstrates the necessity to be sustainable throughout the complete value chain (iPoint, 2024). BMW is oriented toward carbon-neutral manufacturing, Tesla comes up with EV advancement, whereas Ford works on electrified trucks and Volkswagen money on renewable energy-related production. This aspect confirms the need to lessen the extent of environmental impact in long-term operational sustainability. Profit is still an aspect of investment sustainability. A total of 14.6% registration of battery-electric vehicles has been noted as of 2023 in the EU (ACEA, 2024). BMW tries to tie profitability and sustainability, Tesla is volatile though growing at a significant pace, Volkswagen increases EV capacity and Ford spreads to EV and hybrid portfolios. The Profit dimension shows that being sustainable makes it more competitive and relevant in the future market.</w:t>
      </w:r>
    </w:p>
    <w:p w14:paraId="4A1AC92C" w14:textId="77777777" w:rsidR="00C92F98" w:rsidRDefault="00C95619">
      <w:pPr>
        <w:pStyle w:val="Heading1"/>
        <w:spacing w:before="240"/>
      </w:pPr>
      <w:bookmarkStart w:id="2" w:name="_heading=h.89ztdemoy85p" w:colFirst="0" w:colLast="0"/>
      <w:bookmarkEnd w:id="2"/>
      <w:r>
        <w:t>Conclusion</w:t>
      </w:r>
    </w:p>
    <w:p w14:paraId="00A47614" w14:textId="77777777" w:rsidR="00C92F98" w:rsidRDefault="00C95619">
      <w:pPr>
        <w:spacing w:before="240"/>
      </w:pPr>
      <w:r>
        <w:t>The overall analysis indicates that business ethics and CSR are part of the long-term prosperity of automotive firms in the fast-changing international market. BMW and its rivals Tesla, Volkswagen, and Ford show that sustainable practises, whether manifested through ethical sourcing and employee handling, carbon-neutral production and EV development, and so on, have a direct impact on financial results, regulatory approval, and motivating the stakeholders. The multi-level approach to CSR shown by Carroll and the Triple Bottom Line both emphasise the integration of economic, legal, ethical, and philanthropic activities and the mutual dependence of social, environmental, and economic performances. The concept of integrating ethical behaviour and sustainability into core strategy serves not only to improve the corporate legitimacy but also increases competitiveness, resilience and positive effect to society.</w:t>
      </w:r>
      <w:r>
        <w:br w:type="page"/>
      </w:r>
    </w:p>
    <w:p w14:paraId="40528F9E" w14:textId="77777777" w:rsidR="00C92F98" w:rsidRDefault="00C95619">
      <w:pPr>
        <w:pStyle w:val="Heading1"/>
      </w:pPr>
      <w:r>
        <w:t>References</w:t>
      </w:r>
    </w:p>
    <w:p w14:paraId="3A5C7CA3" w14:textId="77777777" w:rsidR="00C92F98" w:rsidRDefault="00C95619">
      <w:pPr>
        <w:spacing w:before="240" w:after="240"/>
      </w:pPr>
      <w:r>
        <w:t>ACEA, (2024)</w:t>
      </w:r>
      <w:r>
        <w:rPr>
          <w:i/>
          <w:iCs/>
        </w:rPr>
        <w:t xml:space="preserve"> New car registrations: +13.9% in 2023; battery electric 14.6% market share</w:t>
      </w:r>
      <w:r>
        <w:t>. Available at:</w:t>
      </w:r>
      <w:hyperlink r:id="rId8">
        <w:r>
          <w:t xml:space="preserve"> </w:t>
        </w:r>
      </w:hyperlink>
      <w:hyperlink r:id="rId9">
        <w:r>
          <w:rPr>
            <w:color w:val="1155CC"/>
            <w:u w:val="single"/>
          </w:rPr>
          <w:t>https://www.acea.auto/pc-registrations/new-car-registrations-13-9-in-2023-battery-electric-14-6-market-share/</w:t>
        </w:r>
      </w:hyperlink>
      <w:r>
        <w:t>. (Accessed 3 December 2025)</w:t>
      </w:r>
    </w:p>
    <w:p w14:paraId="09264F29" w14:textId="77777777" w:rsidR="00C92F98" w:rsidRDefault="00C95619">
      <w:pPr>
        <w:spacing w:before="240" w:after="240"/>
      </w:pPr>
      <w:r>
        <w:t xml:space="preserve">Adebayo, V. I., Paul, P. O. and Eyo-Udo, N. L. (2024). Sustainable procurement practices: Balancing compliance, ethics, and cost-effectiveness. </w:t>
      </w:r>
      <w:r>
        <w:rPr>
          <w:i/>
          <w:iCs/>
        </w:rPr>
        <w:t>GSC Advanced Research and Reviews</w:t>
      </w:r>
      <w:r>
        <w:t xml:space="preserve">, </w:t>
      </w:r>
      <w:r>
        <w:rPr>
          <w:i/>
          <w:iCs/>
        </w:rPr>
        <w:t>20</w:t>
      </w:r>
      <w:r>
        <w:t>(1), 098-107.</w:t>
      </w:r>
    </w:p>
    <w:p w14:paraId="1DB7987C" w14:textId="77777777" w:rsidR="00C92F98" w:rsidRDefault="00C95619">
      <w:pPr>
        <w:spacing w:before="240" w:after="240"/>
      </w:pPr>
      <w:r>
        <w:t>Ayushjain, (2024)</w:t>
      </w:r>
      <w:r>
        <w:rPr>
          <w:i/>
          <w:iCs/>
        </w:rPr>
        <w:t xml:space="preserve"> VW Emissions Scandal Explained: Impact and Consequences</w:t>
      </w:r>
      <w:r>
        <w:t>. Available at:</w:t>
      </w:r>
      <w:hyperlink r:id="rId10">
        <w:r>
          <w:t xml:space="preserve"> </w:t>
        </w:r>
      </w:hyperlink>
      <w:hyperlink r:id="rId11">
        <w:r>
          <w:rPr>
            <w:color w:val="1155CC"/>
            <w:u w:val="single"/>
          </w:rPr>
          <w:t>https://thelawbrigade.com/general-research/vw-emissions-scandal-explained-impact-and-consequences/</w:t>
        </w:r>
      </w:hyperlink>
      <w:r>
        <w:t>. (Accessed 3 December 2025)</w:t>
      </w:r>
    </w:p>
    <w:p w14:paraId="2761968E" w14:textId="77777777" w:rsidR="00C92F98" w:rsidRDefault="00C95619">
      <w:pPr>
        <w:spacing w:before="240" w:after="240"/>
      </w:pPr>
      <w:r>
        <w:t>BMW, (2024)</w:t>
      </w:r>
      <w:r>
        <w:rPr>
          <w:i/>
          <w:iCs/>
        </w:rPr>
        <w:t xml:space="preserve"> PressClub Global · Article.</w:t>
      </w:r>
      <w:r>
        <w:t>. Available at:</w:t>
      </w:r>
      <w:hyperlink r:id="rId12">
        <w:r>
          <w:t xml:space="preserve"> </w:t>
        </w:r>
      </w:hyperlink>
      <w:hyperlink r:id="rId13">
        <w:r>
          <w:rPr>
            <w:color w:val="1155CC"/>
            <w:u w:val="single"/>
          </w:rPr>
          <w:t>https://www.press.bmwgroup.com/global/article/detail/T0439276EN/bmw-group-continues-to-reduce-eu-co2-fleet-wide-emissions-in-2023?language=en</w:t>
        </w:r>
      </w:hyperlink>
      <w:r>
        <w:t>. (Accessed 3 December 2025)</w:t>
      </w:r>
    </w:p>
    <w:p w14:paraId="65D98054" w14:textId="77777777" w:rsidR="00C92F98" w:rsidRDefault="00C95619">
      <w:pPr>
        <w:spacing w:before="240" w:after="240"/>
      </w:pPr>
      <w:r>
        <w:t xml:space="preserve">Braithwaite, C. (2025). </w:t>
      </w:r>
      <w:r>
        <w:rPr>
          <w:i/>
          <w:iCs/>
        </w:rPr>
        <w:t>The voluntary citizen: An enquiry into the place of philanthropy in the community</w:t>
      </w:r>
      <w:r>
        <w:t>. Taylor &amp; Francis.</w:t>
      </w:r>
    </w:p>
    <w:p w14:paraId="641CFFF0" w14:textId="77777777" w:rsidR="00C92F98" w:rsidRDefault="00C95619">
      <w:pPr>
        <w:spacing w:before="240" w:after="240"/>
      </w:pPr>
      <w:r>
        <w:t xml:space="preserve">Ezugwu, E. O., Bhattacharya, I., Ayomide, A. I., Antony Dhason, M. V., Soyoye, B. D. and Banik, T. (2025). Powertrain in battery electric vehicles (BEVs): Comprehensive review of current technologies and future trends among automakers. </w:t>
      </w:r>
      <w:r>
        <w:rPr>
          <w:i/>
          <w:iCs/>
        </w:rPr>
        <w:t>World Electric Vehicle Journal</w:t>
      </w:r>
      <w:r>
        <w:t xml:space="preserve">, </w:t>
      </w:r>
      <w:r>
        <w:rPr>
          <w:i/>
          <w:iCs/>
        </w:rPr>
        <w:t>16</w:t>
      </w:r>
      <w:r>
        <w:t>(10), 573.</w:t>
      </w:r>
    </w:p>
    <w:p w14:paraId="479389D5" w14:textId="77777777" w:rsidR="00C92F98" w:rsidRDefault="00C95619">
      <w:pPr>
        <w:spacing w:before="240" w:after="240"/>
      </w:pPr>
      <w:r>
        <w:t xml:space="preserve">Ford, (2022) </w:t>
      </w:r>
      <w:r>
        <w:rPr>
          <w:i/>
          <w:iCs/>
        </w:rPr>
        <w:t>America’s Best Selling Vehicle Now Electric: Production Begins For F-150 Lightning</w:t>
      </w:r>
      <w:r>
        <w:t>. Available at:</w:t>
      </w:r>
      <w:hyperlink r:id="rId14">
        <w:r>
          <w:t xml:space="preserve"> </w:t>
        </w:r>
      </w:hyperlink>
      <w:hyperlink r:id="rId15">
        <w:r>
          <w:rPr>
            <w:color w:val="1155CC"/>
            <w:u w:val="single"/>
          </w:rPr>
          <w:t>https://corporate.ford.com//articles/products/f-150-lightning/</w:t>
        </w:r>
      </w:hyperlink>
      <w:r>
        <w:t>. (Accessed 3 December 2025)</w:t>
      </w:r>
    </w:p>
    <w:p w14:paraId="021B7C96" w14:textId="77777777" w:rsidR="00C92F98" w:rsidRDefault="00C95619">
      <w:pPr>
        <w:spacing w:before="240" w:after="240"/>
      </w:pPr>
      <w:r>
        <w:t>IEA, (2024)</w:t>
      </w:r>
      <w:r>
        <w:rPr>
          <w:i/>
          <w:iCs/>
        </w:rPr>
        <w:t xml:space="preserve"> Trends in electric cars</w:t>
      </w:r>
      <w:r>
        <w:t>. Available at:</w:t>
      </w:r>
      <w:hyperlink r:id="rId16">
        <w:r>
          <w:t xml:space="preserve"> </w:t>
        </w:r>
      </w:hyperlink>
      <w:hyperlink r:id="rId17">
        <w:r>
          <w:rPr>
            <w:color w:val="1155CC"/>
            <w:u w:val="single"/>
          </w:rPr>
          <w:t>https://www.iea.org/reports/global-ev-outlook-2024/trends-in-electric-cars</w:t>
        </w:r>
      </w:hyperlink>
      <w:r>
        <w:t>. (Accessed 3 December 2025)</w:t>
      </w:r>
    </w:p>
    <w:p w14:paraId="73872F8D" w14:textId="77777777" w:rsidR="00C92F98" w:rsidRDefault="00C95619">
      <w:pPr>
        <w:spacing w:before="240" w:after="240"/>
      </w:pPr>
      <w:r>
        <w:t>iPoint, (2024)</w:t>
      </w:r>
      <w:r>
        <w:rPr>
          <w:i/>
          <w:iCs/>
        </w:rPr>
        <w:t xml:space="preserve"> Deciphering the Carbon Footprint of Car Manufacturing</w:t>
      </w:r>
      <w:r>
        <w:t>. Available at:</w:t>
      </w:r>
      <w:hyperlink r:id="rId18">
        <w:r>
          <w:t xml:space="preserve"> </w:t>
        </w:r>
      </w:hyperlink>
      <w:hyperlink r:id="rId19">
        <w:r>
          <w:rPr>
            <w:color w:val="1155CC"/>
            <w:u w:val="single"/>
          </w:rPr>
          <w:t>https://go.ipoint-systems.com/blog/carbon-footprint-car-manufacturing</w:t>
        </w:r>
      </w:hyperlink>
      <w:r>
        <w:t>. (Accessed 3 December 2025)</w:t>
      </w:r>
    </w:p>
    <w:p w14:paraId="243822BF" w14:textId="77777777" w:rsidR="00C92F98" w:rsidRDefault="00C95619">
      <w:pPr>
        <w:spacing w:before="240" w:after="240"/>
      </w:pPr>
      <w:r>
        <w:t xml:space="preserve">Jedličková, A. (2025). Ethical approaches in designing autonomous and intelligent systems: a comprehensive survey towards responsible development. </w:t>
      </w:r>
      <w:r>
        <w:rPr>
          <w:i/>
          <w:iCs/>
        </w:rPr>
        <w:t>AI &amp; society</w:t>
      </w:r>
      <w:r>
        <w:t xml:space="preserve">, </w:t>
      </w:r>
      <w:r>
        <w:rPr>
          <w:i/>
          <w:iCs/>
        </w:rPr>
        <w:t>40</w:t>
      </w:r>
      <w:r>
        <w:t>(4), 2703-2716.</w:t>
      </w:r>
    </w:p>
    <w:p w14:paraId="1899C0CC" w14:textId="77777777" w:rsidR="00C92F98" w:rsidRDefault="00C95619">
      <w:pPr>
        <w:spacing w:before="240" w:after="240"/>
      </w:pPr>
      <w:r>
        <w:t xml:space="preserve">McKinsey, (2022) </w:t>
      </w:r>
      <w:r>
        <w:rPr>
          <w:i/>
          <w:iCs/>
        </w:rPr>
        <w:t>Road mobility</w:t>
      </w:r>
      <w:r>
        <w:t>. Available at:</w:t>
      </w:r>
      <w:hyperlink r:id="rId20">
        <w:r>
          <w:t xml:space="preserve"> </w:t>
        </w:r>
      </w:hyperlink>
      <w:hyperlink r:id="rId21">
        <w:r>
          <w:rPr>
            <w:color w:val="1155CC"/>
            <w:u w:val="single"/>
          </w:rPr>
          <w:t>https://www.mckinsey.com/capabilities/sustainability/our-insights/spotting-green-business-opportunities-in-a-surging-net-zero-world/transition-to-net-zero/road-mobility</w:t>
        </w:r>
      </w:hyperlink>
      <w:r>
        <w:t>. (Accessed 3 December 2025)</w:t>
      </w:r>
    </w:p>
    <w:p w14:paraId="5D86098E" w14:textId="77777777" w:rsidR="00C92F98" w:rsidRDefault="00C95619">
      <w:pPr>
        <w:spacing w:before="240" w:after="240"/>
      </w:pPr>
      <w:r>
        <w:t xml:space="preserve">Nogueira, E., Gomes, S. and Lopes, J. M. (2025). Unveiling triple bottom line's influence on business performance. </w:t>
      </w:r>
      <w:r>
        <w:rPr>
          <w:i/>
          <w:iCs/>
        </w:rPr>
        <w:t>Discover Sustainability</w:t>
      </w:r>
      <w:r>
        <w:t xml:space="preserve">, </w:t>
      </w:r>
      <w:r>
        <w:rPr>
          <w:i/>
          <w:iCs/>
        </w:rPr>
        <w:t>6</w:t>
      </w:r>
      <w:r>
        <w:t>(1), 43.</w:t>
      </w:r>
    </w:p>
    <w:p w14:paraId="7A29764E" w14:textId="77777777" w:rsidR="00C92F98" w:rsidRDefault="00C95619">
      <w:pPr>
        <w:spacing w:before="240" w:after="240"/>
      </w:pPr>
      <w:r>
        <w:t xml:space="preserve">Pembi, S. and Ali, B. K. (2024). Ethical business decision-making in organizations: A theoretical perspectives. </w:t>
      </w:r>
      <w:r>
        <w:rPr>
          <w:i/>
          <w:iCs/>
        </w:rPr>
        <w:t>Advanced Qualitative Research</w:t>
      </w:r>
      <w:r>
        <w:t xml:space="preserve">, </w:t>
      </w:r>
      <w:r>
        <w:rPr>
          <w:i/>
          <w:iCs/>
        </w:rPr>
        <w:t>2</w:t>
      </w:r>
      <w:r>
        <w:t>(1), 19-30.</w:t>
      </w:r>
    </w:p>
    <w:p w14:paraId="23AC99DB" w14:textId="77777777" w:rsidR="00C92F98" w:rsidRDefault="00C95619">
      <w:pPr>
        <w:spacing w:before="240" w:after="240"/>
      </w:pPr>
      <w:r>
        <w:t xml:space="preserve">Saleh, Y. A. B. (2022). Using the Concept of Precedence as an Approach to Explain the Logical Interaction and Interrelationships among Corporate Social Responsibilities: Battal’s CSR Train VS. Carroll′ s CSR Pyramid. </w:t>
      </w:r>
      <w:r>
        <w:rPr>
          <w:i/>
          <w:iCs/>
        </w:rPr>
        <w:t>Universal Journal of Business and Management</w:t>
      </w:r>
      <w:r>
        <w:t xml:space="preserve">, </w:t>
      </w:r>
      <w:r>
        <w:rPr>
          <w:i/>
          <w:iCs/>
        </w:rPr>
        <w:t>2</w:t>
      </w:r>
      <w:r>
        <w:t>(1), 1-37.</w:t>
      </w:r>
    </w:p>
    <w:p w14:paraId="2F972247" w14:textId="77777777" w:rsidR="00C92F98" w:rsidRDefault="00C95619">
      <w:pPr>
        <w:spacing w:before="240" w:after="240"/>
      </w:pPr>
      <w:r>
        <w:t>Samborska, O., Domnich, O., Mazur, Y., Kyriazova, T., Yastrubetska, L. and Baranov, A. (2023). The Importance of Financial Management in Ensuring the Financial Stability and Profitability of Organizations.</w:t>
      </w:r>
    </w:p>
    <w:p w14:paraId="540ACEB7" w14:textId="77777777" w:rsidR="00C92F98" w:rsidRDefault="00C95619">
      <w:pPr>
        <w:spacing w:before="240" w:after="240"/>
      </w:pPr>
      <w:r>
        <w:t xml:space="preserve">Wirba, A. V. (2024). Corporate social responsibility (CSR): The role of government in promoting CSR. </w:t>
      </w:r>
      <w:r>
        <w:rPr>
          <w:i/>
          <w:iCs/>
        </w:rPr>
        <w:t>Journal of the Knowledge Economy</w:t>
      </w:r>
      <w:r>
        <w:t xml:space="preserve">, </w:t>
      </w:r>
      <w:r>
        <w:rPr>
          <w:i/>
          <w:iCs/>
        </w:rPr>
        <w:t>15</w:t>
      </w:r>
      <w:r>
        <w:t>(2), 7428-7454.</w:t>
      </w:r>
    </w:p>
    <w:p w14:paraId="3DA922EA" w14:textId="77777777" w:rsidR="00C92F98" w:rsidRDefault="00C92F98"/>
    <w:p w14:paraId="1CAD3C15" w14:textId="77777777" w:rsidR="00C92F98" w:rsidRDefault="00C92F98"/>
    <w:sectPr w:rsidR="00C92F98">
      <w:footerReference w:type="default" r:id="rId2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503CE" w14:textId="77777777" w:rsidR="00C95619" w:rsidRDefault="00C95619">
      <w:pPr>
        <w:spacing w:line="240" w:lineRule="auto"/>
      </w:pPr>
      <w:r>
        <w:separator/>
      </w:r>
    </w:p>
  </w:endnote>
  <w:endnote w:type="continuationSeparator" w:id="0">
    <w:p w14:paraId="61A36BE2" w14:textId="77777777" w:rsidR="00C95619" w:rsidRDefault="00C95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19CFD" w14:textId="77777777" w:rsidR="00C92F98" w:rsidRDefault="00C95619">
    <w:pPr>
      <w:jc w:val="right"/>
      <w:rPr>
        <w:sz w:val="12"/>
        <w:szCs w:val="12"/>
      </w:rP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859B7" w14:textId="77777777" w:rsidR="00C95619" w:rsidRDefault="00C95619">
      <w:pPr>
        <w:spacing w:line="240" w:lineRule="auto"/>
      </w:pPr>
      <w:r>
        <w:separator/>
      </w:r>
    </w:p>
  </w:footnote>
  <w:footnote w:type="continuationSeparator" w:id="0">
    <w:p w14:paraId="0F08127C" w14:textId="77777777" w:rsidR="00C95619" w:rsidRDefault="00C956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2"/>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F98"/>
    <w:rsid w:val="00076015"/>
    <w:rsid w:val="00475A4D"/>
    <w:rsid w:val="00532539"/>
    <w:rsid w:val="00A15DA5"/>
    <w:rsid w:val="00B50757"/>
    <w:rsid w:val="00C92F98"/>
    <w:rsid w:val="00C95619"/>
    <w:rsid w:val="00E045E7"/>
    <w:rsid w:val="00F3786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BF0C270"/>
  <w15:docId w15:val="{F2601675-DEE2-E847-B66B-77B7AFC6E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ea.auto/pc-registrations/new-car-registrations-13-9-in-2023-battery-electric-14-6-market-share/" TargetMode="External" /><Relationship Id="rId13" Type="http://schemas.openxmlformats.org/officeDocument/2006/relationships/hyperlink" Target="https://www.press.bmwgroup.com/global/article/detail/T0439276EN/bmw-group-continues-to-reduce-eu-co2-fleet-wide-emissions-in-2023?language=en" TargetMode="External" /><Relationship Id="rId18" Type="http://schemas.openxmlformats.org/officeDocument/2006/relationships/hyperlink" Target="https://go.ipoint-systems.com/blog/carbon-footprint-car-manufacturing" TargetMode="External" /><Relationship Id="rId3" Type="http://schemas.openxmlformats.org/officeDocument/2006/relationships/settings" Target="settings.xml" /><Relationship Id="rId21" Type="http://schemas.openxmlformats.org/officeDocument/2006/relationships/hyperlink" Target="https://www.mckinsey.com/capabilities/sustainability/our-insights/spotting-green-business-opportunities-in-a-surging-net-zero-world/transition-to-net-zero/road-mobility" TargetMode="External" /><Relationship Id="rId7" Type="http://schemas.openxmlformats.org/officeDocument/2006/relationships/image" Target="media/image1.png" /><Relationship Id="rId12" Type="http://schemas.openxmlformats.org/officeDocument/2006/relationships/hyperlink" Target="https://www.press.bmwgroup.com/global/article/detail/T0439276EN/bmw-group-continues-to-reduce-eu-co2-fleet-wide-emissions-in-2023?language=en" TargetMode="External" /><Relationship Id="rId17" Type="http://schemas.openxmlformats.org/officeDocument/2006/relationships/hyperlink" Target="https://www.iea.org/reports/global-ev-outlook-2024/trends-in-electric-cars" TargetMode="External" /><Relationship Id="rId2" Type="http://schemas.openxmlformats.org/officeDocument/2006/relationships/styles" Target="styles.xml" /><Relationship Id="rId16" Type="http://schemas.openxmlformats.org/officeDocument/2006/relationships/hyperlink" Target="https://www.iea.org/reports/global-ev-outlook-2024/trends-in-electric-cars" TargetMode="External" /><Relationship Id="rId20" Type="http://schemas.openxmlformats.org/officeDocument/2006/relationships/hyperlink" Target="https://www.mckinsey.com/capabilities/sustainability/our-insights/spotting-green-business-opportunities-in-a-surging-net-zero-world/transition-to-net-zero/road-mobility"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thelawbrigade.com/general-research/vw-emissions-scandal-explained-impact-and-consequences/"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corporate.ford.com/articles/products/f-150-lightning/" TargetMode="External" /><Relationship Id="rId23" Type="http://schemas.openxmlformats.org/officeDocument/2006/relationships/fontTable" Target="fontTable.xml" /><Relationship Id="rId10" Type="http://schemas.openxmlformats.org/officeDocument/2006/relationships/hyperlink" Target="https://thelawbrigade.com/general-research/vw-emissions-scandal-explained-impact-and-consequences/" TargetMode="External" /><Relationship Id="rId19" Type="http://schemas.openxmlformats.org/officeDocument/2006/relationships/hyperlink" Target="https://go.ipoint-systems.com/blog/carbon-footprint-car-manufacturing" TargetMode="External" /><Relationship Id="rId4" Type="http://schemas.openxmlformats.org/officeDocument/2006/relationships/webSettings" Target="webSettings.xml" /><Relationship Id="rId9" Type="http://schemas.openxmlformats.org/officeDocument/2006/relationships/hyperlink" Target="https://www.acea.auto/pc-registrations/new-car-registrations-13-9-in-2023-battery-electric-14-6-market-share/" TargetMode="External" /><Relationship Id="rId14" Type="http://schemas.openxmlformats.org/officeDocument/2006/relationships/hyperlink" Target="https://corporate.ford.com/articles/products/f-150-lightning/"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ST8J7LxHUiHbEM3EWFxu6k04Qw==">CgMxLjAyDmguZmh5ZzAwZzhtY3lqMg5oLjdwdzN1dDNrZmR0aTIOaC44OXp0ZGVtb3k4NXA4AHIhMVlhc1ZpQk1rZWhxRUZxbnpZX3lkZGpabG1IY2IzOFRf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1897</Words>
  <Characters>10814</Characters>
  <Application>Microsoft Office Word</Application>
  <DocSecurity>0</DocSecurity>
  <Lines>90</Lines>
  <Paragraphs>25</Paragraphs>
  <ScaleCrop>false</ScaleCrop>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Marin</cp:lastModifiedBy>
  <cp:revision>2</cp:revision>
  <dcterms:created xsi:type="dcterms:W3CDTF">2025-12-17T17:01:00Z</dcterms:created>
  <dcterms:modified xsi:type="dcterms:W3CDTF">2025-12-17T17:01:00Z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77c672e3-a56a-4aaf-84fa-a4a40500bb31</vt:lpwstr>
  </property>
</Properties>
</file>