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8AE695" wp14:paraId="19D822D3" wp14:textId="359F6DBE">
      <w:pPr>
        <w:spacing w:before="281" w:beforeAutospacing="off" w:after="281" w:afterAutospacing="off"/>
        <w:rPr>
          <w:rFonts w:ascii="Calibri" w:hAnsi="Calibri" w:eastAsia="Calibri" w:cs="Calibri"/>
          <w:b w:val="0"/>
          <w:bCs w:val="0"/>
          <w:i w:val="0"/>
          <w:iCs w:val="0"/>
          <w:noProof w:val="0"/>
          <w:sz w:val="20"/>
          <w:szCs w:val="20"/>
          <w:lang w:val="en-US"/>
        </w:rPr>
      </w:pPr>
      <w:r w:rsidRPr="298AE695" w:rsidR="0EE35F1B">
        <w:rPr>
          <w:rFonts w:ascii="Calibri" w:hAnsi="Calibri" w:eastAsia="Calibri" w:cs="Calibri"/>
          <w:b w:val="1"/>
          <w:bCs w:val="1"/>
          <w:i w:val="1"/>
          <w:iCs w:val="1"/>
          <w:noProof w:val="0"/>
          <w:sz w:val="28"/>
          <w:szCs w:val="28"/>
          <w:lang w:val="en-US"/>
        </w:rPr>
        <w:t xml:space="preserve">                                                                                                               </w:t>
      </w:r>
      <w:r w:rsidRPr="298AE695" w:rsidR="0EE35F1B">
        <w:rPr>
          <w:rFonts w:ascii="Calibri" w:hAnsi="Calibri" w:eastAsia="Calibri" w:cs="Calibri"/>
          <w:b w:val="0"/>
          <w:bCs w:val="0"/>
          <w:i w:val="0"/>
          <w:iCs w:val="0"/>
          <w:noProof w:val="0"/>
          <w:sz w:val="20"/>
          <w:szCs w:val="20"/>
          <w:lang w:val="en-US"/>
        </w:rPr>
        <w:t xml:space="preserve">   </w:t>
      </w:r>
      <w:r w:rsidRPr="298AE695" w:rsidR="0EE35F1B">
        <w:rPr>
          <w:rFonts w:ascii="Calibri" w:hAnsi="Calibri" w:eastAsia="Calibri" w:cs="Calibri"/>
          <w:b w:val="0"/>
          <w:bCs w:val="0"/>
          <w:i w:val="0"/>
          <w:iCs w:val="0"/>
          <w:noProof w:val="0"/>
          <w:sz w:val="20"/>
          <w:szCs w:val="20"/>
          <w:lang w:val="en-US"/>
        </w:rPr>
        <w:t>Ridwaan</w:t>
      </w:r>
      <w:r w:rsidRPr="298AE695" w:rsidR="0EE35F1B">
        <w:rPr>
          <w:rFonts w:ascii="Calibri" w:hAnsi="Calibri" w:eastAsia="Calibri" w:cs="Calibri"/>
          <w:b w:val="0"/>
          <w:bCs w:val="0"/>
          <w:i w:val="0"/>
          <w:iCs w:val="0"/>
          <w:noProof w:val="0"/>
          <w:sz w:val="20"/>
          <w:szCs w:val="20"/>
          <w:lang w:val="en-US"/>
        </w:rPr>
        <w:t xml:space="preserve"> Ahmed</w:t>
      </w:r>
    </w:p>
    <w:p xmlns:wp14="http://schemas.microsoft.com/office/word/2010/wordml" w:rsidP="298AE695" wp14:paraId="5E0F95AE" wp14:textId="0D2D910E">
      <w:pPr>
        <w:spacing w:before="281" w:beforeAutospacing="off" w:after="281" w:afterAutospacing="off"/>
        <w:rPr>
          <w:rFonts w:ascii="Calibri" w:hAnsi="Calibri" w:eastAsia="Calibri" w:cs="Calibri"/>
          <w:b w:val="0"/>
          <w:bCs w:val="0"/>
          <w:i w:val="0"/>
          <w:iCs w:val="0"/>
          <w:noProof w:val="0"/>
          <w:sz w:val="20"/>
          <w:szCs w:val="20"/>
          <w:lang w:val="en-US"/>
        </w:rPr>
      </w:pPr>
      <w:r w:rsidRPr="298AE695" w:rsidR="0EE35F1B">
        <w:rPr>
          <w:rFonts w:ascii="Calibri" w:hAnsi="Calibri" w:eastAsia="Calibri" w:cs="Calibri"/>
          <w:b w:val="0"/>
          <w:bCs w:val="0"/>
          <w:i w:val="0"/>
          <w:iCs w:val="0"/>
          <w:noProof w:val="0"/>
          <w:sz w:val="20"/>
          <w:szCs w:val="20"/>
          <w:lang w:val="en-US"/>
        </w:rPr>
        <w:t xml:space="preserve">                                                                                                                                                               2316325</w:t>
      </w:r>
    </w:p>
    <w:p xmlns:wp14="http://schemas.microsoft.com/office/word/2010/wordml" w:rsidP="298AE695" wp14:paraId="3BC0113F" wp14:textId="02BF768D">
      <w:pPr>
        <w:spacing w:before="281" w:beforeAutospacing="off" w:after="281" w:afterAutospacing="off"/>
        <w:rPr>
          <w:rFonts w:ascii="Calibri" w:hAnsi="Calibri" w:eastAsia="Calibri" w:cs="Calibri"/>
          <w:b w:val="0"/>
          <w:bCs w:val="0"/>
          <w:i w:val="0"/>
          <w:iCs w:val="0"/>
          <w:noProof w:val="0"/>
          <w:sz w:val="20"/>
          <w:szCs w:val="20"/>
          <w:lang w:val="en-US"/>
        </w:rPr>
      </w:pPr>
      <w:r w:rsidRPr="298AE695" w:rsidR="0EE35F1B">
        <w:rPr>
          <w:rFonts w:ascii="Calibri" w:hAnsi="Calibri" w:eastAsia="Calibri" w:cs="Calibri"/>
          <w:b w:val="0"/>
          <w:bCs w:val="0"/>
          <w:i w:val="0"/>
          <w:iCs w:val="0"/>
          <w:noProof w:val="0"/>
          <w:sz w:val="20"/>
          <w:szCs w:val="20"/>
          <w:lang w:val="en-US"/>
        </w:rPr>
        <w:t xml:space="preserve">                                                                                                                                                               ECEY6010</w:t>
      </w:r>
    </w:p>
    <w:p xmlns:wp14="http://schemas.microsoft.com/office/word/2010/wordml" w:rsidP="298AE695" wp14:paraId="746037EF" wp14:textId="29FBBF55">
      <w:pPr>
        <w:pStyle w:val="Normal"/>
        <w:spacing w:before="281" w:beforeAutospacing="off" w:after="281" w:afterAutospacing="off"/>
        <w:rPr>
          <w:rFonts w:ascii="Calibri" w:hAnsi="Calibri" w:eastAsia="Calibri" w:cs="Calibri"/>
          <w:b w:val="1"/>
          <w:bCs w:val="1"/>
          <w:i w:val="1"/>
          <w:iCs w:val="1"/>
          <w:noProof w:val="0"/>
          <w:sz w:val="28"/>
          <w:szCs w:val="28"/>
          <w:lang w:val="en-US"/>
        </w:rPr>
      </w:pPr>
    </w:p>
    <w:p xmlns:wp14="http://schemas.microsoft.com/office/word/2010/wordml" w:rsidP="298AE695" wp14:paraId="468634F9" wp14:textId="07A0AFA8">
      <w:pPr>
        <w:spacing w:before="281" w:beforeAutospacing="off" w:after="281" w:afterAutospacing="off"/>
        <w:rPr>
          <w:rFonts w:ascii="Calibri" w:hAnsi="Calibri" w:eastAsia="Calibri" w:cs="Calibri"/>
          <w:b w:val="1"/>
          <w:bCs w:val="1"/>
          <w:i w:val="1"/>
          <w:iCs w:val="1"/>
          <w:noProof w:val="0"/>
          <w:sz w:val="28"/>
          <w:szCs w:val="28"/>
          <w:lang w:val="en-US"/>
        </w:rPr>
      </w:pPr>
      <w:r w:rsidRPr="298AE695" w:rsidR="121B3CBD">
        <w:rPr>
          <w:rFonts w:ascii="Calibri" w:hAnsi="Calibri" w:eastAsia="Calibri" w:cs="Calibri"/>
          <w:b w:val="1"/>
          <w:bCs w:val="1"/>
          <w:i w:val="1"/>
          <w:iCs w:val="1"/>
          <w:noProof w:val="0"/>
          <w:sz w:val="28"/>
          <w:szCs w:val="28"/>
          <w:lang w:val="en-US"/>
        </w:rPr>
        <w:t>A Critical Comparison of Play-Based Approaches: The Reggio Emilia Approach and the Foundation Phase in Wales.</w:t>
      </w:r>
    </w:p>
    <w:p xmlns:wp14="http://schemas.microsoft.com/office/word/2010/wordml" w:rsidP="298AE695" wp14:paraId="6C14E865" wp14:textId="08D0B593">
      <w:pPr>
        <w:pStyle w:val="Heading3"/>
        <w:spacing w:before="281" w:beforeAutospacing="off" w:after="281" w:afterAutospacing="off"/>
        <w:rPr>
          <w:rFonts w:ascii="Calibri" w:hAnsi="Calibri" w:eastAsia="Calibri" w:cs="Calibri"/>
          <w:b w:val="1"/>
          <w:bCs w:val="1"/>
          <w:i w:val="1"/>
          <w:iCs w:val="1"/>
          <w:noProof w:val="0"/>
          <w:color w:val="000000" w:themeColor="text1" w:themeTint="FF" w:themeShade="FF"/>
          <w:sz w:val="24"/>
          <w:szCs w:val="24"/>
          <w:lang w:val="en-US"/>
        </w:rPr>
      </w:pPr>
      <w:r w:rsidRPr="298AE695" w:rsidR="021B4316">
        <w:rPr>
          <w:rFonts w:ascii="Calibri" w:hAnsi="Calibri" w:eastAsia="Calibri" w:cs="Calibri"/>
          <w:b w:val="1"/>
          <w:bCs w:val="1"/>
          <w:i w:val="1"/>
          <w:iCs w:val="1"/>
          <w:noProof w:val="0"/>
          <w:color w:val="000000" w:themeColor="text1" w:themeTint="FF" w:themeShade="FF"/>
          <w:sz w:val="24"/>
          <w:szCs w:val="24"/>
          <w:lang w:val="en-US"/>
        </w:rPr>
        <w:t xml:space="preserve">Introduction </w:t>
      </w:r>
    </w:p>
    <w:p xmlns:wp14="http://schemas.microsoft.com/office/word/2010/wordml" w:rsidP="298AE695" wp14:paraId="1E2CDD14" wp14:textId="1684C529">
      <w:p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298AE695" w:rsidR="021B4316">
        <w:rPr>
          <w:rFonts w:ascii="Calibri" w:hAnsi="Calibri" w:eastAsia="Calibri" w:cs="Calibri"/>
          <w:b w:val="0"/>
          <w:bCs w:val="0"/>
          <w:i w:val="1"/>
          <w:iCs w:val="1"/>
          <w:noProof w:val="0"/>
          <w:color w:val="000000" w:themeColor="text1" w:themeTint="FF" w:themeShade="FF"/>
          <w:sz w:val="22"/>
          <w:szCs w:val="22"/>
          <w:lang w:val="en-US"/>
        </w:rPr>
        <w:t>Play is at</w:t>
      </w:r>
      <w:r w:rsidRPr="298AE695" w:rsidR="7A635EDE">
        <w:rPr>
          <w:rFonts w:ascii="Calibri" w:hAnsi="Calibri" w:eastAsia="Calibri" w:cs="Calibri"/>
          <w:b w:val="0"/>
          <w:bCs w:val="0"/>
          <w:i w:val="1"/>
          <w:iCs w:val="1"/>
          <w:noProof w:val="0"/>
          <w:color w:val="000000" w:themeColor="text1" w:themeTint="FF" w:themeShade="FF"/>
          <w:sz w:val="22"/>
          <w:szCs w:val="22"/>
          <w:lang w:val="en-US"/>
        </w:rPr>
        <w:t xml:space="preserve"> the core </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of early childhood education and is widely </w:t>
      </w:r>
      <w:r w:rsidRPr="298AE695" w:rsidR="021B4316">
        <w:rPr>
          <w:rFonts w:ascii="Calibri" w:hAnsi="Calibri" w:eastAsia="Calibri" w:cs="Calibri"/>
          <w:b w:val="0"/>
          <w:bCs w:val="0"/>
          <w:i w:val="1"/>
          <w:iCs w:val="1"/>
          <w:noProof w:val="0"/>
          <w:color w:val="000000" w:themeColor="text1" w:themeTint="FF" w:themeShade="FF"/>
          <w:sz w:val="22"/>
          <w:szCs w:val="22"/>
          <w:lang w:val="en-US"/>
        </w:rPr>
        <w:t>recognised</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as essential for young children’s development and learning (Beckley, 2012). Across the globe, many early years curricula take a play-based approach, but they do so in </w:t>
      </w:r>
      <w:r w:rsidRPr="298AE695" w:rsidR="021B4316">
        <w:rPr>
          <w:rFonts w:ascii="Calibri" w:hAnsi="Calibri" w:eastAsia="Calibri" w:cs="Calibri"/>
          <w:b w:val="0"/>
          <w:bCs w:val="0"/>
          <w:i w:val="1"/>
          <w:iCs w:val="1"/>
          <w:noProof w:val="0"/>
          <w:color w:val="000000" w:themeColor="text1" w:themeTint="FF" w:themeShade="FF"/>
          <w:sz w:val="22"/>
          <w:szCs w:val="22"/>
          <w:lang w:val="en-US"/>
        </w:rPr>
        <w:t>different ways</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depending on theoretical influences, values, and cultural contexts. In this section, I will critically </w:t>
      </w:r>
      <w:bookmarkStart w:name="_Int_KCpzitgp" w:id="663796835"/>
      <w:r w:rsidRPr="298AE695" w:rsidR="021B4316">
        <w:rPr>
          <w:rFonts w:ascii="Calibri" w:hAnsi="Calibri" w:eastAsia="Calibri" w:cs="Calibri"/>
          <w:b w:val="0"/>
          <w:bCs w:val="0"/>
          <w:i w:val="1"/>
          <w:iCs w:val="1"/>
          <w:noProof w:val="0"/>
          <w:color w:val="000000" w:themeColor="text1" w:themeTint="FF" w:themeShade="FF"/>
          <w:sz w:val="22"/>
          <w:szCs w:val="22"/>
          <w:lang w:val="en-US"/>
        </w:rPr>
        <w:t>compare and contrast</w:t>
      </w:r>
      <w:bookmarkEnd w:id="663796835"/>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two significant play-based approaches: the </w:t>
      </w:r>
      <w:r w:rsidRPr="298AE695" w:rsidR="021B4316">
        <w:rPr>
          <w:rFonts w:ascii="Calibri" w:hAnsi="Calibri" w:eastAsia="Calibri" w:cs="Calibri"/>
          <w:b w:val="0"/>
          <w:bCs w:val="0"/>
          <w:i w:val="1"/>
          <w:iCs w:val="1"/>
          <w:noProof w:val="0"/>
          <w:color w:val="000000" w:themeColor="text1" w:themeTint="FF" w:themeShade="FF"/>
          <w:sz w:val="22"/>
          <w:szCs w:val="22"/>
          <w:lang w:val="en-US"/>
        </w:rPr>
        <w:t>Reggio Emilia</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approach, which originated in Italy, and </w:t>
      </w:r>
      <w:r w:rsidRPr="298AE695" w:rsidR="021B4316">
        <w:rPr>
          <w:rFonts w:ascii="Calibri" w:hAnsi="Calibri" w:eastAsia="Calibri" w:cs="Calibri"/>
          <w:b w:val="0"/>
          <w:bCs w:val="0"/>
          <w:i w:val="1"/>
          <w:iCs w:val="1"/>
          <w:noProof w:val="0"/>
          <w:color w:val="000000" w:themeColor="text1" w:themeTint="FF" w:themeShade="FF"/>
          <w:sz w:val="22"/>
          <w:szCs w:val="22"/>
          <w:lang w:val="en-US"/>
        </w:rPr>
        <w:t>The Foundation Phase</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in Wales. These curricula reflect different philosophies and priorities, yet both </w:t>
      </w:r>
      <w:r w:rsidRPr="298AE695" w:rsidR="021B4316">
        <w:rPr>
          <w:rFonts w:ascii="Calibri" w:hAnsi="Calibri" w:eastAsia="Calibri" w:cs="Calibri"/>
          <w:b w:val="0"/>
          <w:bCs w:val="0"/>
          <w:i w:val="1"/>
          <w:iCs w:val="1"/>
          <w:noProof w:val="0"/>
          <w:color w:val="000000" w:themeColor="text1" w:themeTint="FF" w:themeShade="FF"/>
          <w:sz w:val="22"/>
          <w:szCs w:val="22"/>
          <w:lang w:val="en-US"/>
        </w:rPr>
        <w:t>centre</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play as a primary medium for learning.</w:t>
      </w:r>
    </w:p>
    <w:p xmlns:wp14="http://schemas.microsoft.com/office/word/2010/wordml" w:rsidP="298AE695" wp14:paraId="66F3223D" wp14:textId="3AB7DA1C">
      <w:pPr>
        <w:spacing w:before="240" w:beforeAutospacing="off" w:after="240" w:afterAutospacing="off"/>
        <w:rPr>
          <w:rFonts w:ascii="Calibri" w:hAnsi="Calibri" w:eastAsia="Calibri" w:cs="Calibri"/>
          <w:b w:val="0"/>
          <w:bCs w:val="0"/>
          <w:i w:val="1"/>
          <w:iCs w:val="1"/>
          <w:noProof w:val="0"/>
          <w:color w:val="000000" w:themeColor="text1" w:themeTint="FF" w:themeShade="FF"/>
          <w:sz w:val="22"/>
          <w:szCs w:val="22"/>
          <w:lang w:val="en-US"/>
        </w:rPr>
      </w:pP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Using current research, government guidance, and academic literature, this comparison will </w:t>
      </w:r>
      <w:r w:rsidRPr="298AE695" w:rsidR="021B4316">
        <w:rPr>
          <w:rFonts w:ascii="Calibri" w:hAnsi="Calibri" w:eastAsia="Calibri" w:cs="Calibri"/>
          <w:b w:val="0"/>
          <w:bCs w:val="0"/>
          <w:i w:val="1"/>
          <w:iCs w:val="1"/>
          <w:noProof w:val="0"/>
          <w:color w:val="000000" w:themeColor="text1" w:themeTint="FF" w:themeShade="FF"/>
          <w:sz w:val="22"/>
          <w:szCs w:val="22"/>
          <w:lang w:val="en-US"/>
        </w:rPr>
        <w:t>analyse</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their theoretical underpinnings, values, and curriculum implementation. I will also evaluate their strengths and limitations and reflect on how practitioners are supported to deliver each curriculum. This section aims to </w:t>
      </w:r>
      <w:r w:rsidRPr="298AE695" w:rsidR="021B4316">
        <w:rPr>
          <w:rFonts w:ascii="Calibri" w:hAnsi="Calibri" w:eastAsia="Calibri" w:cs="Calibri"/>
          <w:b w:val="0"/>
          <w:bCs w:val="0"/>
          <w:i w:val="1"/>
          <w:iCs w:val="1"/>
          <w:noProof w:val="0"/>
          <w:color w:val="000000" w:themeColor="text1" w:themeTint="FF" w:themeShade="FF"/>
          <w:sz w:val="22"/>
          <w:szCs w:val="22"/>
          <w:lang w:val="en-US"/>
        </w:rPr>
        <w:t>demonstrate</w:t>
      </w:r>
      <w:r w:rsidRPr="298AE695" w:rsidR="021B4316">
        <w:rPr>
          <w:rFonts w:ascii="Calibri" w:hAnsi="Calibri" w:eastAsia="Calibri" w:cs="Calibri"/>
          <w:b w:val="0"/>
          <w:bCs w:val="0"/>
          <w:i w:val="1"/>
          <w:iCs w:val="1"/>
          <w:noProof w:val="0"/>
          <w:color w:val="000000" w:themeColor="text1" w:themeTint="FF" w:themeShade="FF"/>
          <w:sz w:val="22"/>
          <w:szCs w:val="22"/>
          <w:lang w:val="en-US"/>
        </w:rPr>
        <w:t xml:space="preserve"> a clear understanding of how play-based approaches are developed, interpreted, and used in practice.</w:t>
      </w:r>
    </w:p>
    <w:p xmlns:wp14="http://schemas.microsoft.com/office/word/2010/wordml" w:rsidP="298AE695" wp14:paraId="31D6C8DD" wp14:textId="2B594B41">
      <w:pPr>
        <w:rPr>
          <w:rFonts w:ascii="Calibri" w:hAnsi="Calibri" w:eastAsia="Calibri" w:cs="Calibri"/>
          <w:b w:val="0"/>
          <w:bCs w:val="0"/>
          <w:i w:val="1"/>
          <w:iCs w:val="1"/>
          <w:color w:val="000000" w:themeColor="text1" w:themeTint="FF" w:themeShade="FF"/>
          <w:sz w:val="22"/>
          <w:szCs w:val="22"/>
        </w:rPr>
      </w:pPr>
    </w:p>
    <w:p xmlns:wp14="http://schemas.microsoft.com/office/word/2010/wordml" w:rsidP="298AE695" wp14:paraId="16496B14" wp14:textId="3CC13CDE">
      <w:pPr>
        <w:pStyle w:val="Heading3"/>
        <w:spacing w:before="281" w:beforeAutospacing="off" w:after="281" w:afterAutospacing="off"/>
        <w:rPr>
          <w:rFonts w:ascii="Calibri" w:hAnsi="Calibri" w:eastAsia="Calibri" w:cs="Calibri"/>
          <w:b w:val="1"/>
          <w:bCs w:val="1"/>
          <w:i w:val="1"/>
          <w:iCs w:val="1"/>
          <w:noProof w:val="0"/>
          <w:color w:val="000000" w:themeColor="text1" w:themeTint="FF" w:themeShade="FF"/>
          <w:sz w:val="24"/>
          <w:szCs w:val="24"/>
          <w:lang w:val="en-US"/>
        </w:rPr>
      </w:pPr>
      <w:r w:rsidRPr="298AE695" w:rsidR="021B4316">
        <w:rPr>
          <w:rFonts w:ascii="Calibri" w:hAnsi="Calibri" w:eastAsia="Calibri" w:cs="Calibri"/>
          <w:b w:val="1"/>
          <w:bCs w:val="1"/>
          <w:i w:val="1"/>
          <w:iCs w:val="1"/>
          <w:noProof w:val="0"/>
          <w:color w:val="000000" w:themeColor="text1" w:themeTint="FF" w:themeShade="FF"/>
          <w:sz w:val="24"/>
          <w:szCs w:val="24"/>
          <w:lang w:val="en-US"/>
        </w:rPr>
        <w:t>Theoretical Foundations and Values</w:t>
      </w:r>
      <w:r w:rsidRPr="298AE695" w:rsidR="021B4316">
        <w:rPr>
          <w:rFonts w:ascii="Calibri" w:hAnsi="Calibri" w:eastAsia="Calibri" w:cs="Calibri"/>
          <w:b w:val="1"/>
          <w:bCs w:val="1"/>
          <w:i w:val="1"/>
          <w:iCs w:val="1"/>
          <w:noProof w:val="0"/>
          <w:color w:val="000000" w:themeColor="text1" w:themeTint="FF" w:themeShade="FF"/>
          <w:sz w:val="24"/>
          <w:szCs w:val="24"/>
          <w:lang w:val="en-US"/>
        </w:rPr>
        <w:t xml:space="preserve"> </w:t>
      </w:r>
    </w:p>
    <w:p xmlns:wp14="http://schemas.microsoft.com/office/word/2010/wordml" w:rsidP="329B76F0" wp14:paraId="4C2F5A4D" wp14:textId="1819706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Both the Reggio Emilia approach and the Foundation Phase are rooted in play and active learning but draw on different theoretical frameworks and pedagogical traditions. The Reggio Emilia approach is inspired by the work of Vygotsky, Dewey, and Malaguzzi, who </w:t>
      </w:r>
      <w:r w:rsidRPr="329B76F0" w:rsidR="021B4316">
        <w:rPr>
          <w:rFonts w:ascii="Calibri" w:hAnsi="Calibri" w:eastAsia="Calibri" w:cs="Calibri"/>
          <w:b w:val="0"/>
          <w:bCs w:val="0"/>
          <w:noProof w:val="0"/>
          <w:color w:val="000000" w:themeColor="text1" w:themeTint="FF" w:themeShade="FF"/>
          <w:sz w:val="22"/>
          <w:szCs w:val="22"/>
          <w:lang w:val="en-US"/>
        </w:rPr>
        <w:t>emphasised</w:t>
      </w:r>
      <w:r w:rsidRPr="329B76F0" w:rsidR="021B4316">
        <w:rPr>
          <w:rFonts w:ascii="Calibri" w:hAnsi="Calibri" w:eastAsia="Calibri" w:cs="Calibri"/>
          <w:b w:val="0"/>
          <w:bCs w:val="0"/>
          <w:noProof w:val="0"/>
          <w:color w:val="000000" w:themeColor="text1" w:themeTint="FF" w:themeShade="FF"/>
          <w:sz w:val="22"/>
          <w:szCs w:val="22"/>
          <w:lang w:val="en-US"/>
        </w:rPr>
        <w:t xml:space="preserve"> the social nature of learning and the importance of relationships in education (Edwards et al., 2012). It values children as capable, competent learners who construct knowledge through exploration and dialogue with others (McNally &amp; Slutsky, 2017).</w:t>
      </w:r>
    </w:p>
    <w:p xmlns:wp14="http://schemas.microsoft.com/office/word/2010/wordml" w:rsidP="329B76F0" wp14:paraId="1B0DAA0B" wp14:textId="32FCCBC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In contrast, the Welsh </w:t>
      </w:r>
      <w:r w:rsidRPr="329B76F0" w:rsidR="021B4316">
        <w:rPr>
          <w:rFonts w:ascii="Calibri" w:hAnsi="Calibri" w:eastAsia="Calibri" w:cs="Calibri"/>
          <w:b w:val="0"/>
          <w:bCs w:val="0"/>
          <w:i w:val="1"/>
          <w:iCs w:val="1"/>
          <w:noProof w:val="0"/>
          <w:color w:val="000000" w:themeColor="text1" w:themeTint="FF" w:themeShade="FF"/>
          <w:sz w:val="22"/>
          <w:szCs w:val="22"/>
          <w:lang w:val="en-US"/>
        </w:rPr>
        <w:t>Foundation Phase</w:t>
      </w:r>
      <w:r w:rsidRPr="329B76F0" w:rsidR="021B4316">
        <w:rPr>
          <w:rFonts w:ascii="Calibri" w:hAnsi="Calibri" w:eastAsia="Calibri" w:cs="Calibri"/>
          <w:b w:val="0"/>
          <w:bCs w:val="0"/>
          <w:noProof w:val="0"/>
          <w:color w:val="000000" w:themeColor="text1" w:themeTint="FF" w:themeShade="FF"/>
          <w:sz w:val="22"/>
          <w:szCs w:val="22"/>
          <w:lang w:val="en-US"/>
        </w:rPr>
        <w:t xml:space="preserve"> curriculum is based on the principle of “learning through doing” and is influenced by the developmental theories of Piaget and Bruner (Thomas &amp; Lewis, 2016). It positions children as active participants in their learning and encourages holistic development across seven areas of learning, such as personal and social development, language, and physical well-being (Welsh Government, 2021). The Foundation Phase was developed as a response to traditional, </w:t>
      </w:r>
      <w:r w:rsidRPr="329B76F0" w:rsidR="021B4316">
        <w:rPr>
          <w:rFonts w:ascii="Calibri" w:hAnsi="Calibri" w:eastAsia="Calibri" w:cs="Calibri"/>
          <w:b w:val="0"/>
          <w:bCs w:val="0"/>
          <w:noProof w:val="0"/>
          <w:color w:val="000000" w:themeColor="text1" w:themeTint="FF" w:themeShade="FF"/>
          <w:sz w:val="22"/>
          <w:szCs w:val="22"/>
          <w:lang w:val="en-US"/>
        </w:rPr>
        <w:t>formalised</w:t>
      </w:r>
      <w:r w:rsidRPr="329B76F0" w:rsidR="021B4316">
        <w:rPr>
          <w:rFonts w:ascii="Calibri" w:hAnsi="Calibri" w:eastAsia="Calibri" w:cs="Calibri"/>
          <w:b w:val="0"/>
          <w:bCs w:val="0"/>
          <w:noProof w:val="0"/>
          <w:color w:val="000000" w:themeColor="text1" w:themeTint="FF" w:themeShade="FF"/>
          <w:sz w:val="22"/>
          <w:szCs w:val="22"/>
          <w:lang w:val="en-US"/>
        </w:rPr>
        <w:t xml:space="preserve"> learning approaches that did not align with the needs of young children.</w:t>
      </w:r>
    </w:p>
    <w:p xmlns:wp14="http://schemas.microsoft.com/office/word/2010/wordml" w:rsidP="329B76F0" wp14:paraId="7C98222B" wp14:textId="36A0434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While both approaches share an emphasis on the importance of child-led learning and creativity, Reggio Emilia places more emphasis on aesthetic sensibility, collaborative group work, and documentation as a form of reflection (McNally &amp; Slutsky, 2017). Meanwhile, the Foundation Phase integrates play with structured learning goals linked to assessment and progression frameworks.</w:t>
      </w:r>
    </w:p>
    <w:p xmlns:wp14="http://schemas.microsoft.com/office/word/2010/wordml" w:rsidP="329B76F0" wp14:paraId="6F67CEBB" wp14:textId="059F933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Values also differ slightly. Reggio Emilia deeply values community, democracy, and the environment as the "third teacher" (Gandini, 2012), </w:t>
      </w:r>
      <w:r w:rsidRPr="329B76F0" w:rsidR="021B4316">
        <w:rPr>
          <w:rFonts w:ascii="Calibri" w:hAnsi="Calibri" w:eastAsia="Calibri" w:cs="Calibri"/>
          <w:b w:val="0"/>
          <w:bCs w:val="0"/>
          <w:noProof w:val="0"/>
          <w:color w:val="000000" w:themeColor="text1" w:themeTint="FF" w:themeShade="FF"/>
          <w:sz w:val="22"/>
          <w:szCs w:val="22"/>
          <w:lang w:val="en-US"/>
        </w:rPr>
        <w:t>whereas</w:t>
      </w:r>
      <w:r w:rsidRPr="329B76F0" w:rsidR="021B4316">
        <w:rPr>
          <w:rFonts w:ascii="Calibri" w:hAnsi="Calibri" w:eastAsia="Calibri" w:cs="Calibri"/>
          <w:b w:val="0"/>
          <w:bCs w:val="0"/>
          <w:noProof w:val="0"/>
          <w:color w:val="000000" w:themeColor="text1" w:themeTint="FF" w:themeShade="FF"/>
          <w:sz w:val="22"/>
          <w:szCs w:val="22"/>
          <w:lang w:val="en-US"/>
        </w:rPr>
        <w:t xml:space="preserve"> the Foundation Phase is more explicitly concerned with ensuring equity, inclusion, and accessibility for all learners, particularly in a Welsh national context (Taylor et al., 2016).</w:t>
      </w:r>
    </w:p>
    <w:p xmlns:wp14="http://schemas.microsoft.com/office/word/2010/wordml" w:rsidP="329B76F0" wp14:paraId="4ECBF024" wp14:textId="6F51F7D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However</w:t>
      </w:r>
      <w:r w:rsidRPr="329B76F0" w:rsidR="021B4316">
        <w:rPr>
          <w:rFonts w:ascii="Calibri" w:hAnsi="Calibri" w:eastAsia="Calibri" w:cs="Calibri"/>
          <w:b w:val="0"/>
          <w:bCs w:val="0"/>
          <w:noProof w:val="0"/>
          <w:color w:val="000000" w:themeColor="text1" w:themeTint="FF" w:themeShade="FF"/>
          <w:sz w:val="22"/>
          <w:szCs w:val="22"/>
          <w:lang w:val="en-US"/>
        </w:rPr>
        <w:t>, both curricula uphold the rights of the child, align with the United Nations Convention on the Rights of the Child (UNCRC), and aim to create rich environments that promote exploration, choice, and social interaction (UNICEF, 1989).</w:t>
      </w:r>
    </w:p>
    <w:p xmlns:wp14="http://schemas.microsoft.com/office/word/2010/wordml" w:rsidP="298AE695" wp14:paraId="4786EBB0" wp14:textId="2D792D48">
      <w:pPr>
        <w:pStyle w:val="Heading3"/>
        <w:rPr>
          <w:rFonts w:ascii="Calibri" w:hAnsi="Calibri" w:eastAsia="Calibri" w:cs="Calibri"/>
          <w:b w:val="1"/>
          <w:bCs w:val="1"/>
          <w:i w:val="1"/>
          <w:iCs w:val="1"/>
          <w:noProof w:val="0"/>
          <w:color w:val="000000" w:themeColor="text1" w:themeTint="FF" w:themeShade="FF"/>
          <w:sz w:val="24"/>
          <w:szCs w:val="24"/>
          <w:lang w:val="en-US"/>
        </w:rPr>
      </w:pPr>
      <w:r w:rsidRPr="298AE695" w:rsidR="021B4316">
        <w:rPr>
          <w:rFonts w:ascii="Calibri" w:hAnsi="Calibri" w:eastAsia="Calibri" w:cs="Calibri"/>
          <w:b w:val="1"/>
          <w:bCs w:val="1"/>
          <w:i w:val="1"/>
          <w:iCs w:val="1"/>
          <w:noProof w:val="0"/>
          <w:color w:val="000000" w:themeColor="text1" w:themeTint="FF" w:themeShade="FF"/>
          <w:sz w:val="24"/>
          <w:szCs w:val="24"/>
          <w:lang w:val="en-US"/>
        </w:rPr>
        <w:t>Curriculum Structure and Guidance</w:t>
      </w:r>
    </w:p>
    <w:p xmlns:wp14="http://schemas.microsoft.com/office/word/2010/wordml" w:rsidP="329B76F0" wp14:paraId="6045A2D7" wp14:textId="1F8E771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The Reggio Emilia approach does not follow a set curriculum in the traditional sense. Instead, it adopts a project-based model of learning where topics </w:t>
      </w:r>
      <w:r w:rsidRPr="329B76F0" w:rsidR="021B4316">
        <w:rPr>
          <w:rFonts w:ascii="Calibri" w:hAnsi="Calibri" w:eastAsia="Calibri" w:cs="Calibri"/>
          <w:b w:val="0"/>
          <w:bCs w:val="0"/>
          <w:noProof w:val="0"/>
          <w:color w:val="000000" w:themeColor="text1" w:themeTint="FF" w:themeShade="FF"/>
          <w:sz w:val="22"/>
          <w:szCs w:val="22"/>
          <w:lang w:val="en-US"/>
        </w:rPr>
        <w:t>emerge</w:t>
      </w:r>
      <w:r w:rsidRPr="329B76F0" w:rsidR="021B4316">
        <w:rPr>
          <w:rFonts w:ascii="Calibri" w:hAnsi="Calibri" w:eastAsia="Calibri" w:cs="Calibri"/>
          <w:b w:val="0"/>
          <w:bCs w:val="0"/>
          <w:noProof w:val="0"/>
          <w:color w:val="000000" w:themeColor="text1" w:themeTint="FF" w:themeShade="FF"/>
          <w:sz w:val="22"/>
          <w:szCs w:val="22"/>
          <w:lang w:val="en-US"/>
        </w:rPr>
        <w:t xml:space="preserve"> from the interests of the children (Edwards et al., 2012). Practitioners </w:t>
      </w:r>
      <w:r w:rsidRPr="329B76F0" w:rsidR="021B4316">
        <w:rPr>
          <w:rFonts w:ascii="Calibri" w:hAnsi="Calibri" w:eastAsia="Calibri" w:cs="Calibri"/>
          <w:b w:val="0"/>
          <w:bCs w:val="0"/>
          <w:noProof w:val="0"/>
          <w:color w:val="000000" w:themeColor="text1" w:themeTint="FF" w:themeShade="FF"/>
          <w:sz w:val="22"/>
          <w:szCs w:val="22"/>
          <w:lang w:val="en-US"/>
        </w:rPr>
        <w:t>observe</w:t>
      </w:r>
      <w:r w:rsidRPr="329B76F0" w:rsidR="021B4316">
        <w:rPr>
          <w:rFonts w:ascii="Calibri" w:hAnsi="Calibri" w:eastAsia="Calibri" w:cs="Calibri"/>
          <w:b w:val="0"/>
          <w:bCs w:val="0"/>
          <w:noProof w:val="0"/>
          <w:color w:val="000000" w:themeColor="text1" w:themeTint="FF" w:themeShade="FF"/>
          <w:sz w:val="22"/>
          <w:szCs w:val="22"/>
          <w:lang w:val="en-US"/>
        </w:rPr>
        <w:t xml:space="preserve"> children's play and co-construct learning opportunities alongside them, encouraging long-term projects that are meaningful and relevant. This open-ended and emergent approach requires </w:t>
      </w:r>
      <w:r w:rsidRPr="329B76F0" w:rsidR="021B4316">
        <w:rPr>
          <w:rFonts w:ascii="Calibri" w:hAnsi="Calibri" w:eastAsia="Calibri" w:cs="Calibri"/>
          <w:b w:val="0"/>
          <w:bCs w:val="0"/>
          <w:noProof w:val="0"/>
          <w:color w:val="000000" w:themeColor="text1" w:themeTint="FF" w:themeShade="FF"/>
          <w:sz w:val="22"/>
          <w:szCs w:val="22"/>
          <w:lang w:val="en-US"/>
        </w:rPr>
        <w:t>a high level</w:t>
      </w:r>
      <w:r w:rsidRPr="329B76F0" w:rsidR="021B4316">
        <w:rPr>
          <w:rFonts w:ascii="Calibri" w:hAnsi="Calibri" w:eastAsia="Calibri" w:cs="Calibri"/>
          <w:b w:val="0"/>
          <w:bCs w:val="0"/>
          <w:noProof w:val="0"/>
          <w:color w:val="000000" w:themeColor="text1" w:themeTint="FF" w:themeShade="FF"/>
          <w:sz w:val="22"/>
          <w:szCs w:val="22"/>
          <w:lang w:val="en-US"/>
        </w:rPr>
        <w:t xml:space="preserve"> of professional reflection and collaboration among staff and families (Canning &amp; Reed, 2012).</w:t>
      </w:r>
    </w:p>
    <w:p xmlns:wp14="http://schemas.microsoft.com/office/word/2010/wordml" w:rsidP="329B76F0" wp14:paraId="10978D05" wp14:textId="3405BEA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On the other hand, the Foundation Phase offers a clearly structured curriculum document with defined Areas of Learning and Experience (AOLEs).</w:t>
      </w:r>
      <w:r w:rsidRPr="329B76F0" w:rsidR="021B4316">
        <w:rPr>
          <w:rFonts w:ascii="Calibri" w:hAnsi="Calibri" w:eastAsia="Calibri" w:cs="Calibri"/>
          <w:b w:val="0"/>
          <w:bCs w:val="0"/>
          <w:noProof w:val="0"/>
          <w:color w:val="000000" w:themeColor="text1" w:themeTint="FF" w:themeShade="FF"/>
          <w:sz w:val="22"/>
          <w:szCs w:val="22"/>
          <w:lang w:val="en-US"/>
        </w:rPr>
        <w:t xml:space="preserve"> These areas include Language, Literacy and Communication; Mathematical Development; and Knowledge and Understanding of the World (Welsh Government, 2021). Although still play-based, it provides more explicit learning outcomes and progression steps than Reggio Emilia, supporting consistency and accountability across Welsh early years settings.</w:t>
      </w:r>
    </w:p>
    <w:p xmlns:wp14="http://schemas.microsoft.com/office/word/2010/wordml" w:rsidP="329B76F0" wp14:paraId="0FAA6D6B" wp14:textId="2706391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A key difference lies in the level of guidance given to practitioners. In Reggio Emilia, teachers act as researchers and co-learners, with considerable autonomy to interpret and implement the approach (Fraser &amp; </w:t>
      </w:r>
      <w:r w:rsidRPr="329B76F0" w:rsidR="021B4316">
        <w:rPr>
          <w:rFonts w:ascii="Calibri" w:hAnsi="Calibri" w:eastAsia="Calibri" w:cs="Calibri"/>
          <w:b w:val="0"/>
          <w:bCs w:val="0"/>
          <w:noProof w:val="0"/>
          <w:color w:val="000000" w:themeColor="text1" w:themeTint="FF" w:themeShade="FF"/>
          <w:sz w:val="22"/>
          <w:szCs w:val="22"/>
          <w:lang w:val="en-US"/>
        </w:rPr>
        <w:t>Gestwicki</w:t>
      </w:r>
      <w:r w:rsidRPr="329B76F0" w:rsidR="021B4316">
        <w:rPr>
          <w:rFonts w:ascii="Calibri" w:hAnsi="Calibri" w:eastAsia="Calibri" w:cs="Calibri"/>
          <w:b w:val="0"/>
          <w:bCs w:val="0"/>
          <w:noProof w:val="0"/>
          <w:color w:val="000000" w:themeColor="text1" w:themeTint="FF" w:themeShade="FF"/>
          <w:sz w:val="22"/>
          <w:szCs w:val="22"/>
          <w:lang w:val="en-US"/>
        </w:rPr>
        <w:t xml:space="preserve">, 2002). In contrast, the Foundation Phase requires practitioners to adhere to statutory and non-statutory guidance, such as the </w:t>
      </w:r>
      <w:r w:rsidRPr="329B76F0" w:rsidR="021B4316">
        <w:rPr>
          <w:rFonts w:ascii="Calibri" w:hAnsi="Calibri" w:eastAsia="Calibri" w:cs="Calibri"/>
          <w:b w:val="0"/>
          <w:bCs w:val="0"/>
          <w:i w:val="1"/>
          <w:iCs w:val="1"/>
          <w:noProof w:val="0"/>
          <w:color w:val="000000" w:themeColor="text1" w:themeTint="FF" w:themeShade="FF"/>
          <w:sz w:val="22"/>
          <w:szCs w:val="22"/>
          <w:lang w:val="en-US"/>
        </w:rPr>
        <w:t>Curriculum for Wales</w:t>
      </w:r>
      <w:r w:rsidRPr="329B76F0" w:rsidR="021B4316">
        <w:rPr>
          <w:rFonts w:ascii="Calibri" w:hAnsi="Calibri" w:eastAsia="Calibri" w:cs="Calibri"/>
          <w:b w:val="0"/>
          <w:bCs w:val="0"/>
          <w:noProof w:val="0"/>
          <w:color w:val="000000" w:themeColor="text1" w:themeTint="FF" w:themeShade="FF"/>
          <w:sz w:val="22"/>
          <w:szCs w:val="22"/>
          <w:lang w:val="en-US"/>
        </w:rPr>
        <w:t xml:space="preserve"> and </w:t>
      </w:r>
      <w:r w:rsidRPr="329B76F0" w:rsidR="021B4316">
        <w:rPr>
          <w:rFonts w:ascii="Calibri" w:hAnsi="Calibri" w:eastAsia="Calibri" w:cs="Calibri"/>
          <w:b w:val="0"/>
          <w:bCs w:val="0"/>
          <w:i w:val="1"/>
          <w:iCs w:val="1"/>
          <w:noProof w:val="0"/>
          <w:color w:val="000000" w:themeColor="text1" w:themeTint="FF" w:themeShade="FF"/>
          <w:sz w:val="22"/>
          <w:szCs w:val="22"/>
          <w:lang w:val="en-US"/>
        </w:rPr>
        <w:t>Development Matters</w:t>
      </w:r>
      <w:r w:rsidRPr="329B76F0" w:rsidR="021B4316">
        <w:rPr>
          <w:rFonts w:ascii="Calibri" w:hAnsi="Calibri" w:eastAsia="Calibri" w:cs="Calibri"/>
          <w:b w:val="0"/>
          <w:bCs w:val="0"/>
          <w:noProof w:val="0"/>
          <w:color w:val="000000" w:themeColor="text1" w:themeTint="FF" w:themeShade="FF"/>
          <w:sz w:val="22"/>
          <w:szCs w:val="22"/>
          <w:lang w:val="en-US"/>
        </w:rPr>
        <w:t xml:space="preserve"> (DfE, 2023; Welsh Government, 2021). This ensures a degree of standa</w:t>
      </w:r>
      <w:r w:rsidRPr="329B76F0" w:rsidR="07303AC8">
        <w:rPr>
          <w:rFonts w:ascii="Calibri" w:hAnsi="Calibri" w:eastAsia="Calibri" w:cs="Calibri"/>
          <w:b w:val="0"/>
          <w:bCs w:val="0"/>
          <w:noProof w:val="0"/>
          <w:color w:val="000000" w:themeColor="text1" w:themeTint="FF" w:themeShade="FF"/>
          <w:sz w:val="22"/>
          <w:szCs w:val="22"/>
          <w:lang w:val="en-US"/>
        </w:rPr>
        <w:t>rd</w:t>
      </w:r>
      <w:r w:rsidRPr="329B76F0" w:rsidR="021B4316">
        <w:rPr>
          <w:rFonts w:ascii="Calibri" w:hAnsi="Calibri" w:eastAsia="Calibri" w:cs="Calibri"/>
          <w:b w:val="0"/>
          <w:bCs w:val="0"/>
          <w:noProof w:val="0"/>
          <w:color w:val="000000" w:themeColor="text1" w:themeTint="FF" w:themeShade="FF"/>
          <w:sz w:val="22"/>
          <w:szCs w:val="22"/>
          <w:lang w:val="en-US"/>
        </w:rPr>
        <w:t>, which can be both a strength and a limitation.</w:t>
      </w:r>
    </w:p>
    <w:p xmlns:wp14="http://schemas.microsoft.com/office/word/2010/wordml" w:rsidP="329B76F0" wp14:paraId="1E2EF411" wp14:textId="40296FB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However</w:t>
      </w:r>
      <w:r w:rsidRPr="329B76F0" w:rsidR="021B4316">
        <w:rPr>
          <w:rFonts w:ascii="Calibri" w:hAnsi="Calibri" w:eastAsia="Calibri" w:cs="Calibri"/>
          <w:b w:val="0"/>
          <w:bCs w:val="0"/>
          <w:noProof w:val="0"/>
          <w:color w:val="000000" w:themeColor="text1" w:themeTint="FF" w:themeShade="FF"/>
          <w:sz w:val="22"/>
          <w:szCs w:val="22"/>
          <w:lang w:val="en-US"/>
        </w:rPr>
        <w:t>, while Reggio Emilia allows for greater creativity and responsiveness, it can be difficult to implement in state-funded settings due to training needs and resource demands (McNally &amp; Slutsky, 2017). The Foundation Phase offers more support materials and professional development opportunities, which can aid practitioners in delivering a play-based curriculum (Kingston &amp; Siraj, 2016).</w:t>
      </w:r>
    </w:p>
    <w:p xmlns:wp14="http://schemas.microsoft.com/office/word/2010/wordml" w:rsidP="329B76F0" wp14:paraId="6C40688A" wp14:textId="282D56D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7EE173DC">
        <w:rPr>
          <w:rFonts w:ascii="Calibri" w:hAnsi="Calibri" w:eastAsia="Calibri" w:cs="Calibri"/>
          <w:b w:val="0"/>
          <w:bCs w:val="0"/>
          <w:noProof w:val="0"/>
          <w:color w:val="000000" w:themeColor="text1" w:themeTint="FF" w:themeShade="FF"/>
          <w:sz w:val="22"/>
          <w:szCs w:val="22"/>
          <w:lang w:val="en-US"/>
        </w:rPr>
        <w:t>Additionally, curriculum guidance must strike a balance between structure and flexibility to support diverse learner needs. While frameworks like the Foundation Phase promote child-led, play-based learning (Welsh Government, 2022), they still require practitioners to make intentional curriculum decisions that align with developmental goals. As McLachlan, Fleer, and Edwards (2018) argue, curriculum design should offer clear pedagogical direction while allowing practitioners to adapt to the contextual realities of their setting. This dual emphasis empowers educators to be responsive and reflective, ensuring that curriculum implementation supports progression without undermining the exploratory nature of early childhood play.</w:t>
      </w:r>
    </w:p>
    <w:p xmlns:wp14="http://schemas.microsoft.com/office/word/2010/wordml" w:rsidP="329B76F0" wp14:paraId="3D770F29" wp14:textId="28A434AC">
      <w:pPr>
        <w:rPr>
          <w:rFonts w:ascii="Calibri" w:hAnsi="Calibri" w:eastAsia="Calibri" w:cs="Calibri"/>
          <w:b w:val="0"/>
          <w:bCs w:val="0"/>
          <w:color w:val="000000" w:themeColor="text1" w:themeTint="FF" w:themeShade="FF"/>
          <w:sz w:val="22"/>
          <w:szCs w:val="22"/>
        </w:rPr>
      </w:pPr>
    </w:p>
    <w:p xmlns:wp14="http://schemas.microsoft.com/office/word/2010/wordml" w:rsidP="298AE695" wp14:paraId="1FBC0708" wp14:textId="47B52B7C">
      <w:pPr>
        <w:pStyle w:val="Heading3"/>
        <w:spacing w:before="281" w:beforeAutospacing="off" w:after="281" w:afterAutospacing="off"/>
        <w:rPr>
          <w:rFonts w:ascii="Calibri" w:hAnsi="Calibri" w:eastAsia="Calibri" w:cs="Calibri"/>
          <w:b w:val="1"/>
          <w:bCs w:val="1"/>
          <w:i w:val="1"/>
          <w:iCs w:val="1"/>
          <w:noProof w:val="0"/>
          <w:color w:val="000000" w:themeColor="text1" w:themeTint="FF" w:themeShade="FF"/>
          <w:sz w:val="24"/>
          <w:szCs w:val="24"/>
          <w:lang w:val="en-US"/>
        </w:rPr>
      </w:pPr>
      <w:r w:rsidRPr="298AE695" w:rsidR="021B4316">
        <w:rPr>
          <w:rFonts w:ascii="Calibri" w:hAnsi="Calibri" w:eastAsia="Calibri" w:cs="Calibri"/>
          <w:b w:val="1"/>
          <w:bCs w:val="1"/>
          <w:i w:val="1"/>
          <w:iCs w:val="1"/>
          <w:noProof w:val="0"/>
          <w:color w:val="000000" w:themeColor="text1" w:themeTint="FF" w:themeShade="FF"/>
          <w:sz w:val="24"/>
          <w:szCs w:val="24"/>
          <w:lang w:val="en-US"/>
        </w:rPr>
        <w:t xml:space="preserve">Role of the Adult </w:t>
      </w:r>
    </w:p>
    <w:p xmlns:wp14="http://schemas.microsoft.com/office/word/2010/wordml" w:rsidP="329B76F0" wp14:paraId="7BD32194" wp14:textId="5F59E45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In both curricula, adults are viewed as crucial facilitators of learning. In the Reggio Emilia approach, practitioners are co-constructors of knowledge, guiding and extending children’s thinking through dialogue and scaffolding (Fraser &amp; </w:t>
      </w:r>
      <w:r w:rsidRPr="329B76F0" w:rsidR="021B4316">
        <w:rPr>
          <w:rFonts w:ascii="Calibri" w:hAnsi="Calibri" w:eastAsia="Calibri" w:cs="Calibri"/>
          <w:b w:val="0"/>
          <w:bCs w:val="0"/>
          <w:noProof w:val="0"/>
          <w:color w:val="000000" w:themeColor="text1" w:themeTint="FF" w:themeShade="FF"/>
          <w:sz w:val="22"/>
          <w:szCs w:val="22"/>
          <w:lang w:val="en-US"/>
        </w:rPr>
        <w:t>Gestwicki</w:t>
      </w:r>
      <w:r w:rsidRPr="329B76F0" w:rsidR="021B4316">
        <w:rPr>
          <w:rFonts w:ascii="Calibri" w:hAnsi="Calibri" w:eastAsia="Calibri" w:cs="Calibri"/>
          <w:b w:val="0"/>
          <w:bCs w:val="0"/>
          <w:noProof w:val="0"/>
          <w:color w:val="000000" w:themeColor="text1" w:themeTint="FF" w:themeShade="FF"/>
          <w:sz w:val="22"/>
          <w:szCs w:val="22"/>
          <w:lang w:val="en-US"/>
        </w:rPr>
        <w:t>, 2002). They also engage in deep documentation practices, capturing children’s words, ideas, and representations to inform planning and reflection (Edwards et al., 2012).</w:t>
      </w:r>
    </w:p>
    <w:p xmlns:wp14="http://schemas.microsoft.com/office/word/2010/wordml" w:rsidP="329B76F0" wp14:paraId="0409F090" wp14:textId="412AEE6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In the Foundation Phase, the adult’s role is multifaceted, involving observation, assessment, and structured teaching through play (Thomas &amp; Lewis, 2016). Adults are expected to create enabling environments, support children’s next steps, and deliver aspects of the curriculum in ways that are meaningful and engaging. Professional judgement is key, but within the constraints of curricular </w:t>
      </w:r>
      <w:r w:rsidRPr="329B76F0" w:rsidR="021B4316">
        <w:rPr>
          <w:rFonts w:ascii="Calibri" w:hAnsi="Calibri" w:eastAsia="Calibri" w:cs="Calibri"/>
          <w:b w:val="0"/>
          <w:bCs w:val="0"/>
          <w:noProof w:val="0"/>
          <w:color w:val="000000" w:themeColor="text1" w:themeTint="FF" w:themeShade="FF"/>
          <w:sz w:val="22"/>
          <w:szCs w:val="22"/>
          <w:lang w:val="en-US"/>
        </w:rPr>
        <w:t>objectives</w:t>
      </w:r>
      <w:r w:rsidRPr="329B76F0" w:rsidR="021B4316">
        <w:rPr>
          <w:rFonts w:ascii="Calibri" w:hAnsi="Calibri" w:eastAsia="Calibri" w:cs="Calibri"/>
          <w:b w:val="0"/>
          <w:bCs w:val="0"/>
          <w:noProof w:val="0"/>
          <w:color w:val="000000" w:themeColor="text1" w:themeTint="FF" w:themeShade="FF"/>
          <w:sz w:val="22"/>
          <w:szCs w:val="22"/>
          <w:lang w:val="en-US"/>
        </w:rPr>
        <w:t xml:space="preserve"> and assessments (Wainwright et al., 2016).</w:t>
      </w:r>
    </w:p>
    <w:p xmlns:wp14="http://schemas.microsoft.com/office/word/2010/wordml" w:rsidP="329B76F0" wp14:paraId="23499896" wp14:textId="0DED6D2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However</w:t>
      </w:r>
      <w:r w:rsidRPr="329B76F0" w:rsidR="021B4316">
        <w:rPr>
          <w:rFonts w:ascii="Calibri" w:hAnsi="Calibri" w:eastAsia="Calibri" w:cs="Calibri"/>
          <w:b w:val="0"/>
          <w:bCs w:val="0"/>
          <w:noProof w:val="0"/>
          <w:color w:val="000000" w:themeColor="text1" w:themeTint="FF" w:themeShade="FF"/>
          <w:sz w:val="22"/>
          <w:szCs w:val="22"/>
          <w:lang w:val="en-US"/>
        </w:rPr>
        <w:t>,</w:t>
      </w:r>
      <w:r w:rsidRPr="329B76F0" w:rsidR="021B4316">
        <w:rPr>
          <w:rFonts w:ascii="Calibri" w:hAnsi="Calibri" w:eastAsia="Calibri" w:cs="Calibri"/>
          <w:b w:val="0"/>
          <w:bCs w:val="0"/>
          <w:noProof w:val="0"/>
          <w:color w:val="000000" w:themeColor="text1" w:themeTint="FF" w:themeShade="FF"/>
          <w:sz w:val="22"/>
          <w:szCs w:val="22"/>
          <w:lang w:val="en-US"/>
        </w:rPr>
        <w:t xml:space="preserve"> while Reggio practitioners may feel empowered by their autonomy, this can lead to inconsistencies if not grounded in strong pedagogical training (McNally &amp; Slutsky, 2017). In contrast, Foundation Phase practitioners </w:t>
      </w:r>
      <w:r w:rsidRPr="329B76F0" w:rsidR="021B4316">
        <w:rPr>
          <w:rFonts w:ascii="Calibri" w:hAnsi="Calibri" w:eastAsia="Calibri" w:cs="Calibri"/>
          <w:b w:val="0"/>
          <w:bCs w:val="0"/>
          <w:noProof w:val="0"/>
          <w:color w:val="000000" w:themeColor="text1" w:themeTint="FF" w:themeShade="FF"/>
          <w:sz w:val="22"/>
          <w:szCs w:val="22"/>
          <w:lang w:val="en-US"/>
        </w:rPr>
        <w:t>benefit</w:t>
      </w:r>
      <w:r w:rsidRPr="329B76F0" w:rsidR="021B4316">
        <w:rPr>
          <w:rFonts w:ascii="Calibri" w:hAnsi="Calibri" w:eastAsia="Calibri" w:cs="Calibri"/>
          <w:b w:val="0"/>
          <w:bCs w:val="0"/>
          <w:noProof w:val="0"/>
          <w:color w:val="000000" w:themeColor="text1" w:themeTint="FF" w:themeShade="FF"/>
          <w:sz w:val="22"/>
          <w:szCs w:val="22"/>
          <w:lang w:val="en-US"/>
        </w:rPr>
        <w:t xml:space="preserve"> from clearer national expectations but may find their creativity restricted by curriculum goals and assessment pressures (Taylor et al., 2016).</w:t>
      </w:r>
    </w:p>
    <w:p xmlns:wp14="http://schemas.microsoft.com/office/word/2010/wordml" w:rsidP="329B76F0" wp14:paraId="410E3687" wp14:textId="3A7592C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76B27177">
        <w:rPr>
          <w:rFonts w:ascii="Calibri" w:hAnsi="Calibri" w:eastAsia="Calibri" w:cs="Calibri"/>
          <w:b w:val="0"/>
          <w:bCs w:val="0"/>
          <w:noProof w:val="0"/>
          <w:color w:val="000000" w:themeColor="text1" w:themeTint="FF" w:themeShade="FF"/>
          <w:sz w:val="22"/>
          <w:szCs w:val="22"/>
          <w:lang w:val="en-US"/>
        </w:rPr>
        <w:t xml:space="preserve">The adult’s role in play-based curricula extends far beyond supervision. Practitioners must adopt the position of co-constructors of knowledge, working alongside children to scaffold learning experiences while being responsive to their cues and interests (Fleer, 2010). In Reggio Emilia settings, adults </w:t>
      </w:r>
      <w:r w:rsidRPr="329B76F0" w:rsidR="76B27177">
        <w:rPr>
          <w:rFonts w:ascii="Calibri" w:hAnsi="Calibri" w:eastAsia="Calibri" w:cs="Calibri"/>
          <w:b w:val="0"/>
          <w:bCs w:val="0"/>
          <w:noProof w:val="0"/>
          <w:color w:val="000000" w:themeColor="text1" w:themeTint="FF" w:themeShade="FF"/>
          <w:sz w:val="22"/>
          <w:szCs w:val="22"/>
          <w:lang w:val="en-US"/>
        </w:rPr>
        <w:t>observe</w:t>
      </w:r>
      <w:r w:rsidRPr="329B76F0" w:rsidR="76B27177">
        <w:rPr>
          <w:rFonts w:ascii="Calibri" w:hAnsi="Calibri" w:eastAsia="Calibri" w:cs="Calibri"/>
          <w:b w:val="0"/>
          <w:bCs w:val="0"/>
          <w:noProof w:val="0"/>
          <w:color w:val="000000" w:themeColor="text1" w:themeTint="FF" w:themeShade="FF"/>
          <w:sz w:val="22"/>
          <w:szCs w:val="22"/>
          <w:lang w:val="en-US"/>
        </w:rPr>
        <w:t xml:space="preserve"> and document learning, which enables deep reflection and supports emergent, child-led planning (Rinaldi, 2006). This contrasts with the more structured approach in some Foundation Phase settings in Wales, where adults may still dominate planning and outcomes due to external pressures of progress tracking and inspection frameworks (Taylor et al., 2016). However, both systems </w:t>
      </w:r>
      <w:r w:rsidRPr="329B76F0" w:rsidR="76B27177">
        <w:rPr>
          <w:rFonts w:ascii="Calibri" w:hAnsi="Calibri" w:eastAsia="Calibri" w:cs="Calibri"/>
          <w:b w:val="0"/>
          <w:bCs w:val="0"/>
          <w:noProof w:val="0"/>
          <w:color w:val="000000" w:themeColor="text1" w:themeTint="FF" w:themeShade="FF"/>
          <w:sz w:val="22"/>
          <w:szCs w:val="22"/>
          <w:lang w:val="en-US"/>
        </w:rPr>
        <w:t>recognise</w:t>
      </w:r>
      <w:r w:rsidRPr="329B76F0" w:rsidR="76B27177">
        <w:rPr>
          <w:rFonts w:ascii="Calibri" w:hAnsi="Calibri" w:eastAsia="Calibri" w:cs="Calibri"/>
          <w:b w:val="0"/>
          <w:bCs w:val="0"/>
          <w:noProof w:val="0"/>
          <w:color w:val="000000" w:themeColor="text1" w:themeTint="FF" w:themeShade="FF"/>
          <w:sz w:val="22"/>
          <w:szCs w:val="22"/>
          <w:lang w:val="en-US"/>
        </w:rPr>
        <w:t xml:space="preserve"> that the adult is instrumental in creating enabling environments where children feel safe, challenged, and respected.</w:t>
      </w:r>
    </w:p>
    <w:p xmlns:wp14="http://schemas.microsoft.com/office/word/2010/wordml" w:rsidP="329B76F0" wp14:paraId="5B2FE857" wp14:textId="1E8B34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76B27177">
        <w:rPr>
          <w:rFonts w:ascii="Calibri" w:hAnsi="Calibri" w:eastAsia="Calibri" w:cs="Calibri"/>
          <w:b w:val="0"/>
          <w:bCs w:val="0"/>
          <w:noProof w:val="0"/>
          <w:color w:val="000000" w:themeColor="text1" w:themeTint="FF" w:themeShade="FF"/>
          <w:sz w:val="22"/>
          <w:szCs w:val="22"/>
          <w:lang w:val="en-US"/>
        </w:rPr>
        <w:t xml:space="preserve">Effective adult engagement in play requires a delicate balance between interaction and observation. As Moyles (2010) argues, practitioners must be attuned to “teachable moments” within play, using sensitive interventions to extend thinking without disrupting the child’s autonomy. This aligns with Vygotsky’s (1978) concept of the Zone of Proximal Development, where learning is most effective when adults provide just enough support to stretch a child’s capabilities. In Reggio-inspired practice, the pedagogy of listening (Rinaldi, 2006) reinforces this, </w:t>
      </w:r>
      <w:r w:rsidRPr="298AE695" w:rsidR="76B27177">
        <w:rPr>
          <w:rFonts w:ascii="Calibri" w:hAnsi="Calibri" w:eastAsia="Calibri" w:cs="Calibri"/>
          <w:b w:val="0"/>
          <w:bCs w:val="0"/>
          <w:noProof w:val="0"/>
          <w:color w:val="000000" w:themeColor="text1" w:themeTint="FF" w:themeShade="FF"/>
          <w:sz w:val="22"/>
          <w:szCs w:val="22"/>
          <w:lang w:val="en-US"/>
        </w:rPr>
        <w:t>emphasising</w:t>
      </w:r>
      <w:r w:rsidRPr="298AE695" w:rsidR="76B27177">
        <w:rPr>
          <w:rFonts w:ascii="Calibri" w:hAnsi="Calibri" w:eastAsia="Calibri" w:cs="Calibri"/>
          <w:b w:val="0"/>
          <w:bCs w:val="0"/>
          <w:noProof w:val="0"/>
          <w:color w:val="000000" w:themeColor="text1" w:themeTint="FF" w:themeShade="FF"/>
          <w:sz w:val="22"/>
          <w:szCs w:val="22"/>
          <w:lang w:val="en-US"/>
        </w:rPr>
        <w:t xml:space="preserve"> the importance of adults </w:t>
      </w:r>
      <w:r w:rsidRPr="298AE695" w:rsidR="76B27177">
        <w:rPr>
          <w:rFonts w:ascii="Calibri" w:hAnsi="Calibri" w:eastAsia="Calibri" w:cs="Calibri"/>
          <w:b w:val="0"/>
          <w:bCs w:val="0"/>
          <w:noProof w:val="0"/>
          <w:color w:val="000000" w:themeColor="text1" w:themeTint="FF" w:themeShade="FF"/>
          <w:sz w:val="22"/>
          <w:szCs w:val="22"/>
          <w:lang w:val="en-US"/>
        </w:rPr>
        <w:t>attending to</w:t>
      </w:r>
      <w:r w:rsidRPr="298AE695" w:rsidR="76B27177">
        <w:rPr>
          <w:rFonts w:ascii="Calibri" w:hAnsi="Calibri" w:eastAsia="Calibri" w:cs="Calibri"/>
          <w:b w:val="0"/>
          <w:bCs w:val="0"/>
          <w:noProof w:val="0"/>
          <w:color w:val="000000" w:themeColor="text1" w:themeTint="FF" w:themeShade="FF"/>
          <w:sz w:val="22"/>
          <w:szCs w:val="22"/>
          <w:lang w:val="en-US"/>
        </w:rPr>
        <w:t xml:space="preserve"> the hundred ways children express themselves and valuing these as legitimate modes of communication.</w:t>
      </w:r>
    </w:p>
    <w:p xmlns:wp14="http://schemas.microsoft.com/office/word/2010/wordml" w:rsidP="329B76F0" wp14:paraId="68F517F4" wp14:textId="4FDFDB32">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76B27177">
        <w:rPr>
          <w:rFonts w:ascii="Calibri" w:hAnsi="Calibri" w:eastAsia="Calibri" w:cs="Calibri"/>
          <w:b w:val="0"/>
          <w:bCs w:val="0"/>
          <w:noProof w:val="0"/>
          <w:color w:val="000000" w:themeColor="text1" w:themeTint="FF" w:themeShade="FF"/>
          <w:sz w:val="22"/>
          <w:szCs w:val="22"/>
          <w:lang w:val="en-US"/>
        </w:rPr>
        <w:t xml:space="preserve">Research also </w:t>
      </w:r>
      <w:r w:rsidRPr="329B76F0" w:rsidR="76B27177">
        <w:rPr>
          <w:rFonts w:ascii="Calibri" w:hAnsi="Calibri" w:eastAsia="Calibri" w:cs="Calibri"/>
          <w:b w:val="0"/>
          <w:bCs w:val="0"/>
          <w:noProof w:val="0"/>
          <w:color w:val="000000" w:themeColor="text1" w:themeTint="FF" w:themeShade="FF"/>
          <w:sz w:val="22"/>
          <w:szCs w:val="22"/>
          <w:lang w:val="en-US"/>
        </w:rPr>
        <w:t>indicates</w:t>
      </w:r>
      <w:r w:rsidRPr="329B76F0" w:rsidR="76B27177">
        <w:rPr>
          <w:rFonts w:ascii="Calibri" w:hAnsi="Calibri" w:eastAsia="Calibri" w:cs="Calibri"/>
          <w:b w:val="0"/>
          <w:bCs w:val="0"/>
          <w:noProof w:val="0"/>
          <w:color w:val="000000" w:themeColor="text1" w:themeTint="FF" w:themeShade="FF"/>
          <w:sz w:val="22"/>
          <w:szCs w:val="22"/>
          <w:lang w:val="en-US"/>
        </w:rPr>
        <w:t xml:space="preserve"> that adult mindset and emotional availability are critical. Canning (2020) </w:t>
      </w:r>
      <w:r w:rsidRPr="329B76F0" w:rsidR="76B27177">
        <w:rPr>
          <w:rFonts w:ascii="Calibri" w:hAnsi="Calibri" w:eastAsia="Calibri" w:cs="Calibri"/>
          <w:b w:val="0"/>
          <w:bCs w:val="0"/>
          <w:noProof w:val="0"/>
          <w:color w:val="000000" w:themeColor="text1" w:themeTint="FF" w:themeShade="FF"/>
          <w:sz w:val="22"/>
          <w:szCs w:val="22"/>
          <w:lang w:val="en-US"/>
        </w:rPr>
        <w:t>emphasises</w:t>
      </w:r>
      <w:r w:rsidRPr="329B76F0" w:rsidR="76B27177">
        <w:rPr>
          <w:rFonts w:ascii="Calibri" w:hAnsi="Calibri" w:eastAsia="Calibri" w:cs="Calibri"/>
          <w:b w:val="0"/>
          <w:bCs w:val="0"/>
          <w:noProof w:val="0"/>
          <w:color w:val="000000" w:themeColor="text1" w:themeTint="FF" w:themeShade="FF"/>
          <w:sz w:val="22"/>
          <w:szCs w:val="22"/>
          <w:lang w:val="en-US"/>
        </w:rPr>
        <w:t xml:space="preserve"> the concept of “sustained shared thinking” as a vehicle for both cognitive and emotional growth. When practitioners are reflective, emotionally responsive, and actively engaged, they contribute to children's self-regulation, creativity, and sense of identity (Siraj et al., 2015). Importantly, adults must also navigate cultural sensitivities and inclusive practices to ensure that play reflects the backgrounds and needs of all children, reinforcing the need for ongoing training and reflective practice (</w:t>
      </w:r>
      <w:r w:rsidRPr="329B76F0" w:rsidR="76B27177">
        <w:rPr>
          <w:rFonts w:ascii="Calibri" w:hAnsi="Calibri" w:eastAsia="Calibri" w:cs="Calibri"/>
          <w:b w:val="0"/>
          <w:bCs w:val="0"/>
          <w:noProof w:val="0"/>
          <w:color w:val="000000" w:themeColor="text1" w:themeTint="FF" w:themeShade="FF"/>
          <w:sz w:val="22"/>
          <w:szCs w:val="22"/>
          <w:lang w:val="en-US"/>
        </w:rPr>
        <w:t>Trodd</w:t>
      </w:r>
      <w:r w:rsidRPr="329B76F0" w:rsidR="76B27177">
        <w:rPr>
          <w:rFonts w:ascii="Calibri" w:hAnsi="Calibri" w:eastAsia="Calibri" w:cs="Calibri"/>
          <w:b w:val="0"/>
          <w:bCs w:val="0"/>
          <w:noProof w:val="0"/>
          <w:color w:val="000000" w:themeColor="text1" w:themeTint="FF" w:themeShade="FF"/>
          <w:sz w:val="22"/>
          <w:szCs w:val="22"/>
          <w:lang w:val="en-US"/>
        </w:rPr>
        <w:t>, 2013).</w:t>
      </w:r>
    </w:p>
    <w:p xmlns:wp14="http://schemas.microsoft.com/office/word/2010/wordml" w:rsidP="329B76F0" wp14:paraId="51AD02B9" wp14:textId="2E9A7692">
      <w:pPr>
        <w:pStyle w:val="Heading3"/>
        <w:spacing w:before="240" w:beforeAutospacing="off" w:after="240" w:afterAutospacing="off"/>
        <w:rPr>
          <w:rFonts w:ascii="Calibri" w:hAnsi="Calibri" w:eastAsia="Calibri" w:cs="Calibri"/>
          <w:b w:val="1"/>
          <w:bCs w:val="1"/>
          <w:noProof w:val="0"/>
          <w:color w:val="000000" w:themeColor="text1" w:themeTint="FF" w:themeShade="FF"/>
          <w:sz w:val="22"/>
          <w:szCs w:val="22"/>
          <w:lang w:val="en-US"/>
        </w:rPr>
      </w:pPr>
    </w:p>
    <w:p xmlns:wp14="http://schemas.microsoft.com/office/word/2010/wordml" w:rsidP="298AE695" wp14:paraId="723AF172" wp14:textId="1C5BC73F">
      <w:pPr>
        <w:pStyle w:val="Heading3"/>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r w:rsidRPr="298AE695" w:rsidR="021B4316">
        <w:rPr>
          <w:rFonts w:ascii="Calibri" w:hAnsi="Calibri" w:eastAsia="Calibri" w:cs="Calibri"/>
          <w:b w:val="1"/>
          <w:bCs w:val="1"/>
          <w:i w:val="1"/>
          <w:iCs w:val="1"/>
          <w:noProof w:val="0"/>
          <w:color w:val="000000" w:themeColor="text1" w:themeTint="FF" w:themeShade="FF"/>
          <w:sz w:val="24"/>
          <w:szCs w:val="24"/>
          <w:lang w:val="en-US"/>
        </w:rPr>
        <w:t xml:space="preserve">Assessment and Documentation </w:t>
      </w:r>
    </w:p>
    <w:p xmlns:wp14="http://schemas.microsoft.com/office/word/2010/wordml" w:rsidP="329B76F0" wp14:paraId="316171A1" wp14:textId="49AA897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Assessment in Reggio Emilia is predominantly formative and is embedded in the practice of pedagogical documentation.</w:t>
      </w:r>
      <w:r w:rsidRPr="329B76F0" w:rsidR="021B4316">
        <w:rPr>
          <w:rFonts w:ascii="Calibri" w:hAnsi="Calibri" w:eastAsia="Calibri" w:cs="Calibri"/>
          <w:b w:val="0"/>
          <w:bCs w:val="0"/>
          <w:noProof w:val="0"/>
          <w:color w:val="000000" w:themeColor="text1" w:themeTint="FF" w:themeShade="FF"/>
          <w:sz w:val="22"/>
          <w:szCs w:val="22"/>
          <w:lang w:val="en-US"/>
        </w:rPr>
        <w:t xml:space="preserve"> Documentation is used to make learning visible, inform planning, and engage families in the learning process (Gandini, 2012). It is not about measuring attainment but about understanding children's learning journeys.</w:t>
      </w:r>
    </w:p>
    <w:p xmlns:wp14="http://schemas.microsoft.com/office/word/2010/wordml" w:rsidP="329B76F0" wp14:paraId="4D391999" wp14:textId="253F109B">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In comparison, the Foundation Phase uses both formative and summative assessments, guided by the </w:t>
      </w:r>
      <w:r w:rsidRPr="329B76F0" w:rsidR="021B4316">
        <w:rPr>
          <w:rFonts w:ascii="Calibri" w:hAnsi="Calibri" w:eastAsia="Calibri" w:cs="Calibri"/>
          <w:b w:val="0"/>
          <w:bCs w:val="0"/>
          <w:i w:val="1"/>
          <w:iCs w:val="1"/>
          <w:noProof w:val="0"/>
          <w:color w:val="000000" w:themeColor="text1" w:themeTint="FF" w:themeShade="FF"/>
          <w:sz w:val="22"/>
          <w:szCs w:val="22"/>
          <w:lang w:val="en-US"/>
        </w:rPr>
        <w:t>Foundation Phase Profile</w:t>
      </w:r>
      <w:r w:rsidRPr="329B76F0" w:rsidR="021B4316">
        <w:rPr>
          <w:rFonts w:ascii="Calibri" w:hAnsi="Calibri" w:eastAsia="Calibri" w:cs="Calibri"/>
          <w:b w:val="0"/>
          <w:bCs w:val="0"/>
          <w:noProof w:val="0"/>
          <w:color w:val="000000" w:themeColor="text1" w:themeTint="FF" w:themeShade="FF"/>
          <w:sz w:val="22"/>
          <w:szCs w:val="22"/>
          <w:lang w:val="en-US"/>
        </w:rPr>
        <w:t xml:space="preserve"> and </w:t>
      </w:r>
      <w:r w:rsidRPr="329B76F0" w:rsidR="021B4316">
        <w:rPr>
          <w:rFonts w:ascii="Calibri" w:hAnsi="Calibri" w:eastAsia="Calibri" w:cs="Calibri"/>
          <w:b w:val="0"/>
          <w:bCs w:val="0"/>
          <w:i w:val="1"/>
          <w:iCs w:val="1"/>
          <w:noProof w:val="0"/>
          <w:color w:val="000000" w:themeColor="text1" w:themeTint="FF" w:themeShade="FF"/>
          <w:sz w:val="22"/>
          <w:szCs w:val="22"/>
          <w:lang w:val="en-US"/>
        </w:rPr>
        <w:t>Progression Steps</w:t>
      </w:r>
      <w:r w:rsidRPr="329B76F0" w:rsidR="021B4316">
        <w:rPr>
          <w:rFonts w:ascii="Calibri" w:hAnsi="Calibri" w:eastAsia="Calibri" w:cs="Calibri"/>
          <w:b w:val="0"/>
          <w:bCs w:val="0"/>
          <w:noProof w:val="0"/>
          <w:color w:val="000000" w:themeColor="text1" w:themeTint="FF" w:themeShade="FF"/>
          <w:sz w:val="22"/>
          <w:szCs w:val="22"/>
          <w:lang w:val="en-US"/>
        </w:rPr>
        <w:t xml:space="preserve"> outlined in the Curriculum for Wales (Welsh Government, 2021). While practitioners are encouraged to use observations to assess children’s development, there is also a focus on meeting expected outcomes.</w:t>
      </w:r>
    </w:p>
    <w:p xmlns:wp14="http://schemas.microsoft.com/office/word/2010/wordml" w:rsidP="329B76F0" wp14:paraId="145934BE" wp14:textId="39A8B95F">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However</w:t>
      </w:r>
      <w:r w:rsidRPr="329B76F0" w:rsidR="021B4316">
        <w:rPr>
          <w:rFonts w:ascii="Calibri" w:hAnsi="Calibri" w:eastAsia="Calibri" w:cs="Calibri"/>
          <w:b w:val="0"/>
          <w:bCs w:val="0"/>
          <w:noProof w:val="0"/>
          <w:color w:val="000000" w:themeColor="text1" w:themeTint="FF" w:themeShade="FF"/>
          <w:sz w:val="22"/>
          <w:szCs w:val="22"/>
          <w:lang w:val="en-US"/>
        </w:rPr>
        <w:t>, while Reggio's approach offers deep insight into children’s learning, it is time-intensive and may not suit larger classrooms with limited staff (Haslip &amp; Gullo, 2017). The Foundation Phase provides more stand</w:t>
      </w:r>
      <w:r w:rsidRPr="329B76F0" w:rsidR="52A16D04">
        <w:rPr>
          <w:rFonts w:ascii="Calibri" w:hAnsi="Calibri" w:eastAsia="Calibri" w:cs="Calibri"/>
          <w:b w:val="0"/>
          <w:bCs w:val="0"/>
          <w:noProof w:val="0"/>
          <w:color w:val="000000" w:themeColor="text1" w:themeTint="FF" w:themeShade="FF"/>
          <w:sz w:val="22"/>
          <w:szCs w:val="22"/>
          <w:lang w:val="en-US"/>
        </w:rPr>
        <w:t xml:space="preserve">ard </w:t>
      </w:r>
      <w:r w:rsidRPr="329B76F0" w:rsidR="021B4316">
        <w:rPr>
          <w:rFonts w:ascii="Calibri" w:hAnsi="Calibri" w:eastAsia="Calibri" w:cs="Calibri"/>
          <w:b w:val="0"/>
          <w:bCs w:val="0"/>
          <w:noProof w:val="0"/>
          <w:color w:val="000000" w:themeColor="text1" w:themeTint="FF" w:themeShade="FF"/>
          <w:sz w:val="22"/>
          <w:szCs w:val="22"/>
          <w:lang w:val="en-US"/>
        </w:rPr>
        <w:t>tools, which can help with consistency and progression tracking but may risk reducing assessment to checklist thinking (Cottle &amp; Alexander, 2012).</w:t>
      </w:r>
    </w:p>
    <w:p xmlns:wp14="http://schemas.microsoft.com/office/word/2010/wordml" w:rsidP="329B76F0" wp14:paraId="571A294C" wp14:textId="2B6CCE17">
      <w:pPr>
        <w:pStyle w:val="Heading3"/>
        <w:rPr>
          <w:rFonts w:ascii="Calibri" w:hAnsi="Calibri" w:eastAsia="Calibri" w:cs="Calibri"/>
          <w:b w:val="1"/>
          <w:bCs w:val="1"/>
          <w:noProof w:val="0"/>
          <w:color w:val="000000" w:themeColor="text1" w:themeTint="FF" w:themeShade="FF"/>
          <w:sz w:val="22"/>
          <w:szCs w:val="22"/>
          <w:lang w:val="en-US"/>
        </w:rPr>
      </w:pPr>
    </w:p>
    <w:p xmlns:wp14="http://schemas.microsoft.com/office/word/2010/wordml" w:rsidP="329B76F0" wp14:paraId="3FE3049F" wp14:textId="04E7E2BC">
      <w:pPr>
        <w:pStyle w:val="Heading3"/>
        <w:rPr>
          <w:rFonts w:ascii="Calibri" w:hAnsi="Calibri" w:eastAsia="Calibri" w:cs="Calibri"/>
          <w:b w:val="1"/>
          <w:bCs w:val="1"/>
          <w:noProof w:val="0"/>
          <w:color w:val="000000" w:themeColor="text1" w:themeTint="FF" w:themeShade="FF"/>
          <w:sz w:val="22"/>
          <w:szCs w:val="22"/>
          <w:lang w:val="en-US"/>
        </w:rPr>
      </w:pPr>
    </w:p>
    <w:p xmlns:wp14="http://schemas.microsoft.com/office/word/2010/wordml" w:rsidP="298AE695" wp14:paraId="574E4DA6" wp14:textId="3BAA380C">
      <w:pPr>
        <w:pStyle w:val="Heading3"/>
        <w:rPr>
          <w:rFonts w:ascii="Calibri" w:hAnsi="Calibri" w:eastAsia="Calibri" w:cs="Calibri"/>
          <w:b w:val="1"/>
          <w:bCs w:val="1"/>
          <w:i w:val="1"/>
          <w:iCs w:val="1"/>
          <w:noProof w:val="0"/>
          <w:color w:val="000000" w:themeColor="text1" w:themeTint="FF" w:themeShade="FF"/>
          <w:sz w:val="24"/>
          <w:szCs w:val="24"/>
          <w:lang w:val="en-US"/>
        </w:rPr>
      </w:pPr>
      <w:r w:rsidRPr="298AE695" w:rsidR="75822DC1">
        <w:rPr>
          <w:rFonts w:ascii="Calibri" w:hAnsi="Calibri" w:eastAsia="Calibri" w:cs="Calibri"/>
          <w:b w:val="1"/>
          <w:bCs w:val="1"/>
          <w:i w:val="1"/>
          <w:iCs w:val="1"/>
          <w:noProof w:val="0"/>
          <w:color w:val="000000" w:themeColor="text1" w:themeTint="FF" w:themeShade="FF"/>
          <w:sz w:val="24"/>
          <w:szCs w:val="24"/>
          <w:lang w:val="en-US"/>
        </w:rPr>
        <w:t>Conclusion</w:t>
      </w:r>
    </w:p>
    <w:p xmlns:wp14="http://schemas.microsoft.com/office/word/2010/wordml" w:rsidP="329B76F0" wp14:paraId="256D555F" wp14:textId="3AE7E9B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329B76F0" w:rsidR="021B4316">
        <w:rPr>
          <w:rFonts w:ascii="Calibri" w:hAnsi="Calibri" w:eastAsia="Calibri" w:cs="Calibri"/>
          <w:b w:val="0"/>
          <w:bCs w:val="0"/>
          <w:noProof w:val="0"/>
          <w:color w:val="000000" w:themeColor="text1" w:themeTint="FF" w:themeShade="FF"/>
          <w:sz w:val="22"/>
          <w:szCs w:val="22"/>
          <w:lang w:val="en-US"/>
        </w:rPr>
        <w:t xml:space="preserve">This critical comparison of the Reggio Emilia approach and the Foundation Phase has highlighted key differences in curriculum structure, theoretical underpinnings, values, and the role </w:t>
      </w:r>
      <w:r w:rsidRPr="329B76F0" w:rsidR="0766AB2B">
        <w:rPr>
          <w:rFonts w:ascii="Calibri" w:hAnsi="Calibri" w:eastAsia="Calibri" w:cs="Calibri"/>
          <w:b w:val="0"/>
          <w:bCs w:val="0"/>
          <w:noProof w:val="0"/>
          <w:color w:val="000000" w:themeColor="text1" w:themeTint="FF" w:themeShade="FF"/>
          <w:sz w:val="22"/>
          <w:szCs w:val="22"/>
          <w:lang w:val="en-US"/>
        </w:rPr>
        <w:t>of adults</w:t>
      </w:r>
      <w:r w:rsidRPr="329B76F0" w:rsidR="021B4316">
        <w:rPr>
          <w:rFonts w:ascii="Calibri" w:hAnsi="Calibri" w:eastAsia="Calibri" w:cs="Calibri"/>
          <w:b w:val="0"/>
          <w:bCs w:val="0"/>
          <w:noProof w:val="0"/>
          <w:color w:val="000000" w:themeColor="text1" w:themeTint="FF" w:themeShade="FF"/>
          <w:sz w:val="22"/>
          <w:szCs w:val="22"/>
          <w:lang w:val="en-US"/>
        </w:rPr>
        <w:t>. While both promote play-based learning and respect for the child’s voice, they offer different models of how this is implemented in practice. Reggio Emilia fosters creativity and co-construction but requires extensive training and resources. The Foundation Phase offers more structure and guidance, which supports practitioner consistency but may restrict innovation.</w:t>
      </w:r>
    </w:p>
    <w:p xmlns:wp14="http://schemas.microsoft.com/office/word/2010/wordml" w:rsidP="329B76F0" wp14:paraId="34CA3765" wp14:textId="255F43B3">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021B4316">
        <w:rPr>
          <w:rFonts w:ascii="Calibri" w:hAnsi="Calibri" w:eastAsia="Calibri" w:cs="Calibri"/>
          <w:b w:val="0"/>
          <w:bCs w:val="0"/>
          <w:noProof w:val="0"/>
          <w:color w:val="000000" w:themeColor="text1" w:themeTint="FF" w:themeShade="FF"/>
          <w:sz w:val="22"/>
          <w:szCs w:val="22"/>
          <w:lang w:val="en-US"/>
        </w:rPr>
        <w:t>Ultimately, effective</w:t>
      </w:r>
      <w:r w:rsidRPr="298AE695" w:rsidR="021B4316">
        <w:rPr>
          <w:rFonts w:ascii="Calibri" w:hAnsi="Calibri" w:eastAsia="Calibri" w:cs="Calibri"/>
          <w:b w:val="0"/>
          <w:bCs w:val="0"/>
          <w:noProof w:val="0"/>
          <w:color w:val="000000" w:themeColor="text1" w:themeTint="FF" w:themeShade="FF"/>
          <w:sz w:val="22"/>
          <w:szCs w:val="22"/>
          <w:lang w:val="en-US"/>
        </w:rPr>
        <w:t xml:space="preserve"> implementation depends on skilled practitioners who can interpret curricula in developmentally </w:t>
      </w:r>
      <w:r w:rsidRPr="298AE695" w:rsidR="021B4316">
        <w:rPr>
          <w:rFonts w:ascii="Calibri" w:hAnsi="Calibri" w:eastAsia="Calibri" w:cs="Calibri"/>
          <w:b w:val="0"/>
          <w:bCs w:val="0"/>
          <w:noProof w:val="0"/>
          <w:color w:val="000000" w:themeColor="text1" w:themeTint="FF" w:themeShade="FF"/>
          <w:sz w:val="22"/>
          <w:szCs w:val="22"/>
          <w:lang w:val="en-US"/>
        </w:rPr>
        <w:t>appropriate</w:t>
      </w:r>
      <w:r w:rsidRPr="298AE695" w:rsidR="021B4316">
        <w:rPr>
          <w:rFonts w:ascii="Calibri" w:hAnsi="Calibri" w:eastAsia="Calibri" w:cs="Calibri"/>
          <w:b w:val="0"/>
          <w:bCs w:val="0"/>
          <w:noProof w:val="0"/>
          <w:color w:val="000000" w:themeColor="text1" w:themeTint="FF" w:themeShade="FF"/>
          <w:sz w:val="22"/>
          <w:szCs w:val="22"/>
          <w:lang w:val="en-US"/>
        </w:rPr>
        <w:t xml:space="preserve"> and inclusive ways. A blend of both approaches could support best practice—offering structure where needed while allowing for creativity and child-led exploration. As early </w:t>
      </w:r>
      <w:bookmarkStart w:name="_Int_cU2jE3Ys" w:id="1029628074"/>
      <w:r w:rsidRPr="298AE695" w:rsidR="021B4316">
        <w:rPr>
          <w:rFonts w:ascii="Calibri" w:hAnsi="Calibri" w:eastAsia="Calibri" w:cs="Calibri"/>
          <w:b w:val="0"/>
          <w:bCs w:val="0"/>
          <w:noProof w:val="0"/>
          <w:color w:val="000000" w:themeColor="text1" w:themeTint="FF" w:themeShade="FF"/>
          <w:sz w:val="22"/>
          <w:szCs w:val="22"/>
          <w:lang w:val="en-US"/>
        </w:rPr>
        <w:t>years</w:t>
      </w:r>
      <w:bookmarkEnd w:id="1029628074"/>
      <w:r w:rsidRPr="298AE695" w:rsidR="021B4316">
        <w:rPr>
          <w:rFonts w:ascii="Calibri" w:hAnsi="Calibri" w:eastAsia="Calibri" w:cs="Calibri"/>
          <w:b w:val="0"/>
          <w:bCs w:val="0"/>
          <w:noProof w:val="0"/>
          <w:color w:val="000000" w:themeColor="text1" w:themeTint="FF" w:themeShade="FF"/>
          <w:sz w:val="22"/>
          <w:szCs w:val="22"/>
          <w:lang w:val="en-US"/>
        </w:rPr>
        <w:t xml:space="preserve"> education evolves, understanding these approaches helps ensure that play-based learning </w:t>
      </w:r>
      <w:bookmarkStart w:name="_Int_q8dYmw0b" w:id="95973511"/>
      <w:r w:rsidRPr="298AE695" w:rsidR="021B4316">
        <w:rPr>
          <w:rFonts w:ascii="Calibri" w:hAnsi="Calibri" w:eastAsia="Calibri" w:cs="Calibri"/>
          <w:b w:val="0"/>
          <w:bCs w:val="0"/>
          <w:noProof w:val="0"/>
          <w:color w:val="000000" w:themeColor="text1" w:themeTint="FF" w:themeShade="FF"/>
          <w:sz w:val="22"/>
          <w:szCs w:val="22"/>
          <w:lang w:val="en-US"/>
        </w:rPr>
        <w:t>remains</w:t>
      </w:r>
      <w:bookmarkEnd w:id="95973511"/>
      <w:r w:rsidRPr="298AE695" w:rsidR="021B4316">
        <w:rPr>
          <w:rFonts w:ascii="Calibri" w:hAnsi="Calibri" w:eastAsia="Calibri" w:cs="Calibri"/>
          <w:b w:val="0"/>
          <w:bCs w:val="0"/>
          <w:noProof w:val="0"/>
          <w:color w:val="000000" w:themeColor="text1" w:themeTint="FF" w:themeShade="FF"/>
          <w:sz w:val="22"/>
          <w:szCs w:val="22"/>
          <w:lang w:val="en-US"/>
        </w:rPr>
        <w:t xml:space="preserve"> meaningful, inclusive, and grounded in strong pedagogy.</w:t>
      </w:r>
    </w:p>
    <w:p xmlns:wp14="http://schemas.microsoft.com/office/word/2010/wordml" w:rsidP="298AE695" wp14:paraId="6EA5A5F4" wp14:textId="7119B3F5">
      <w:pPr>
        <w:pStyle w:val="Normal"/>
        <w:spacing w:before="240" w:beforeAutospacing="off" w:after="240" w:afterAutospacing="off"/>
        <w:rPr>
          <w:rFonts w:ascii="Calibri" w:hAnsi="Calibri" w:eastAsia="Calibri" w:cs="Calibri"/>
          <w:b w:val="1"/>
          <w:bCs w:val="1"/>
          <w:i w:val="1"/>
          <w:iCs w:val="1"/>
          <w:sz w:val="28"/>
          <w:szCs w:val="28"/>
        </w:rPr>
      </w:pPr>
    </w:p>
    <w:p xmlns:wp14="http://schemas.microsoft.com/office/word/2010/wordml" w:rsidP="298AE695" wp14:paraId="30C4356B" wp14:textId="61A8395D">
      <w:pPr>
        <w:pStyle w:val="Normal"/>
        <w:spacing w:before="240" w:beforeAutospacing="off" w:after="240" w:afterAutospacing="off"/>
        <w:rPr>
          <w:rFonts w:ascii="Calibri" w:hAnsi="Calibri" w:eastAsia="Calibri" w:cs="Calibri"/>
          <w:b w:val="1"/>
          <w:bCs w:val="1"/>
          <w:i w:val="1"/>
          <w:iCs w:val="1"/>
          <w:noProof w:val="0"/>
          <w:sz w:val="28"/>
          <w:szCs w:val="28"/>
          <w:lang w:val="en-US"/>
        </w:rPr>
      </w:pPr>
      <w:r w:rsidRPr="298AE695" w:rsidR="005291B3">
        <w:rPr>
          <w:rFonts w:ascii="Calibri" w:hAnsi="Calibri" w:eastAsia="Calibri" w:cs="Calibri"/>
          <w:b w:val="1"/>
          <w:bCs w:val="1"/>
          <w:i w:val="1"/>
          <w:iCs w:val="1"/>
          <w:noProof w:val="0"/>
          <w:sz w:val="28"/>
          <w:szCs w:val="28"/>
          <w:lang w:val="en-US"/>
        </w:rPr>
        <w:t>Critical Evaluation of Assessment Practices in the English Early Years Foundation Stage and the Reggio Emilia Approach</w:t>
      </w:r>
    </w:p>
    <w:p xmlns:wp14="http://schemas.microsoft.com/office/word/2010/wordml" w:rsidP="298AE695" wp14:paraId="30E1C404" wp14:textId="6472C9BA">
      <w:pPr>
        <w:pStyle w:val="Heading4"/>
        <w:keepNext w:val="1"/>
        <w:keepLines w:val="1"/>
        <w:spacing w:before="319" w:beforeAutospacing="off" w:after="319" w:afterAutospacing="off"/>
        <w:rPr>
          <w:rFonts w:ascii="Calibri" w:hAnsi="Calibri" w:eastAsia="Calibri" w:cs="Calibri"/>
          <w:b w:val="1"/>
          <w:bCs w:val="1"/>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Introduction</w:t>
      </w:r>
    </w:p>
    <w:p xmlns:wp14="http://schemas.microsoft.com/office/word/2010/wordml" w:rsidP="298AE695" wp14:paraId="1500B693" wp14:textId="63E9123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Curriculum implementation in early years settings requires practitioners not only to understand theoretical frameworks, but also to translate these into responsive pedagogy and assessment practices.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England, the Early Years Foundation Stage (EYFS) sets the statutory framework for early education and care for children from birth to five (DfE, 2023). This section critically evaluates how the EYFS is implemented in practice, with a focus on assessment tools, inclusivity, and responsiveness to diverse learner needs. </w:t>
      </w:r>
      <w:bookmarkStart w:name="_Int_plbWA7yp" w:id="1282043644"/>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Drawing on</w:t>
      </w:r>
      <w:bookmarkEnd w:id="1282043644"/>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comparisons with the Reggio Emilia approach, the discussion explores challenges such as digital assessment, cultural bias in developmental norms, and support for children with special educational needs and disabilities (SEND).</w:t>
      </w:r>
    </w:p>
    <w:p xmlns:wp14="http://schemas.microsoft.com/office/word/2010/wordml" w:rsidP="298AE695" wp14:paraId="4708554A" wp14:textId="49D00AE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Although I have not worked in a setting, this analysis will draw on research evidence, professional guidance, and policy documentation to critically evaluate implementation processes. By examining the interaction between curriculum intentions, pedagogical strategies, and assessment mechanisms, this section highlights the importance of equity, contextual sensitivity, and practitioner agency in early childhood education.</w:t>
      </w:r>
    </w:p>
    <w:p xmlns:wp14="http://schemas.microsoft.com/office/word/2010/wordml" w:rsidP="298AE695" wp14:paraId="676DD959" wp14:textId="1DC90BAB">
      <w:pPr>
        <w:pStyle w:val="Heading4"/>
        <w:keepNext w:val="1"/>
        <w:keepLines w:val="1"/>
        <w:spacing w:before="319" w:beforeAutospacing="off" w:after="319" w:afterAutospacing="off"/>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298AE695" wp14:paraId="3CB3066E" wp14:textId="1D55DA75">
      <w:pPr>
        <w:pStyle w:val="Heading4"/>
        <w:keepNext w:val="1"/>
        <w:keepLines w:val="1"/>
        <w:spacing w:before="319" w:beforeAutospacing="off" w:after="319" w:afterAutospacing="off"/>
        <w:rPr>
          <w:rFonts w:ascii="Calibri" w:hAnsi="Calibri" w:eastAsia="Calibri" w:cs="Calibri"/>
          <w:b w:val="1"/>
          <w:bCs w:val="1"/>
          <w:i w:val="0"/>
          <w:iCs w:val="0"/>
          <w:caps w:val="0"/>
          <w:smallCaps w:val="0"/>
          <w:noProof w:val="0"/>
          <w:color w:val="000000" w:themeColor="text1" w:themeTint="FF" w:themeShade="FF"/>
          <w:sz w:val="24"/>
          <w:szCs w:val="24"/>
          <w:lang w:val="en-US"/>
        </w:rPr>
      </w:pPr>
    </w:p>
    <w:p xmlns:wp14="http://schemas.microsoft.com/office/word/2010/wordml" w:rsidP="298AE695" wp14:paraId="593F78BB" wp14:textId="6E211644">
      <w:pPr>
        <w:pStyle w:val="Heading4"/>
        <w:keepNext w:val="1"/>
        <w:keepLines w:val="1"/>
        <w:spacing w:before="319" w:beforeAutospacing="off" w:after="319" w:afterAutospacing="off"/>
        <w:rPr>
          <w:rFonts w:ascii="Calibri" w:hAnsi="Calibri" w:eastAsia="Calibri" w:cs="Calibri"/>
          <w:b w:val="1"/>
          <w:bCs w:val="1"/>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Assessment Practices in the EYFS and Reggio Emilia</w:t>
      </w:r>
    </w:p>
    <w:p xmlns:wp14="http://schemas.microsoft.com/office/word/2010/wordml" w:rsidP="298AE695" wp14:paraId="680668CB" wp14:textId="7AA72A3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EYFS emphasizes formative assessment through continuous observation, underpinned by the principle of knowing each child as a unique learner (DfE, 2023). Practitioners are expected to use assessments to inform planning, support individual progress, and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identify</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potential areas of concern. While tools such as the Early Years Foundation Stage Profile (EYFSP) offer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standardisation</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the end of the reception year, the framework places value on practitioner judgement and child-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centred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evidence gathering (Brock, 2015).</w:t>
      </w:r>
    </w:p>
    <w:p xmlns:wp14="http://schemas.microsoft.com/office/word/2010/wordml" w:rsidP="298AE695" wp14:paraId="43D3370D" wp14:textId="74AAD22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contrast, the Reggio Emilia approach does not rely on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standardised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developmental checklists. Instead, it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centres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pedagogical documentation as a process of understanding and interpreting children's thinking and learning trajectories (Gandini, 2012). This reflective and interpretive form of assessment supports relational pedagogy, engaging families and co-educators in collaborative meaning-making (Rinaldi, 2006).</w:t>
      </w:r>
    </w:p>
    <w:p xmlns:wp14="http://schemas.microsoft.com/office/word/2010/wordml" w:rsidP="298AE695" wp14:paraId="01EEC0A0" wp14:textId="5A24A00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Although both systems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prioritise</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observation, EYFS practitioners may feel pressure to collect assessment data that aligns with national benchmarks, sometimes at the expense of deeper learning (Roberts-Holmes &amp; Bradbury, 2016). Reggio-inspired assessment is more open-ended, offering a richer insight into children’s learning but posing implementation challenges in larger, time-constrained settings (Haslip &amp; Gullo, 2017).</w:t>
      </w:r>
    </w:p>
    <w:p xmlns:wp14="http://schemas.microsoft.com/office/word/2010/wordml" w:rsidP="298AE695" wp14:paraId="6B15AF77" wp14:textId="6FF58EA7">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26C5D0F0" wp14:textId="59845DE9">
      <w:pPr>
        <w:pStyle w:val="Heading4"/>
        <w:keepNext w:val="1"/>
        <w:keepLines w:val="1"/>
        <w:spacing w:before="319" w:beforeAutospacing="off" w:after="319" w:afterAutospacing="off"/>
        <w:rPr>
          <w:rFonts w:ascii="Calibri" w:hAnsi="Calibri" w:eastAsia="Calibri" w:cs="Calibri"/>
          <w:b w:val="1"/>
          <w:bCs w:val="1"/>
          <w:i w:val="1"/>
          <w:iCs w:val="1"/>
          <w:caps w:val="0"/>
          <w:smallCaps w:val="0"/>
          <w:noProof w:val="0"/>
          <w:color w:val="000000" w:themeColor="text1" w:themeTint="FF" w:themeShade="FF"/>
          <w:sz w:val="24"/>
          <w:szCs w:val="24"/>
          <w:lang w:val="en-US"/>
        </w:rPr>
      </w:pPr>
    </w:p>
    <w:p xmlns:wp14="http://schemas.microsoft.com/office/word/2010/wordml" w:rsidP="298AE695" wp14:paraId="0C2A2E82" wp14:textId="3151CDE3">
      <w:pPr>
        <w:pStyle w:val="Heading4"/>
        <w:keepNext w:val="1"/>
        <w:keepLines w:val="1"/>
        <w:spacing w:before="319" w:beforeAutospacing="off" w:after="319" w:afterAutospacing="off"/>
        <w:rPr>
          <w:rFonts w:ascii="Calibri" w:hAnsi="Calibri" w:eastAsia="Calibri" w:cs="Calibri"/>
          <w:b w:val="1"/>
          <w:bCs w:val="1"/>
          <w:i w:val="1"/>
          <w:iCs w:val="1"/>
          <w:caps w:val="0"/>
          <w:smallCaps w:val="0"/>
          <w:noProof w:val="0"/>
          <w:color w:val="000000" w:themeColor="text1" w:themeTint="FF" w:themeShade="FF"/>
          <w:sz w:val="24"/>
          <w:szCs w:val="24"/>
          <w:lang w:val="en-US"/>
        </w:rPr>
      </w:pPr>
    </w:p>
    <w:p xmlns:wp14="http://schemas.microsoft.com/office/word/2010/wordml" w:rsidP="298AE695" wp14:paraId="44253DE8" wp14:textId="04BA383A">
      <w:pPr>
        <w:pStyle w:val="Heading4"/>
        <w:keepNext w:val="1"/>
        <w:keepLines w:val="1"/>
        <w:spacing w:before="319" w:beforeAutospacing="off" w:after="319" w:afterAutospacing="off"/>
        <w:rPr>
          <w:rFonts w:ascii="Calibri" w:hAnsi="Calibri" w:eastAsia="Calibri" w:cs="Calibri"/>
          <w:b w:val="0"/>
          <w:bCs w:val="0"/>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The Role of Digital Assessment Tools</w:t>
      </w:r>
    </w:p>
    <w:p xmlns:wp14="http://schemas.microsoft.com/office/word/2010/wordml" w:rsidP="298AE695" wp14:paraId="2E59C4BD" wp14:textId="612D956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recent years, early years settings in England have increasingly adopted digital assessment tools to support record-keeping, parental engagement, and monitoring of progress (McDowall Clark, 2022). Platforms such as Tapestry or Learning Journals enable practitioners to upload observations, link them to </w:t>
      </w:r>
      <w:bookmarkStart w:name="_Int_4W8nsLRx" w:id="1671392836"/>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the EYFS</w:t>
      </w:r>
      <w:bookmarkEnd w:id="1671392836"/>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outcomes, and </w:t>
      </w:r>
      <w:bookmarkStart w:name="_Int_RKSHYWZX" w:id="309919517"/>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share</w:t>
      </w:r>
      <w:bookmarkEnd w:id="309919517"/>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 families in real time.</w:t>
      </w:r>
    </w:p>
    <w:p xmlns:wp14="http://schemas.microsoft.com/office/word/2010/wordml" w:rsidP="298AE695" wp14:paraId="1ED2596E" wp14:textId="54BF32B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Proponents argue that these tools streamline documentation, support communication, and reduce administrative burden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Flewitt</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&amp; Cowan, 2019). However, critics warn of the risk of reducing assessment to “tick-box” tasks, where the process becomes more about compliance than understanding children's learning (Bradbury, 2019). Moreover, digital platforms can create inequalities for families without consistent access to technology or digital literacy (Clark et al., </w:t>
      </w:r>
      <w:bookmarkStart w:name="_Int_WebM3fFu" w:id="1542560099"/>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2022</w:t>
      </w:r>
      <w:bookmarkEnd w:id="1542560099"/>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w:t>
      </w:r>
    </w:p>
    <w:p xmlns:wp14="http://schemas.microsoft.com/office/word/2010/wordml" w:rsidP="298AE695" wp14:paraId="47310A81" wp14:textId="009660F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comparison, the Reggio Emilia philosophy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maintains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strong focus on analogue forms of documentation—photos, transcripts, drawings—presented in a narrative format that resists quantification (Edwards et al., 2012). This approach foregrounds the interpretive role of the educator and the narrative voice of the child, though it may be less scalable in high-ratio settings.</w:t>
      </w:r>
    </w:p>
    <w:p xmlns:wp14="http://schemas.microsoft.com/office/word/2010/wordml" w:rsidP="298AE695" wp14:paraId="74F81166" wp14:textId="27B14A9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2E8BC6F9" wp14:textId="6E7E1C6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Furthermore, Reggio Emilia resists normative assessments and instead values children's individual learning journeys, which contrasts with EYFS’s alignment to development checkpoints and national curriculum goals (DfE, 2023; Gandini, 2012). This raises critical questions about cultural bias and inclusivity in assessment practices, especially in settings serving diverse communities (O’Sullivan, 2019). A truly inclusive approach must ensure assessment reflects not only developmental milestones, but also the socio-cultural identities of each child.</w:t>
      </w:r>
    </w:p>
    <w:p xmlns:wp14="http://schemas.microsoft.com/office/word/2010/wordml" w:rsidP="298AE695" wp14:paraId="5ADCF2FD" wp14:textId="328AC3D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1B43D23E" wp14:textId="5DBF9216">
      <w:pPr>
        <w:pStyle w:val="Normal"/>
        <w:spacing w:before="240" w:beforeAutospacing="off" w:after="240" w:afterAutospacing="off"/>
        <w:rPr>
          <w:rFonts w:ascii="Calibri" w:hAnsi="Calibri" w:eastAsia="Calibri" w:cs="Calibri"/>
          <w:b w:val="1"/>
          <w:bCs w:val="1"/>
          <w:i w:val="1"/>
          <w:iCs w:val="1"/>
          <w:caps w:val="0"/>
          <w:smallCaps w:val="0"/>
          <w:noProof w:val="0"/>
          <w:color w:val="000000" w:themeColor="text1" w:themeTint="FF" w:themeShade="FF"/>
          <w:sz w:val="24"/>
          <w:szCs w:val="24"/>
          <w:lang w:val="en-US"/>
        </w:rPr>
      </w:pPr>
    </w:p>
    <w:p xmlns:wp14="http://schemas.microsoft.com/office/word/2010/wordml" w:rsidP="298AE695" wp14:paraId="0F2C757D" wp14:textId="12BB1682">
      <w:pPr>
        <w:pStyle w:val="Normal"/>
        <w:spacing w:before="240" w:beforeAutospacing="off" w:after="240" w:afterAutospacing="off"/>
        <w:rPr>
          <w:rFonts w:ascii="Calibri" w:hAnsi="Calibri" w:eastAsia="Calibri" w:cs="Calibri"/>
          <w:b w:val="0"/>
          <w:bCs w:val="0"/>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Cultural Bias and Developmental Norms</w:t>
      </w:r>
    </w:p>
    <w:p xmlns:wp14="http://schemas.microsoft.com/office/word/2010/wordml" w:rsidP="298AE695" wp14:paraId="41482677" wp14:textId="7B9DE2E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A critical concern in the implementation of any curriculum is the potential for cultural bias embedded in developmental expectations.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EYFS, like many Western curricula, is underpinned by normative developmental models based on Eurocentric research samples (O’Sullivan, 2019). These benchmarks risk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marginalising</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children whose cultural practices, language acquisition, or developmental trajectories do not align with dominant norms.</w:t>
      </w:r>
    </w:p>
    <w:p xmlns:wp14="http://schemas.microsoft.com/office/word/2010/wordml" w:rsidP="298AE695" wp14:paraId="74F150DC" wp14:textId="3B5F420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Reggio Emilia educators resist applying fixed developmental templates to children's learning. Instead, they view development as nonlinear, relational, and embedded in socio-cultural context (Rinaldi, 2006). This philosophical stance encourages educators to interpret learning through a lens of curiosity rather than deficit.</w:t>
      </w:r>
    </w:p>
    <w:p xmlns:wp14="http://schemas.microsoft.com/office/word/2010/wordml" w:rsidP="298AE695" wp14:paraId="0B364AD0" wp14:textId="5237AE4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Nonetheless, UK-based EYFS practitioners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are often required to</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assess children against specific age bands (Development Matters; DfE, 2023), which can overlook cultural and linguistic variation. Research by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Trodd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(2013) and Cottle &amp; Alexander (2012) highlights how this can result in misidentifying bilingual or newly arrived children as underachieving when, in fact, their development is simply progressing along a different path.</w:t>
      </w:r>
    </w:p>
    <w:p xmlns:wp14="http://schemas.microsoft.com/office/word/2010/wordml" w:rsidP="298AE695" wp14:paraId="6FD68A9D" wp14:textId="745ADA8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A responsive approach, drawing on both EYFS guidance and Reggio values, would require practitioners to challenge these normative assumptions and adopt culturally sustaining pedagogies (Ladson-Billings, 2014).</w:t>
      </w:r>
    </w:p>
    <w:p xmlns:wp14="http://schemas.microsoft.com/office/word/2010/wordml" w:rsidP="298AE695" wp14:paraId="707F607D" wp14:textId="38BAB754">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7BEF3A09" wp14:textId="67BCC972">
      <w:pPr>
        <w:pStyle w:val="Heading4"/>
        <w:keepNext w:val="1"/>
        <w:keepLines w:val="1"/>
        <w:spacing w:before="319" w:beforeAutospacing="off" w:after="319" w:afterAutospacing="off"/>
        <w:rPr>
          <w:rFonts w:ascii="Calibri" w:hAnsi="Calibri" w:eastAsia="Calibri" w:cs="Calibri"/>
          <w:b w:val="0"/>
          <w:bCs w:val="0"/>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SEND and Inclusive Implementation</w:t>
      </w:r>
    </w:p>
    <w:p xmlns:wp14="http://schemas.microsoft.com/office/word/2010/wordml" w:rsidP="298AE695" wp14:paraId="17D3D934" wp14:textId="0DFDF5A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Supporting children with SEND within the EYFS requires careful alignment between curriculum expectations, individual needs, and inclusive pedagogy. The SEND Code of Practice (DfE &amp;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DoH</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2015) states that children must have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equitable</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 to learning, and practitioners must provide differentiated strategies.</w:t>
      </w:r>
    </w:p>
    <w:p xmlns:wp14="http://schemas.microsoft.com/office/word/2010/wordml" w:rsidP="298AE695" wp14:paraId="18DA1DB2" wp14:textId="0B64B85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EYFS promotes the use of the graduated approach—assess, plan, do, review—to support early identification and intervention (DfE, 2023). However, research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indicates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practitioners often struggle with time, training, or confidence to implement this model effectively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Dockrell</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2017).</w:t>
      </w:r>
    </w:p>
    <w:p xmlns:wp14="http://schemas.microsoft.com/office/word/2010/wordml" w:rsidP="298AE695" wp14:paraId="36EC5822" wp14:textId="576A741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Reggio Emilia, inclusion is considered a foundational right. All children are viewed as competent, and the environment is intentionally designed to support diverse modes of communication (Vecchi, 2010). The concept of the “hundred languages” encourages multiple forms of expression, enabling children with different abilities to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participate</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fully in learning (Malaguzzi, 1996).</w:t>
      </w:r>
    </w:p>
    <w:p xmlns:wp14="http://schemas.microsoft.com/office/word/2010/wordml" w:rsidP="298AE695" wp14:paraId="3BD17A4C" wp14:textId="64ABA13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A critical reflection on both approaches suggests that while Reggio offers a more embedded philosophy of inclusion, the EYFS provides a clearer statutory framework—but requires greater practitioner support and resourcing to meet its inclusive ideals (House, 2018).</w:t>
      </w:r>
    </w:p>
    <w:p xmlns:wp14="http://schemas.microsoft.com/office/word/2010/wordml" w:rsidP="298AE695" wp14:paraId="5EF76E70" wp14:textId="4E507B4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While the EYFS framework includes statutory guidance on supporting children with SEND through early identification and intervention (Department for Education, 2023), implementation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remains</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inconsistent across settings. Research suggests that even where inclusive policies exist, practitioners often lack the training or confidence to adapt the curriculum effectively for children with complex needs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Dockrell</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 al., 2017). In contrast, Reggio Emilia's emphasis on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individualised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learning pathways can offer a more responsive model, although its effectiveness for children with profound or multiple disabilities is less well documented in international contexts (Vecchi, 2010).</w:t>
      </w:r>
    </w:p>
    <w:p xmlns:wp14="http://schemas.microsoft.com/office/word/2010/wordml" w:rsidP="298AE695" wp14:paraId="3BCA9E5D" wp14:textId="2AB3DC33">
      <w:pPr>
        <w:spacing w:before="240" w:beforeAutospacing="off" w:after="240" w:afterAutospacing="off"/>
        <w:rPr>
          <w:rFonts w:ascii="Calibri" w:hAnsi="Calibri" w:eastAsia="Calibri" w:cs="Calibri"/>
          <w:b w:val="0"/>
          <w:bCs w:val="0"/>
          <w:i w:val="1"/>
          <w:iCs w:val="1"/>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Furthermore, inclusion is not solely about access—it involves fostering a sense of belonging and active participation. Studies show that sustained professional reflection and collaboration with families are vital to inclusive practice in both approaches (Kwon, 2020). Encouragingly, blended models that integrate Reggio-inspired values within structured EYFS provisions have shown promise for children with SEND, especially where multidisciplinary teams support adaptive pedagogy (Guldberg et al., 2019)</w:t>
      </w:r>
      <w:r w:rsidRPr="298AE695" w:rsidR="310C8A35">
        <w:rPr>
          <w:rFonts w:ascii="Calibri" w:hAnsi="Calibri" w:eastAsia="Calibri" w:cs="Calibri"/>
          <w:b w:val="0"/>
          <w:bCs w:val="0"/>
          <w:i w:val="0"/>
          <w:iCs w:val="0"/>
          <w:caps w:val="0"/>
          <w:smallCaps w:val="0"/>
          <w:noProof w:val="0"/>
          <w:color w:val="000000" w:themeColor="text1" w:themeTint="FF" w:themeShade="FF"/>
          <w:sz w:val="22"/>
          <w:szCs w:val="22"/>
          <w:lang w:val="en-US"/>
        </w:rPr>
        <w:t>.</w:t>
      </w:r>
    </w:p>
    <w:p xmlns:wp14="http://schemas.microsoft.com/office/word/2010/wordml" w:rsidP="298AE695" wp14:paraId="767F1503" wp14:textId="4D8C0E1B">
      <w:pPr>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298AE695" wp14:paraId="2FCDC730" wp14:textId="688DF1AA">
      <w:pPr>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lang w:val="en-US"/>
        </w:rPr>
      </w:pPr>
    </w:p>
    <w:p xmlns:wp14="http://schemas.microsoft.com/office/word/2010/wordml" w:rsidP="298AE695" wp14:paraId="38411602" wp14:textId="5BD87FB7">
      <w:pPr>
        <w:spacing w:before="240" w:beforeAutospacing="off" w:after="240" w:afterAutospacing="off"/>
        <w:rPr>
          <w:rFonts w:ascii="Calibri" w:hAnsi="Calibri" w:eastAsia="Calibri" w:cs="Calibri"/>
          <w:b w:val="0"/>
          <w:bCs w:val="0"/>
          <w:i w:val="1"/>
          <w:iCs w:val="1"/>
          <w:caps w:val="0"/>
          <w:smallCaps w:val="0"/>
          <w:noProof w:val="0"/>
          <w:color w:val="000000" w:themeColor="text1" w:themeTint="FF" w:themeShade="FF"/>
          <w:sz w:val="24"/>
          <w:szCs w:val="24"/>
          <w:lang w:val="en-US"/>
        </w:rPr>
      </w:pPr>
      <w:r w:rsidRPr="298AE695" w:rsidR="1B6FDB7F">
        <w:rPr>
          <w:rFonts w:ascii="Calibri" w:hAnsi="Calibri" w:eastAsia="Calibri" w:cs="Calibri"/>
          <w:b w:val="1"/>
          <w:bCs w:val="1"/>
          <w:i w:val="1"/>
          <w:iCs w:val="1"/>
          <w:caps w:val="0"/>
          <w:smallCaps w:val="0"/>
          <w:noProof w:val="0"/>
          <w:color w:val="000000" w:themeColor="text1" w:themeTint="FF" w:themeShade="FF"/>
          <w:sz w:val="24"/>
          <w:szCs w:val="24"/>
          <w:lang w:val="en-US"/>
        </w:rPr>
        <w:t>Conclusion</w:t>
      </w:r>
    </w:p>
    <w:p xmlns:wp14="http://schemas.microsoft.com/office/word/2010/wordml" w:rsidP="298AE695" wp14:paraId="72E30201" wp14:textId="0463D01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section has critically evaluated how early years curricula are implemented in practice, focusing on the English EYFS and drawing comparative insights from Reggio Emilia. While the EYFS provides a robust framework for assessment and inclusion, it can risk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prioritising</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measurable outcomes over deeper learning. Reggio Emilia offers a philosophically rich alternative, but its open-ended nature may challenge implementation in statutory settings.</w:t>
      </w:r>
    </w:p>
    <w:p xmlns:wp14="http://schemas.microsoft.com/office/word/2010/wordml" w:rsidP="298AE695" wp14:paraId="3A9B0B8E" wp14:textId="3A97478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Key themes such as digital assessment, cultural bias, and SEND illustrate the complexities involved in turning curriculum into lived experience. Effective implementation requires skilled, reflective practitioners who can interpret curriculum guidance critically, adapt to diverse needs, and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maintain</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play as a central mode of learning.</w:t>
      </w:r>
    </w:p>
    <w:p xmlns:wp14="http://schemas.microsoft.com/office/word/2010/wordml" w:rsidP="298AE695" wp14:paraId="0B899DED" wp14:textId="5D73A56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In conclusion, while the EYFS framework provides a structured foundation ensuring developmental milestones and statutory inclusion, the Reggio Emilia approach offers a flexible, child-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centred</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philosophy that values creativity and emergent learning. Integrating strengths from both could address contemporary challenges such as cultural bias and the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digitalisation</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assessment, promoting more holistic and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equitable</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early years provision. Future practice and policy should </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prioritise</w:t>
      </w:r>
      <w:r w:rsidRPr="298AE695" w:rsidR="1B6FD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ongoing professional development and collaborative approaches to support diverse learners effectively. Such synthesis fosters not only academic progress but also the social and emotional well-being essential to lifelong learning.</w:t>
      </w:r>
    </w:p>
    <w:p xmlns:wp14="http://schemas.microsoft.com/office/word/2010/wordml" w:rsidP="298AE695" wp14:paraId="0108EFE0" wp14:textId="4F567467">
      <w:pPr>
        <w:pStyle w:val="Heading3"/>
        <w:spacing w:before="240" w:beforeAutospacing="off" w:after="240" w:afterAutospacing="off"/>
        <w:rPr>
          <w:rFonts w:ascii="Calibri" w:hAnsi="Calibri" w:eastAsia="Calibri" w:cs="Calibri"/>
          <w:b w:val="1"/>
          <w:bCs w:val="1"/>
          <w:i w:val="1"/>
          <w:iCs w:val="1"/>
          <w:caps w:val="0"/>
          <w:smallCaps w:val="0"/>
          <w:noProof w:val="0"/>
          <w:color w:val="000000" w:themeColor="text1" w:themeTint="FF" w:themeShade="FF"/>
          <w:sz w:val="28"/>
          <w:szCs w:val="28"/>
          <w:lang w:val="en-US"/>
        </w:rPr>
      </w:pPr>
    </w:p>
    <w:p xmlns:wp14="http://schemas.microsoft.com/office/word/2010/wordml" w:rsidP="298AE695" wp14:paraId="17846A0A" wp14:textId="12561B3D">
      <w:pPr>
        <w:pStyle w:val="Heading3"/>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298AE695" w:rsidR="53099F20">
        <w:rPr>
          <w:rFonts w:ascii="Calibri" w:hAnsi="Calibri" w:eastAsia="Calibri" w:cs="Calibri"/>
          <w:b w:val="1"/>
          <w:bCs w:val="1"/>
          <w:i w:val="1"/>
          <w:iCs w:val="1"/>
          <w:caps w:val="0"/>
          <w:smallCaps w:val="0"/>
          <w:noProof w:val="0"/>
          <w:color w:val="000000" w:themeColor="text1" w:themeTint="FF" w:themeShade="FF"/>
          <w:sz w:val="28"/>
          <w:szCs w:val="28"/>
          <w:lang w:val="en-US"/>
        </w:rPr>
        <w:t>Navigating Curriculum Changes: My Journey with the New Curriculum for Wales</w:t>
      </w:r>
    </w:p>
    <w:p xmlns:wp14="http://schemas.microsoft.com/office/word/2010/wordml" w:rsidP="298AE695" wp14:paraId="2680FA78" wp14:textId="0DD4A9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If there’s one thing I’ve learned about education, it’s that change is constant—especially when it comes to curriculum. Right now, early years educators across Wales are adjusting to the brand-new Curriculum for Wales, and honestly, it’s a bit of a rollercoaster.</w:t>
      </w:r>
    </w:p>
    <w:p xmlns:wp14="http://schemas.microsoft.com/office/word/2010/wordml" w:rsidP="298AE695" wp14:paraId="2E9C2455" wp14:textId="7714572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The new curriculum is pretty exciting. It’s all about putting children at the heart of learning, focusing on four big goals: helping kids become ambitious learners, creative thinkers, ethical citizens, and confident individuals. It’s a big shift from the old Foundation Phase, which was already pretty play-focused but more structured. Now, there’s way more freedom for educators to design learning that fits their kids and their communities.</w:t>
      </w:r>
    </w:p>
    <w:p xmlns:wp14="http://schemas.microsoft.com/office/word/2010/wordml" w:rsidP="298AE695" wp14:paraId="4FB8EE7A" wp14:textId="2612DE2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But here’s the catch: with great freedom comes great responsibility. As someone who hasn’t worked directly in a classroom yet, I can imagine how overwhelming it might be to navigate this balance. You’re encouraged to be creative, but you still have to meet national standards and make sure every child is supported.</w:t>
      </w:r>
    </w:p>
    <w:p xmlns:wp14="http://schemas.microsoft.com/office/word/2010/wordml" w:rsidP="298AE695" wp14:paraId="6ACED7FB" wp14:textId="2C803C0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One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real challenge</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the workload. </w:t>
      </w:r>
      <w:bookmarkStart w:name="_Int_dCmNs95P" w:id="723185280"/>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New</w:t>
      </w:r>
      <w:bookmarkEnd w:id="723185280"/>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curriculum means new training, new planning methods, and fresh ways to assess kids. This can get exhausting fast—especially if there’s not enough time or support. Research by Kingston and Siraj (2016) highlights that without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good professional</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development, teachers can feel stretched thin. I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can’t</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help but wonder how many educators are quietly struggling behind the scenes.</w:t>
      </w:r>
    </w:p>
    <w:p xmlns:wp14="http://schemas.microsoft.com/office/word/2010/wordml" w:rsidP="298AE695" wp14:paraId="433CD050" wp14:textId="42ADB75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The curriculum’s focus on equity and inclusion is a breath of fresh air. It pushes us to rethink how we support children with different needs, including those with SEND. It also encourages us to be mindful of cultural differences and avoid bias in how we measure development. This is huge because it means recognising that kids learn in all sorts of different ways, and that’s okay.</w:t>
      </w:r>
    </w:p>
    <w:p xmlns:wp14="http://schemas.microsoft.com/office/word/2010/wordml" w:rsidP="298AE695" wp14:paraId="1D99CBBE" wp14:textId="6B7E6FE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That said, making this inclusive vision real takes work—and it means lots of reflection for practitioners. You have to constantly check your own assumptions and be open to learning. It’s not always easy, but it’s necessary.</w:t>
      </w:r>
    </w:p>
    <w:p xmlns:wp14="http://schemas.microsoft.com/office/word/2010/wordml" w:rsidP="298AE695" wp14:paraId="612FB0DC" wp14:textId="53DF645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Another part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 find inspiring</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how much the new curriculum encourages teamwork. When educators collaborate and reflect together, it creates a richer learning environment. But realistically, finding time for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meaningful</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conversations can be tough when your day is packed.</w:t>
      </w:r>
    </w:p>
    <w:p xmlns:wp14="http://schemas.microsoft.com/office/word/2010/wordml" w:rsidP="298AE695" wp14:paraId="0525F0A3" wp14:textId="02340F3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From the children’s side of things, the hope is that they’ll experience learning that’s relevant, fun, and empowering. Play is still the cornerstone, which is great because it respects how kids naturally learn. But during this transition period, inconsistency can creep in if educators aren’t yet confident with the new system. It’s a reminder that children’s emotional security must always come first.</w:t>
      </w:r>
    </w:p>
    <w:p xmlns:wp14="http://schemas.microsoft.com/office/word/2010/wordml" w:rsidP="298AE695" wp14:paraId="22A7F582" wp14:textId="1410646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Parents and carers play a huge role </w:t>
      </w:r>
      <w:bookmarkStart w:name="_Int_IS0HdP6A" w:id="1569534806"/>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here</w:t>
      </w:r>
      <w:bookmarkEnd w:id="1569534806"/>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 Keeping them in the loop—explaining why changes are happening and how they can support learning at home—helps build trust. Unfortunately, this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doesn’t</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always happen as well as it should (Canning &amp; Reed, 2012). Strong home-school partnerships are essential, especially when everyone is navigating something new.</w:t>
      </w:r>
    </w:p>
    <w:p xmlns:wp14="http://schemas.microsoft.com/office/word/2010/wordml" w:rsidP="298AE695" wp14:paraId="4D860F73" wp14:textId="23A6446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One of the biggest practical challenges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I’ve</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read about—and I imagine experienced educators would agree—is balancing the demands of curriculum change with day-to-day classroom realities. When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you’re</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juggling lesson planning, observations, assessments, and the needs of individual children, it can feel like there’s never enough time to fully explore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new</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approaches</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Curriculum for Wales encourages educators to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personalise</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learning, but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personalisation</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takes time: time to get to know each child’s strengths, interests, and needs. Plus,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there’s</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pressure of paperwork and accountability that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doesn’t</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just vanish because the curriculum has changed. This tension between innovation and administrative demands is real, and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it’s</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something that leaders and policymakers need to continue addressing to ensure practitioners </w:t>
      </w:r>
      <w:bookmarkStart w:name="_Int_1fRUMeeJ" w:id="502953826"/>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aren’t</w:t>
      </w:r>
      <w:bookmarkEnd w:id="502953826"/>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overwhelmed.</w:t>
      </w:r>
    </w:p>
    <w:p xmlns:wp14="http://schemas.microsoft.com/office/word/2010/wordml" w:rsidP="298AE695" wp14:paraId="29042CBC" wp14:textId="20D19D5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Digital assessment and learning tools are increasingly becoming part of the </w:t>
      </w:r>
      <w:bookmarkStart w:name="_Int_S2oQ7hKT" w:id="1655184035"/>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conversation as well</w:t>
      </w:r>
      <w:bookmarkEnd w:id="1655184035"/>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new curriculum encourages using technology thoughtfully to support children’s learning journeys and communication with families. For example, digital portfolios and apps can help practitioners document play and progress in a way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that’s</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accessible and engaging for parents. However, not every setting has the same access to digital resources, and not all educators feel confident using technology. This digital divide risks creating inequalities that could undermine the curriculum’s commitment to inclusion. I think ongoing training and investment in digital infrastructure will be crucial to making these tools work effectively for everyone involved.</w:t>
      </w:r>
    </w:p>
    <w:p xmlns:wp14="http://schemas.microsoft.com/office/word/2010/wordml" w:rsidP="298AE695" wp14:paraId="1CBF99D4" wp14:textId="60AAB75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Finally, reflecting on the future, I’m optimistic but realistic. Curriculum change is never just about the document itself—it’s about people and relationships. The success of the Curriculum for Wales depends on how well it’s embraced by educators, supported by leaders, and understood by families. I imagine there will be bumps along the way and times when the ideas meet reality. But I also believe that the emphasis on child-centred, play-based, and inclusive learning is a powerful foundation. If schools can foster environments where educators feel valued, heard, and equipped, children will undoubtedly benefit. Change can be challenging, but with reflection, collaboration, and commitment, this could be a real step forward for early years education in Wales.</w:t>
      </w:r>
    </w:p>
    <w:p xmlns:wp14="http://schemas.microsoft.com/office/word/2010/wordml" w:rsidP="298AE695" wp14:paraId="3438E8FA" wp14:textId="006956B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Looking back, I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realise</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adapting to curriculum change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isn’t</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quick fix. </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It’s</w:t>
      </w: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journey that requires patience, resilience, and lots of learning. Professional development is </w:t>
      </w:r>
      <w:bookmarkStart w:name="_Int_3vAaS4D3" w:id="1886148623"/>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key—training</w:t>
      </w:r>
      <w:bookmarkEnd w:id="1886148623"/>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needs to be practical and ongoing, not just a one-off session (McLachlan, Fleer &amp; Edwards, 2018). Support from mentors and peers makes a massive difference as well.</w:t>
      </w:r>
    </w:p>
    <w:p xmlns:wp14="http://schemas.microsoft.com/office/word/2010/wordml" w:rsidP="298AE695" wp14:paraId="587B7D72" wp14:textId="5D1720D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298AE695" w:rsidR="53099F20">
        <w:rPr>
          <w:rFonts w:ascii="Calibri" w:hAnsi="Calibri" w:eastAsia="Calibri" w:cs="Calibri"/>
          <w:b w:val="0"/>
          <w:bCs w:val="0"/>
          <w:i w:val="0"/>
          <w:iCs w:val="0"/>
          <w:caps w:val="0"/>
          <w:smallCaps w:val="0"/>
          <w:noProof w:val="0"/>
          <w:color w:val="000000" w:themeColor="text1" w:themeTint="FF" w:themeShade="FF"/>
          <w:sz w:val="22"/>
          <w:szCs w:val="22"/>
          <w:lang w:val="en-US"/>
        </w:rPr>
        <w:t>At the end of the day, making this work comes down to teamwork. Leaders, teachers, families, and kids all have a part to play. If we can work together and embrace change with open minds, I believe we can create learning experiences that truly prepare children for the future—confident, curious, and ready to take on the world.</w:t>
      </w:r>
    </w:p>
    <w:p xmlns:wp14="http://schemas.microsoft.com/office/word/2010/wordml" w:rsidP="298AE695" wp14:paraId="3BD14EFB" wp14:textId="4EC73F4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723AB368" wp14:textId="6501AB1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5007FEE8" wp14:textId="35FF2FF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98AE695" wp14:paraId="6D7726CD" wp14:textId="24EF2EE3">
      <w:pPr>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p>
    <w:p xmlns:wp14="http://schemas.microsoft.com/office/word/2010/wordml" w:rsidP="298AE695" wp14:paraId="6951967D" wp14:textId="72917654">
      <w:pPr>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p>
    <w:p xmlns:wp14="http://schemas.microsoft.com/office/word/2010/wordml" w:rsidP="298AE695" wp14:paraId="07D55161" wp14:textId="04646AB0">
      <w:pPr>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p>
    <w:p xmlns:wp14="http://schemas.microsoft.com/office/word/2010/wordml" w:rsidP="298AE695" wp14:paraId="554FEEF9" wp14:textId="045DE161">
      <w:pPr>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p>
    <w:p xmlns:wp14="http://schemas.microsoft.com/office/word/2010/wordml" w:rsidP="298AE695" wp14:paraId="7FC253DC" wp14:textId="738E3D15">
      <w:pPr>
        <w:spacing w:before="240" w:beforeAutospacing="off" w:after="240" w:afterAutospacing="off"/>
        <w:rPr>
          <w:rFonts w:ascii="Calibri" w:hAnsi="Calibri" w:eastAsia="Calibri" w:cs="Calibri"/>
          <w:b w:val="1"/>
          <w:bCs w:val="1"/>
          <w:i w:val="1"/>
          <w:iCs w:val="1"/>
          <w:noProof w:val="0"/>
          <w:color w:val="000000" w:themeColor="text1" w:themeTint="FF" w:themeShade="FF"/>
          <w:sz w:val="24"/>
          <w:szCs w:val="24"/>
          <w:lang w:val="en-US"/>
        </w:rPr>
      </w:pPr>
      <w:r w:rsidRPr="298AE695" w:rsidR="19BFB6EB">
        <w:rPr>
          <w:rFonts w:ascii="Calibri" w:hAnsi="Calibri" w:eastAsia="Calibri" w:cs="Calibri"/>
          <w:b w:val="1"/>
          <w:bCs w:val="1"/>
          <w:i w:val="1"/>
          <w:iCs w:val="1"/>
          <w:noProof w:val="0"/>
          <w:color w:val="000000" w:themeColor="text1" w:themeTint="FF" w:themeShade="FF"/>
          <w:sz w:val="24"/>
          <w:szCs w:val="24"/>
          <w:lang w:val="en-US"/>
        </w:rPr>
        <w:t>Reference List</w:t>
      </w:r>
    </w:p>
    <w:p xmlns:wp14="http://schemas.microsoft.com/office/word/2010/wordml" w:rsidP="298AE695" wp14:paraId="36D06A89" wp14:textId="5991ABD5">
      <w:pPr>
        <w:pStyle w:val="Normal"/>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 xml:space="preserve">Bradbury, A. (2019) ‘The impact of digital assessment tools on early years practice’,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Years Educator</w:t>
      </w:r>
      <w:r w:rsidRPr="298AE695" w:rsidR="19BFB6EB">
        <w:rPr>
          <w:rFonts w:ascii="Calibri" w:hAnsi="Calibri" w:eastAsia="Calibri" w:cs="Calibri"/>
          <w:b w:val="0"/>
          <w:bCs w:val="0"/>
          <w:noProof w:val="0"/>
          <w:color w:val="000000" w:themeColor="text1" w:themeTint="FF" w:themeShade="FF"/>
          <w:sz w:val="22"/>
          <w:szCs w:val="22"/>
          <w:lang w:val="en-US"/>
        </w:rPr>
        <w:t>, 21(3), pp. 24–27.</w:t>
      </w:r>
    </w:p>
    <w:p xmlns:wp14="http://schemas.microsoft.com/office/word/2010/wordml" w:rsidP="298AE695" wp14:paraId="7AC4CAF3" wp14:textId="2BD8A46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Brock, A. (2015)</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Assessment in Early Childhood Education: A Guide for Students and Practitioners</w:t>
      </w:r>
      <w:r w:rsidRPr="298AE695" w:rsidR="19BFB6EB">
        <w:rPr>
          <w:rFonts w:ascii="Calibri" w:hAnsi="Calibri" w:eastAsia="Calibri" w:cs="Calibri"/>
          <w:b w:val="0"/>
          <w:bCs w:val="0"/>
          <w:noProof w:val="0"/>
          <w:color w:val="000000" w:themeColor="text1" w:themeTint="FF" w:themeShade="FF"/>
          <w:sz w:val="22"/>
          <w:szCs w:val="22"/>
          <w:lang w:val="en-US"/>
        </w:rPr>
        <w:t xml:space="preserve">. 2nd </w:t>
      </w:r>
      <w:r w:rsidRPr="298AE695" w:rsidR="19BFB6EB">
        <w:rPr>
          <w:rFonts w:ascii="Calibri" w:hAnsi="Calibri" w:eastAsia="Calibri" w:cs="Calibri"/>
          <w:b w:val="0"/>
          <w:bCs w:val="0"/>
          <w:noProof w:val="0"/>
          <w:color w:val="000000" w:themeColor="text1" w:themeTint="FF" w:themeShade="FF"/>
          <w:sz w:val="22"/>
          <w:szCs w:val="22"/>
          <w:lang w:val="en-US"/>
        </w:rPr>
        <w:t>edn</w:t>
      </w:r>
      <w:r w:rsidRPr="298AE695" w:rsidR="19BFB6EB">
        <w:rPr>
          <w:rFonts w:ascii="Calibri" w:hAnsi="Calibri" w:eastAsia="Calibri" w:cs="Calibri"/>
          <w:b w:val="0"/>
          <w:bCs w:val="0"/>
          <w:noProof w:val="0"/>
          <w:color w:val="000000" w:themeColor="text1" w:themeTint="FF" w:themeShade="FF"/>
          <w:sz w:val="22"/>
          <w:szCs w:val="22"/>
          <w:lang w:val="en-US"/>
        </w:rPr>
        <w:t>. London: Sage.</w:t>
      </w:r>
    </w:p>
    <w:p xmlns:wp14="http://schemas.microsoft.com/office/word/2010/wordml" w:rsidP="298AE695" wp14:paraId="1AE0D074" wp14:textId="1F76935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Canning, R. and Reed, J. (2012)</w:t>
      </w:r>
      <w:r w:rsidRPr="298AE695" w:rsidR="19BFB6EB">
        <w:rPr>
          <w:rFonts w:ascii="Calibri" w:hAnsi="Calibri" w:eastAsia="Calibri" w:cs="Calibri"/>
          <w:b w:val="0"/>
          <w:bCs w:val="0"/>
          <w:noProof w:val="0"/>
          <w:color w:val="000000" w:themeColor="text1" w:themeTint="FF" w:themeShade="FF"/>
          <w:sz w:val="22"/>
          <w:szCs w:val="22"/>
          <w:lang w:val="en-US"/>
        </w:rPr>
        <w:t xml:space="preserve"> ‘Parent partnerships in early years education: A critical analysis’, </w:t>
      </w:r>
      <w:r w:rsidRPr="298AE695" w:rsidR="19BFB6EB">
        <w:rPr>
          <w:rFonts w:ascii="Calibri" w:hAnsi="Calibri" w:eastAsia="Calibri" w:cs="Calibri"/>
          <w:b w:val="0"/>
          <w:bCs w:val="0"/>
          <w:i w:val="1"/>
          <w:iCs w:val="1"/>
          <w:noProof w:val="0"/>
          <w:color w:val="000000" w:themeColor="text1" w:themeTint="FF" w:themeShade="FF"/>
          <w:sz w:val="22"/>
          <w:szCs w:val="22"/>
          <w:lang w:val="en-US"/>
        </w:rPr>
        <w:t>International Journal of Early Years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20(4), pp. 322–334. Available at: </w:t>
      </w:r>
      <w:hyperlink r:id="R06df2e82001243c3">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https://doi.org/10.1080/09669760.2012.736932</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26 May 2025).</w:t>
      </w:r>
    </w:p>
    <w:p xmlns:wp14="http://schemas.microsoft.com/office/word/2010/wordml" w:rsidP="298AE695" wp14:paraId="1799AFE6" wp14:textId="3CCE66F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Clark, A., Fleer, M. and Hadley, F. (2022)</w:t>
      </w:r>
      <w:r w:rsidRPr="298AE695" w:rsidR="19BFB6EB">
        <w:rPr>
          <w:rFonts w:ascii="Calibri" w:hAnsi="Calibri" w:eastAsia="Calibri" w:cs="Calibri"/>
          <w:b w:val="0"/>
          <w:bCs w:val="0"/>
          <w:noProof w:val="0"/>
          <w:color w:val="000000" w:themeColor="text1" w:themeTint="FF" w:themeShade="FF"/>
          <w:sz w:val="22"/>
          <w:szCs w:val="22"/>
          <w:lang w:val="en-US"/>
        </w:rPr>
        <w:t xml:space="preserve"> ‘Digital inclusion and early childhood education: Challenges and opportunities’, </w:t>
      </w:r>
      <w:r w:rsidRPr="298AE695" w:rsidR="19BFB6EB">
        <w:rPr>
          <w:rFonts w:ascii="Calibri" w:hAnsi="Calibri" w:eastAsia="Calibri" w:cs="Calibri"/>
          <w:b w:val="0"/>
          <w:bCs w:val="0"/>
          <w:i w:val="1"/>
          <w:iCs w:val="1"/>
          <w:noProof w:val="0"/>
          <w:color w:val="000000" w:themeColor="text1" w:themeTint="FF" w:themeShade="FF"/>
          <w:sz w:val="22"/>
          <w:szCs w:val="22"/>
          <w:lang w:val="en-US"/>
        </w:rPr>
        <w:t>Journal of Early Childhood Research</w:t>
      </w:r>
      <w:r w:rsidRPr="298AE695" w:rsidR="19BFB6EB">
        <w:rPr>
          <w:rFonts w:ascii="Calibri" w:hAnsi="Calibri" w:eastAsia="Calibri" w:cs="Calibri"/>
          <w:b w:val="0"/>
          <w:bCs w:val="0"/>
          <w:noProof w:val="0"/>
          <w:color w:val="000000" w:themeColor="text1" w:themeTint="FF" w:themeShade="FF"/>
          <w:sz w:val="22"/>
          <w:szCs w:val="22"/>
          <w:lang w:val="en-US"/>
        </w:rPr>
        <w:t xml:space="preserve">, 20(1), pp. 45–59. Available at: </w:t>
      </w:r>
      <w:hyperlink r:id="R6bb59ceece6645aa">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https://doi.org/10.1177/1476718X211051547</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9 June 2025).</w:t>
      </w:r>
    </w:p>
    <w:p xmlns:wp14="http://schemas.microsoft.com/office/word/2010/wordml" w:rsidP="298AE695" wp14:paraId="6A7EAABE" wp14:textId="1905CC4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Department for Education (DfE) (2023)</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Years Foundation Stage (EYFS) Framework</w:t>
      </w:r>
      <w:r w:rsidRPr="298AE695" w:rsidR="19BFB6EB">
        <w:rPr>
          <w:rFonts w:ascii="Calibri" w:hAnsi="Calibri" w:eastAsia="Calibri" w:cs="Calibri"/>
          <w:b w:val="0"/>
          <w:bCs w:val="0"/>
          <w:noProof w:val="0"/>
          <w:color w:val="000000" w:themeColor="text1" w:themeTint="FF" w:themeShade="FF"/>
          <w:sz w:val="22"/>
          <w:szCs w:val="22"/>
          <w:lang w:val="en-US"/>
        </w:rPr>
        <w:t xml:space="preserve">. London: Department </w:t>
      </w:r>
      <w:r w:rsidRPr="298AE695" w:rsidR="19BFB6EB">
        <w:rPr>
          <w:rFonts w:ascii="Calibri" w:hAnsi="Calibri" w:eastAsia="Calibri" w:cs="Calibri"/>
          <w:b w:val="0"/>
          <w:bCs w:val="0"/>
          <w:noProof w:val="0"/>
          <w:color w:val="000000" w:themeColor="text1" w:themeTint="FF" w:themeShade="FF"/>
          <w:sz w:val="22"/>
          <w:szCs w:val="22"/>
          <w:lang w:val="en-US"/>
        </w:rPr>
        <w:t>for</w:t>
      </w:r>
      <w:r w:rsidRPr="298AE695" w:rsidR="19BFB6EB">
        <w:rPr>
          <w:rFonts w:ascii="Calibri" w:hAnsi="Calibri" w:eastAsia="Calibri" w:cs="Calibri"/>
          <w:b w:val="0"/>
          <w:bCs w:val="0"/>
          <w:noProof w:val="0"/>
          <w:color w:val="000000" w:themeColor="text1" w:themeTint="FF" w:themeShade="FF"/>
          <w:sz w:val="22"/>
          <w:szCs w:val="22"/>
          <w:lang w:val="en-US"/>
        </w:rPr>
        <w:t xml:space="preserve"> Education. Available at: </w:t>
      </w:r>
      <w:hyperlink r:id="R4dcc7d20cf204a91">
        <w:r w:rsidRPr="298AE695" w:rsidR="19BFB6EB">
          <w:rPr>
            <w:rStyle w:val="Hyperlink"/>
            <w:rFonts w:ascii="Calibri" w:hAnsi="Calibri" w:eastAsia="Calibri" w:cs="Calibri"/>
            <w:b w:val="0"/>
            <w:bCs w:val="0"/>
            <w:noProof w:val="0"/>
            <w:color w:val="000000" w:themeColor="text1" w:themeTint="FF" w:themeShade="FF"/>
            <w:sz w:val="22"/>
            <w:szCs w:val="22"/>
            <w:lang w:val="en-US"/>
          </w:rPr>
          <w:t>https://www.gov.uk/government/publications/early-years-foundation-stage-framework--2</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3 June 2025).</w:t>
      </w:r>
    </w:p>
    <w:p xmlns:wp14="http://schemas.microsoft.com/office/word/2010/wordml" w:rsidP="298AE695" wp14:paraId="537121C4" wp14:textId="26212FB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 xml:space="preserve">Department for Education and Department of Health (DfE &amp; </w:t>
      </w:r>
      <w:r w:rsidRPr="298AE695" w:rsidR="19BFB6EB">
        <w:rPr>
          <w:rFonts w:ascii="Calibri" w:hAnsi="Calibri" w:eastAsia="Calibri" w:cs="Calibri"/>
          <w:b w:val="0"/>
          <w:bCs w:val="0"/>
          <w:noProof w:val="0"/>
          <w:color w:val="000000" w:themeColor="text1" w:themeTint="FF" w:themeShade="FF"/>
          <w:sz w:val="22"/>
          <w:szCs w:val="22"/>
          <w:lang w:val="en-US"/>
        </w:rPr>
        <w:t>DoH</w:t>
      </w:r>
      <w:r w:rsidRPr="298AE695" w:rsidR="19BFB6EB">
        <w:rPr>
          <w:rFonts w:ascii="Calibri" w:hAnsi="Calibri" w:eastAsia="Calibri" w:cs="Calibri"/>
          <w:b w:val="0"/>
          <w:bCs w:val="0"/>
          <w:noProof w:val="0"/>
          <w:color w:val="000000" w:themeColor="text1" w:themeTint="FF" w:themeShade="FF"/>
          <w:sz w:val="22"/>
          <w:szCs w:val="22"/>
          <w:lang w:val="en-US"/>
        </w:rPr>
        <w:t>) (2015)</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Special Educational Needs and Disability Code of Practice: 0 to 25 years</w:t>
      </w:r>
      <w:r w:rsidRPr="298AE695" w:rsidR="19BFB6EB">
        <w:rPr>
          <w:rFonts w:ascii="Calibri" w:hAnsi="Calibri" w:eastAsia="Calibri" w:cs="Calibri"/>
          <w:b w:val="0"/>
          <w:bCs w:val="0"/>
          <w:noProof w:val="0"/>
          <w:color w:val="000000" w:themeColor="text1" w:themeTint="FF" w:themeShade="FF"/>
          <w:sz w:val="22"/>
          <w:szCs w:val="22"/>
          <w:lang w:val="en-US"/>
        </w:rPr>
        <w:t xml:space="preserve">. London: Department </w:t>
      </w:r>
      <w:r w:rsidRPr="298AE695" w:rsidR="19BFB6EB">
        <w:rPr>
          <w:rFonts w:ascii="Calibri" w:hAnsi="Calibri" w:eastAsia="Calibri" w:cs="Calibri"/>
          <w:b w:val="0"/>
          <w:bCs w:val="0"/>
          <w:noProof w:val="0"/>
          <w:color w:val="000000" w:themeColor="text1" w:themeTint="FF" w:themeShade="FF"/>
          <w:sz w:val="22"/>
          <w:szCs w:val="22"/>
          <w:lang w:val="en-US"/>
        </w:rPr>
        <w:t>for</w:t>
      </w:r>
      <w:r w:rsidRPr="298AE695" w:rsidR="19BFB6EB">
        <w:rPr>
          <w:rFonts w:ascii="Calibri" w:hAnsi="Calibri" w:eastAsia="Calibri" w:cs="Calibri"/>
          <w:b w:val="0"/>
          <w:bCs w:val="0"/>
          <w:noProof w:val="0"/>
          <w:color w:val="000000" w:themeColor="text1" w:themeTint="FF" w:themeShade="FF"/>
          <w:sz w:val="22"/>
          <w:szCs w:val="22"/>
          <w:lang w:val="en-US"/>
        </w:rPr>
        <w:t xml:space="preserve"> Education and </w:t>
      </w:r>
      <w:r w:rsidRPr="298AE695" w:rsidR="19BFB6EB">
        <w:rPr>
          <w:rFonts w:ascii="Calibri" w:hAnsi="Calibri" w:eastAsia="Calibri" w:cs="Calibri"/>
          <w:b w:val="0"/>
          <w:bCs w:val="0"/>
          <w:noProof w:val="0"/>
          <w:color w:val="000000" w:themeColor="text1" w:themeTint="FF" w:themeShade="FF"/>
          <w:sz w:val="22"/>
          <w:szCs w:val="22"/>
          <w:lang w:val="en-US"/>
        </w:rPr>
        <w:t>Department</w:t>
      </w:r>
      <w:r w:rsidRPr="298AE695" w:rsidR="19BFB6EB">
        <w:rPr>
          <w:rFonts w:ascii="Calibri" w:hAnsi="Calibri" w:eastAsia="Calibri" w:cs="Calibri"/>
          <w:b w:val="0"/>
          <w:bCs w:val="0"/>
          <w:noProof w:val="0"/>
          <w:color w:val="000000" w:themeColor="text1" w:themeTint="FF" w:themeShade="FF"/>
          <w:sz w:val="22"/>
          <w:szCs w:val="22"/>
          <w:lang w:val="en-US"/>
        </w:rPr>
        <w:t xml:space="preserve"> of Health. Available at: </w:t>
      </w:r>
      <w:hyperlink r:id="R38cf6e87d27e4c86">
        <w:r w:rsidRPr="298AE695" w:rsidR="19BFB6EB">
          <w:rPr>
            <w:rStyle w:val="Hyperlink"/>
            <w:rFonts w:ascii="Calibri" w:hAnsi="Calibri" w:eastAsia="Calibri" w:cs="Calibri"/>
            <w:b w:val="0"/>
            <w:bCs w:val="0"/>
            <w:noProof w:val="0"/>
            <w:color w:val="000000" w:themeColor="text1" w:themeTint="FF" w:themeShade="FF"/>
            <w:sz w:val="22"/>
            <w:szCs w:val="22"/>
            <w:lang w:val="en-US"/>
          </w:rPr>
          <w:t>https://www.gov.uk/government/publications/send-code-of-practice-0-to-25</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9 June 2025).</w:t>
      </w:r>
    </w:p>
    <w:p xmlns:wp14="http://schemas.microsoft.com/office/word/2010/wordml" w:rsidP="298AE695" wp14:paraId="268141A5" wp14:textId="483559E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Dockrell</w:t>
      </w:r>
      <w:r w:rsidRPr="298AE695" w:rsidR="19BFB6EB">
        <w:rPr>
          <w:rFonts w:ascii="Calibri" w:hAnsi="Calibri" w:eastAsia="Calibri" w:cs="Calibri"/>
          <w:b w:val="0"/>
          <w:bCs w:val="0"/>
          <w:noProof w:val="0"/>
          <w:color w:val="000000" w:themeColor="text1" w:themeTint="FF" w:themeShade="FF"/>
          <w:sz w:val="22"/>
          <w:szCs w:val="22"/>
          <w:lang w:val="en-US"/>
        </w:rPr>
        <w:t>, J., Lindsay, G., Connelly, V. and Mackie, C. (2017)</w:t>
      </w:r>
      <w:r w:rsidRPr="298AE695" w:rsidR="19BFB6EB">
        <w:rPr>
          <w:rFonts w:ascii="Calibri" w:hAnsi="Calibri" w:eastAsia="Calibri" w:cs="Calibri"/>
          <w:b w:val="0"/>
          <w:bCs w:val="0"/>
          <w:noProof w:val="0"/>
          <w:color w:val="000000" w:themeColor="text1" w:themeTint="FF" w:themeShade="FF"/>
          <w:sz w:val="22"/>
          <w:szCs w:val="22"/>
          <w:lang w:val="en-US"/>
        </w:rPr>
        <w:t xml:space="preserve"> ‘Supporting children with special educational needs and disabilities in the EYFS’, </w:t>
      </w:r>
      <w:r w:rsidRPr="298AE695" w:rsidR="19BFB6EB">
        <w:rPr>
          <w:rFonts w:ascii="Calibri" w:hAnsi="Calibri" w:eastAsia="Calibri" w:cs="Calibri"/>
          <w:b w:val="0"/>
          <w:bCs w:val="0"/>
          <w:i w:val="1"/>
          <w:iCs w:val="1"/>
          <w:noProof w:val="0"/>
          <w:color w:val="000000" w:themeColor="text1" w:themeTint="FF" w:themeShade="FF"/>
          <w:sz w:val="22"/>
          <w:szCs w:val="22"/>
          <w:lang w:val="en-US"/>
        </w:rPr>
        <w:t>British Journal of Special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44(3), pp. 263–280. Available at: </w:t>
      </w:r>
      <w:hyperlink r:id="Rf2c3ddc778dd4ac8">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https://doi.org/10.1111/1467-8578.12148</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10 June 2025).</w:t>
      </w:r>
    </w:p>
    <w:p xmlns:wp14="http://schemas.microsoft.com/office/word/2010/wordml" w:rsidP="298AE695" wp14:paraId="1843F281" wp14:textId="51BA517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Edwards, C., Gandini, L. and Forman, G. (eds.) (2012)</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The Hundred Languages of Children: The Reggio Emilia Experience in Transformation</w:t>
      </w:r>
      <w:r w:rsidRPr="298AE695" w:rsidR="19BFB6EB">
        <w:rPr>
          <w:rFonts w:ascii="Calibri" w:hAnsi="Calibri" w:eastAsia="Calibri" w:cs="Calibri"/>
          <w:b w:val="0"/>
          <w:bCs w:val="0"/>
          <w:noProof w:val="0"/>
          <w:color w:val="000000" w:themeColor="text1" w:themeTint="FF" w:themeShade="FF"/>
          <w:sz w:val="22"/>
          <w:szCs w:val="22"/>
          <w:lang w:val="en-US"/>
        </w:rPr>
        <w:t xml:space="preserve">. 3rd </w:t>
      </w:r>
      <w:r w:rsidRPr="298AE695" w:rsidR="19BFB6EB">
        <w:rPr>
          <w:rFonts w:ascii="Calibri" w:hAnsi="Calibri" w:eastAsia="Calibri" w:cs="Calibri"/>
          <w:b w:val="0"/>
          <w:bCs w:val="0"/>
          <w:noProof w:val="0"/>
          <w:color w:val="000000" w:themeColor="text1" w:themeTint="FF" w:themeShade="FF"/>
          <w:sz w:val="22"/>
          <w:szCs w:val="22"/>
          <w:lang w:val="en-US"/>
        </w:rPr>
        <w:t>edn</w:t>
      </w:r>
      <w:r w:rsidRPr="298AE695" w:rsidR="19BFB6EB">
        <w:rPr>
          <w:rFonts w:ascii="Calibri" w:hAnsi="Calibri" w:eastAsia="Calibri" w:cs="Calibri"/>
          <w:b w:val="0"/>
          <w:bCs w:val="0"/>
          <w:noProof w:val="0"/>
          <w:color w:val="000000" w:themeColor="text1" w:themeTint="FF" w:themeShade="FF"/>
          <w:sz w:val="22"/>
          <w:szCs w:val="22"/>
          <w:lang w:val="en-US"/>
        </w:rPr>
        <w:t>. Santa Barbara, CA: Praeger.</w:t>
      </w:r>
    </w:p>
    <w:p xmlns:wp14="http://schemas.microsoft.com/office/word/2010/wordml" w:rsidP="298AE695" wp14:paraId="4FF4E4D1" wp14:textId="459CD22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Flewitt</w:t>
      </w:r>
      <w:r w:rsidRPr="298AE695" w:rsidR="19BFB6EB">
        <w:rPr>
          <w:rFonts w:ascii="Calibri" w:hAnsi="Calibri" w:eastAsia="Calibri" w:cs="Calibri"/>
          <w:b w:val="0"/>
          <w:bCs w:val="0"/>
          <w:noProof w:val="0"/>
          <w:color w:val="000000" w:themeColor="text1" w:themeTint="FF" w:themeShade="FF"/>
          <w:sz w:val="22"/>
          <w:szCs w:val="22"/>
          <w:lang w:val="en-US"/>
        </w:rPr>
        <w:t>, R. and Cowan, P. (2019)</w:t>
      </w:r>
      <w:r w:rsidRPr="298AE695" w:rsidR="19BFB6EB">
        <w:rPr>
          <w:rFonts w:ascii="Calibri" w:hAnsi="Calibri" w:eastAsia="Calibri" w:cs="Calibri"/>
          <w:b w:val="0"/>
          <w:bCs w:val="0"/>
          <w:noProof w:val="0"/>
          <w:color w:val="000000" w:themeColor="text1" w:themeTint="FF" w:themeShade="FF"/>
          <w:sz w:val="22"/>
          <w:szCs w:val="22"/>
          <w:lang w:val="en-US"/>
        </w:rPr>
        <w:t xml:space="preserve"> ‘Digital documentation and early years pedagogy’,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Childhood Education Journal</w:t>
      </w:r>
      <w:r w:rsidRPr="298AE695" w:rsidR="19BFB6EB">
        <w:rPr>
          <w:rFonts w:ascii="Calibri" w:hAnsi="Calibri" w:eastAsia="Calibri" w:cs="Calibri"/>
          <w:b w:val="0"/>
          <w:bCs w:val="0"/>
          <w:noProof w:val="0"/>
          <w:color w:val="000000" w:themeColor="text1" w:themeTint="FF" w:themeShade="FF"/>
          <w:sz w:val="22"/>
          <w:szCs w:val="22"/>
          <w:lang w:val="en-US"/>
        </w:rPr>
        <w:t xml:space="preserve">, 47(4), pp. 369–379. Available at: </w:t>
      </w:r>
      <w:hyperlink r:id="R5899b202efa24b68">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https://doi.org/10.1007/s10643-019-00946-3</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3 June 2025).</w:t>
      </w:r>
    </w:p>
    <w:p xmlns:wp14="http://schemas.microsoft.com/office/word/2010/wordml" w:rsidP="298AE695" wp14:paraId="2C49BD67" wp14:textId="36485E6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Gandini, L. (2012)</w:t>
      </w:r>
      <w:r w:rsidRPr="298AE695" w:rsidR="19BFB6EB">
        <w:rPr>
          <w:rFonts w:ascii="Calibri" w:hAnsi="Calibri" w:eastAsia="Calibri" w:cs="Calibri"/>
          <w:b w:val="0"/>
          <w:bCs w:val="0"/>
          <w:noProof w:val="0"/>
          <w:color w:val="000000" w:themeColor="text1" w:themeTint="FF" w:themeShade="FF"/>
          <w:sz w:val="22"/>
          <w:szCs w:val="22"/>
          <w:lang w:val="en-US"/>
        </w:rPr>
        <w:t xml:space="preserve"> ‘Pedagogical documentation: Building community and meaning’, in Edwards, C., Gandini, L. and Forman, G. (eds.) </w:t>
      </w:r>
      <w:r w:rsidRPr="298AE695" w:rsidR="19BFB6EB">
        <w:rPr>
          <w:rFonts w:ascii="Calibri" w:hAnsi="Calibri" w:eastAsia="Calibri" w:cs="Calibri"/>
          <w:b w:val="0"/>
          <w:bCs w:val="0"/>
          <w:i w:val="1"/>
          <w:iCs w:val="1"/>
          <w:noProof w:val="0"/>
          <w:color w:val="000000" w:themeColor="text1" w:themeTint="FF" w:themeShade="FF"/>
          <w:sz w:val="22"/>
          <w:szCs w:val="22"/>
          <w:lang w:val="en-US"/>
        </w:rPr>
        <w:t>The Hundred Languages of Children: The Reggio Emilia Experience in Transformation</w:t>
      </w:r>
      <w:r w:rsidRPr="298AE695" w:rsidR="19BFB6EB">
        <w:rPr>
          <w:rFonts w:ascii="Calibri" w:hAnsi="Calibri" w:eastAsia="Calibri" w:cs="Calibri"/>
          <w:b w:val="0"/>
          <w:bCs w:val="0"/>
          <w:noProof w:val="0"/>
          <w:color w:val="000000" w:themeColor="text1" w:themeTint="FF" w:themeShade="FF"/>
          <w:sz w:val="22"/>
          <w:szCs w:val="22"/>
          <w:lang w:val="en-US"/>
        </w:rPr>
        <w:t xml:space="preserve">. 3rd </w:t>
      </w:r>
      <w:r w:rsidRPr="298AE695" w:rsidR="19BFB6EB">
        <w:rPr>
          <w:rFonts w:ascii="Calibri" w:hAnsi="Calibri" w:eastAsia="Calibri" w:cs="Calibri"/>
          <w:b w:val="0"/>
          <w:bCs w:val="0"/>
          <w:noProof w:val="0"/>
          <w:color w:val="000000" w:themeColor="text1" w:themeTint="FF" w:themeShade="FF"/>
          <w:sz w:val="22"/>
          <w:szCs w:val="22"/>
          <w:lang w:val="en-US"/>
        </w:rPr>
        <w:t>edn</w:t>
      </w:r>
      <w:r w:rsidRPr="298AE695" w:rsidR="19BFB6EB">
        <w:rPr>
          <w:rFonts w:ascii="Calibri" w:hAnsi="Calibri" w:eastAsia="Calibri" w:cs="Calibri"/>
          <w:b w:val="0"/>
          <w:bCs w:val="0"/>
          <w:noProof w:val="0"/>
          <w:color w:val="000000" w:themeColor="text1" w:themeTint="FF" w:themeShade="FF"/>
          <w:sz w:val="22"/>
          <w:szCs w:val="22"/>
          <w:lang w:val="en-US"/>
        </w:rPr>
        <w:t>. Santa Barbara, CA: Praeger, pp. 321–338.</w:t>
      </w:r>
    </w:p>
    <w:p xmlns:wp14="http://schemas.microsoft.com/office/word/2010/wordml" w:rsidP="298AE695" wp14:paraId="626E30EE" wp14:textId="08C4E4E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Guldberg, K., Le Marechal, K. and Parsons, S. (2019)</w:t>
      </w:r>
      <w:r w:rsidRPr="298AE695" w:rsidR="19BFB6EB">
        <w:rPr>
          <w:rFonts w:ascii="Calibri" w:hAnsi="Calibri" w:eastAsia="Calibri" w:cs="Calibri"/>
          <w:b w:val="0"/>
          <w:bCs w:val="0"/>
          <w:noProof w:val="0"/>
          <w:color w:val="000000" w:themeColor="text1" w:themeTint="FF" w:themeShade="FF"/>
          <w:sz w:val="22"/>
          <w:szCs w:val="22"/>
          <w:lang w:val="en-US"/>
        </w:rPr>
        <w:t xml:space="preserve"> ‘Blending approaches for inclusive early years provision’, </w:t>
      </w:r>
      <w:r w:rsidRPr="298AE695" w:rsidR="19BFB6EB">
        <w:rPr>
          <w:rFonts w:ascii="Calibri" w:hAnsi="Calibri" w:eastAsia="Calibri" w:cs="Calibri"/>
          <w:b w:val="0"/>
          <w:bCs w:val="0"/>
          <w:i w:val="1"/>
          <w:iCs w:val="1"/>
          <w:noProof w:val="0"/>
          <w:color w:val="000000" w:themeColor="text1" w:themeTint="FF" w:themeShade="FF"/>
          <w:sz w:val="22"/>
          <w:szCs w:val="22"/>
          <w:lang w:val="en-US"/>
        </w:rPr>
        <w:t>European Journal of Special Needs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34(1), pp. 24–39. Available at: </w:t>
      </w:r>
      <w:hyperlink r:id="R4a66cfd561f0444c">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https://doi.org/10.1080/08856257.2018.1470402</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11 June 2025).</w:t>
      </w:r>
    </w:p>
    <w:p xmlns:wp14="http://schemas.microsoft.com/office/word/2010/wordml" w:rsidP="298AE695" wp14:paraId="6CF7E5A0" wp14:textId="389A50C0">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Haslip, M. and Gullo, D. F. (2017)</w:t>
      </w:r>
      <w:r w:rsidRPr="298AE695" w:rsidR="19BFB6EB">
        <w:rPr>
          <w:rFonts w:ascii="Calibri" w:hAnsi="Calibri" w:eastAsia="Calibri" w:cs="Calibri"/>
          <w:b w:val="0"/>
          <w:bCs w:val="0"/>
          <w:noProof w:val="0"/>
          <w:color w:val="000000" w:themeColor="text1" w:themeTint="FF" w:themeShade="FF"/>
          <w:sz w:val="22"/>
          <w:szCs w:val="22"/>
          <w:lang w:val="en-US"/>
        </w:rPr>
        <w:t xml:space="preserve"> ‘Assessment practices in early childhood education: Insights from Reggio Emilia’,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Childhood Education Journal</w:t>
      </w:r>
      <w:r w:rsidRPr="298AE695" w:rsidR="19BFB6EB">
        <w:rPr>
          <w:rFonts w:ascii="Calibri" w:hAnsi="Calibri" w:eastAsia="Calibri" w:cs="Calibri"/>
          <w:b w:val="0"/>
          <w:bCs w:val="0"/>
          <w:noProof w:val="0"/>
          <w:color w:val="000000" w:themeColor="text1" w:themeTint="FF" w:themeShade="FF"/>
          <w:sz w:val="22"/>
          <w:szCs w:val="22"/>
          <w:lang w:val="en-US"/>
        </w:rPr>
        <w:t xml:space="preserve">, 45(5), pp. 579–586. Available at: </w:t>
      </w:r>
      <w:hyperlink r:id="R1f8fd17feef44b04">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https://doi.org/10.1007/s10643-016-0814-4</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4 June 2025).</w:t>
      </w:r>
    </w:p>
    <w:p xmlns:wp14="http://schemas.microsoft.com/office/word/2010/wordml" w:rsidP="298AE695" wp14:paraId="79A75538" wp14:textId="27D99B9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House, J. (2018)</w:t>
      </w:r>
      <w:r w:rsidRPr="298AE695" w:rsidR="19BFB6EB">
        <w:rPr>
          <w:rFonts w:ascii="Calibri" w:hAnsi="Calibri" w:eastAsia="Calibri" w:cs="Calibri"/>
          <w:b w:val="0"/>
          <w:bCs w:val="0"/>
          <w:noProof w:val="0"/>
          <w:color w:val="000000" w:themeColor="text1" w:themeTint="FF" w:themeShade="FF"/>
          <w:sz w:val="22"/>
          <w:szCs w:val="22"/>
          <w:lang w:val="en-US"/>
        </w:rPr>
        <w:t xml:space="preserve"> ‘Inclusive early years education: Policy and practice’, </w:t>
      </w:r>
      <w:r w:rsidRPr="298AE695" w:rsidR="19BFB6EB">
        <w:rPr>
          <w:rFonts w:ascii="Calibri" w:hAnsi="Calibri" w:eastAsia="Calibri" w:cs="Calibri"/>
          <w:b w:val="0"/>
          <w:bCs w:val="0"/>
          <w:i w:val="1"/>
          <w:iCs w:val="1"/>
          <w:noProof w:val="0"/>
          <w:color w:val="000000" w:themeColor="text1" w:themeTint="FF" w:themeShade="FF"/>
          <w:sz w:val="22"/>
          <w:szCs w:val="22"/>
          <w:lang w:val="en-US"/>
        </w:rPr>
        <w:t>International Journal of Inclusive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22(7), pp. 753–765. Available at: </w:t>
      </w:r>
      <w:hyperlink r:id="Rb1fe2eb00cf04700">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https://doi.org/10.1080/13603116.2017.1409403</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10 June 2025).</w:t>
      </w:r>
    </w:p>
    <w:p xmlns:wp14="http://schemas.microsoft.com/office/word/2010/wordml" w:rsidP="298AE695" wp14:paraId="42BD4BA6" wp14:textId="0771D687">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Kingston, D. and Siraj, I. (2016)</w:t>
      </w:r>
      <w:r w:rsidRPr="298AE695" w:rsidR="19BFB6EB">
        <w:rPr>
          <w:rFonts w:ascii="Calibri" w:hAnsi="Calibri" w:eastAsia="Calibri" w:cs="Calibri"/>
          <w:b w:val="0"/>
          <w:bCs w:val="0"/>
          <w:noProof w:val="0"/>
          <w:color w:val="000000" w:themeColor="text1" w:themeTint="FF" w:themeShade="FF"/>
          <w:sz w:val="22"/>
          <w:szCs w:val="22"/>
          <w:lang w:val="en-US"/>
        </w:rPr>
        <w:t xml:space="preserve"> ‘Professional development and teacher workload in early childhood settings’,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Childhood Research Quarterly</w:t>
      </w:r>
      <w:r w:rsidRPr="298AE695" w:rsidR="19BFB6EB">
        <w:rPr>
          <w:rFonts w:ascii="Calibri" w:hAnsi="Calibri" w:eastAsia="Calibri" w:cs="Calibri"/>
          <w:b w:val="0"/>
          <w:bCs w:val="0"/>
          <w:noProof w:val="0"/>
          <w:color w:val="000000" w:themeColor="text1" w:themeTint="FF" w:themeShade="FF"/>
          <w:sz w:val="22"/>
          <w:szCs w:val="22"/>
          <w:lang w:val="en-US"/>
        </w:rPr>
        <w:t xml:space="preserve">, 36, pp. 287–297. Available at: </w:t>
      </w:r>
      <w:hyperlink r:id="R58f032fa0bce4d4a">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https://doi.org/10.1016/j.ecresq.2016.01.002</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9 June 2025).</w:t>
      </w:r>
    </w:p>
    <w:p xmlns:wp14="http://schemas.microsoft.com/office/word/2010/wordml" w:rsidP="298AE695" wp14:paraId="456D3B88" wp14:textId="400D29EA">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Kwon, K. (2020)</w:t>
      </w:r>
      <w:r w:rsidRPr="298AE695" w:rsidR="19BFB6EB">
        <w:rPr>
          <w:rFonts w:ascii="Calibri" w:hAnsi="Calibri" w:eastAsia="Calibri" w:cs="Calibri"/>
          <w:b w:val="0"/>
          <w:bCs w:val="0"/>
          <w:noProof w:val="0"/>
          <w:color w:val="000000" w:themeColor="text1" w:themeTint="FF" w:themeShade="FF"/>
          <w:sz w:val="22"/>
          <w:szCs w:val="22"/>
          <w:lang w:val="en-US"/>
        </w:rPr>
        <w:t xml:space="preserve"> ‘Collaboration and reflection for inclusive practice in early childhood’, </w:t>
      </w:r>
      <w:r w:rsidRPr="298AE695" w:rsidR="19BFB6EB">
        <w:rPr>
          <w:rFonts w:ascii="Calibri" w:hAnsi="Calibri" w:eastAsia="Calibri" w:cs="Calibri"/>
          <w:b w:val="0"/>
          <w:bCs w:val="0"/>
          <w:i w:val="1"/>
          <w:iCs w:val="1"/>
          <w:noProof w:val="0"/>
          <w:color w:val="000000" w:themeColor="text1" w:themeTint="FF" w:themeShade="FF"/>
          <w:sz w:val="22"/>
          <w:szCs w:val="22"/>
          <w:lang w:val="en-US"/>
        </w:rPr>
        <w:t>Journal of Early Childhood Teacher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41(2), pp. 161–174. Available at: </w:t>
      </w:r>
      <w:hyperlink r:id="R0daa95cdebb54009">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https://doi.org/10.1080/10901027.2020.1735978</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11 June 2025).</w:t>
      </w:r>
    </w:p>
    <w:p xmlns:wp14="http://schemas.microsoft.com/office/word/2010/wordml" w:rsidP="298AE695" wp14:paraId="6A7C1E65" wp14:textId="15CF6E66">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Ladson-Billings, G. (2014)</w:t>
      </w:r>
      <w:r w:rsidRPr="298AE695" w:rsidR="19BFB6EB">
        <w:rPr>
          <w:rFonts w:ascii="Calibri" w:hAnsi="Calibri" w:eastAsia="Calibri" w:cs="Calibri"/>
          <w:b w:val="0"/>
          <w:bCs w:val="0"/>
          <w:noProof w:val="0"/>
          <w:color w:val="000000" w:themeColor="text1" w:themeTint="FF" w:themeShade="FF"/>
          <w:sz w:val="22"/>
          <w:szCs w:val="22"/>
          <w:lang w:val="en-US"/>
        </w:rPr>
        <w:t xml:space="preserve"> ‘Culturally relevant pedagogy 2.0: Aka the remix’, </w:t>
      </w:r>
      <w:r w:rsidRPr="298AE695" w:rsidR="19BFB6EB">
        <w:rPr>
          <w:rFonts w:ascii="Calibri" w:hAnsi="Calibri" w:eastAsia="Calibri" w:cs="Calibri"/>
          <w:b w:val="0"/>
          <w:bCs w:val="0"/>
          <w:i w:val="1"/>
          <w:iCs w:val="1"/>
          <w:noProof w:val="0"/>
          <w:color w:val="000000" w:themeColor="text1" w:themeTint="FF" w:themeShade="FF"/>
          <w:sz w:val="22"/>
          <w:szCs w:val="22"/>
          <w:lang w:val="en-US"/>
        </w:rPr>
        <w:t>Harvard Educational Review</w:t>
      </w:r>
      <w:r w:rsidRPr="298AE695" w:rsidR="19BFB6EB">
        <w:rPr>
          <w:rFonts w:ascii="Calibri" w:hAnsi="Calibri" w:eastAsia="Calibri" w:cs="Calibri"/>
          <w:b w:val="0"/>
          <w:bCs w:val="0"/>
          <w:noProof w:val="0"/>
          <w:color w:val="000000" w:themeColor="text1" w:themeTint="FF" w:themeShade="FF"/>
          <w:sz w:val="22"/>
          <w:szCs w:val="22"/>
          <w:lang w:val="en-US"/>
        </w:rPr>
        <w:t>, 84(1), pp. 74–84.</w:t>
      </w:r>
    </w:p>
    <w:p xmlns:wp14="http://schemas.microsoft.com/office/word/2010/wordml" w:rsidP="298AE695" wp14:paraId="6D488C3F" wp14:textId="3A1FE049">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Malaguzzi, L. (1996)</w:t>
      </w:r>
      <w:r w:rsidRPr="298AE695" w:rsidR="19BFB6EB">
        <w:rPr>
          <w:rFonts w:ascii="Calibri" w:hAnsi="Calibri" w:eastAsia="Calibri" w:cs="Calibri"/>
          <w:b w:val="0"/>
          <w:bCs w:val="0"/>
          <w:noProof w:val="0"/>
          <w:color w:val="000000" w:themeColor="text1" w:themeTint="FF" w:themeShade="FF"/>
          <w:sz w:val="22"/>
          <w:szCs w:val="22"/>
          <w:lang w:val="en-US"/>
        </w:rPr>
        <w:t xml:space="preserve"> ‘The hundred languages of children: The Reggio Emilia approach — advanced reflections’,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Childhood Research &amp; Practice</w:t>
      </w:r>
      <w:r w:rsidRPr="298AE695" w:rsidR="19BFB6EB">
        <w:rPr>
          <w:rFonts w:ascii="Calibri" w:hAnsi="Calibri" w:eastAsia="Calibri" w:cs="Calibri"/>
          <w:b w:val="0"/>
          <w:bCs w:val="0"/>
          <w:noProof w:val="0"/>
          <w:color w:val="000000" w:themeColor="text1" w:themeTint="FF" w:themeShade="FF"/>
          <w:sz w:val="22"/>
          <w:szCs w:val="22"/>
          <w:lang w:val="en-US"/>
        </w:rPr>
        <w:t>, 1(1), pp. 1–3.</w:t>
      </w:r>
    </w:p>
    <w:p xmlns:wp14="http://schemas.microsoft.com/office/word/2010/wordml" w:rsidP="298AE695" wp14:paraId="4CFA05D9" wp14:textId="48F7645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McDowall Clark, R. (2022)</w:t>
      </w:r>
      <w:r w:rsidRPr="298AE695" w:rsidR="19BFB6EB">
        <w:rPr>
          <w:rFonts w:ascii="Calibri" w:hAnsi="Calibri" w:eastAsia="Calibri" w:cs="Calibri"/>
          <w:b w:val="0"/>
          <w:bCs w:val="0"/>
          <w:noProof w:val="0"/>
          <w:color w:val="000000" w:themeColor="text1" w:themeTint="FF" w:themeShade="FF"/>
          <w:sz w:val="22"/>
          <w:szCs w:val="22"/>
          <w:lang w:val="en-US"/>
        </w:rPr>
        <w:t xml:space="preserve"> ‘Digital platforms in early years assessment: Benefits and challenges’, </w:t>
      </w:r>
      <w:r w:rsidRPr="298AE695" w:rsidR="19BFB6EB">
        <w:rPr>
          <w:rFonts w:ascii="Calibri" w:hAnsi="Calibri" w:eastAsia="Calibri" w:cs="Calibri"/>
          <w:b w:val="0"/>
          <w:bCs w:val="0"/>
          <w:i w:val="1"/>
          <w:iCs w:val="1"/>
          <w:noProof w:val="0"/>
          <w:color w:val="000000" w:themeColor="text1" w:themeTint="FF" w:themeShade="FF"/>
          <w:sz w:val="22"/>
          <w:szCs w:val="22"/>
          <w:lang w:val="en-US"/>
        </w:rPr>
        <w:t>Journal of Early Childhood Research</w:t>
      </w:r>
      <w:r w:rsidRPr="298AE695" w:rsidR="19BFB6EB">
        <w:rPr>
          <w:rFonts w:ascii="Calibri" w:hAnsi="Calibri" w:eastAsia="Calibri" w:cs="Calibri"/>
          <w:b w:val="0"/>
          <w:bCs w:val="0"/>
          <w:noProof w:val="0"/>
          <w:color w:val="000000" w:themeColor="text1" w:themeTint="FF" w:themeShade="FF"/>
          <w:sz w:val="22"/>
          <w:szCs w:val="22"/>
          <w:lang w:val="en-US"/>
        </w:rPr>
        <w:t xml:space="preserve">, 20(3), pp. 205–218. Available at: </w:t>
      </w:r>
      <w:hyperlink r:id="R0ca7bc8ea68244cb">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https://doi.org/10.1177/1476718X211050123</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3 June 2025).</w:t>
      </w:r>
    </w:p>
    <w:p xmlns:wp14="http://schemas.microsoft.com/office/word/2010/wordml" w:rsidP="298AE695" wp14:paraId="4442AD7E" wp14:textId="2F6AE69C">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McLachlan, C., Fleer, M. and Edwards, S. (2018)</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 xml:space="preserve">Early Childhood Curriculum: Planning, </w:t>
      </w:r>
      <w:r w:rsidRPr="298AE695" w:rsidR="19BFB6EB">
        <w:rPr>
          <w:rFonts w:ascii="Calibri" w:hAnsi="Calibri" w:eastAsia="Calibri" w:cs="Calibri"/>
          <w:b w:val="0"/>
          <w:bCs w:val="0"/>
          <w:i w:val="1"/>
          <w:iCs w:val="1"/>
          <w:noProof w:val="0"/>
          <w:color w:val="000000" w:themeColor="text1" w:themeTint="FF" w:themeShade="FF"/>
          <w:sz w:val="22"/>
          <w:szCs w:val="22"/>
          <w:lang w:val="en-US"/>
        </w:rPr>
        <w:t>Assessment</w:t>
      </w:r>
      <w:r w:rsidRPr="298AE695" w:rsidR="19BFB6EB">
        <w:rPr>
          <w:rFonts w:ascii="Calibri" w:hAnsi="Calibri" w:eastAsia="Calibri" w:cs="Calibri"/>
          <w:b w:val="0"/>
          <w:bCs w:val="0"/>
          <w:i w:val="1"/>
          <w:iCs w:val="1"/>
          <w:noProof w:val="0"/>
          <w:color w:val="000000" w:themeColor="text1" w:themeTint="FF" w:themeShade="FF"/>
          <w:sz w:val="22"/>
          <w:szCs w:val="22"/>
          <w:lang w:val="en-US"/>
        </w:rPr>
        <w:t xml:space="preserve"> and Implementation</w:t>
      </w:r>
      <w:r w:rsidRPr="298AE695" w:rsidR="19BFB6EB">
        <w:rPr>
          <w:rFonts w:ascii="Calibri" w:hAnsi="Calibri" w:eastAsia="Calibri" w:cs="Calibri"/>
          <w:b w:val="0"/>
          <w:bCs w:val="0"/>
          <w:noProof w:val="0"/>
          <w:color w:val="000000" w:themeColor="text1" w:themeTint="FF" w:themeShade="FF"/>
          <w:sz w:val="22"/>
          <w:szCs w:val="22"/>
          <w:lang w:val="en-US"/>
        </w:rPr>
        <w:t xml:space="preserve">. 2nd </w:t>
      </w:r>
      <w:r w:rsidRPr="298AE695" w:rsidR="19BFB6EB">
        <w:rPr>
          <w:rFonts w:ascii="Calibri" w:hAnsi="Calibri" w:eastAsia="Calibri" w:cs="Calibri"/>
          <w:b w:val="0"/>
          <w:bCs w:val="0"/>
          <w:noProof w:val="0"/>
          <w:color w:val="000000" w:themeColor="text1" w:themeTint="FF" w:themeShade="FF"/>
          <w:sz w:val="22"/>
          <w:szCs w:val="22"/>
          <w:lang w:val="en-US"/>
        </w:rPr>
        <w:t>edn</w:t>
      </w:r>
      <w:r w:rsidRPr="298AE695" w:rsidR="19BFB6EB">
        <w:rPr>
          <w:rFonts w:ascii="Calibri" w:hAnsi="Calibri" w:eastAsia="Calibri" w:cs="Calibri"/>
          <w:b w:val="0"/>
          <w:bCs w:val="0"/>
          <w:noProof w:val="0"/>
          <w:color w:val="000000" w:themeColor="text1" w:themeTint="FF" w:themeShade="FF"/>
          <w:sz w:val="22"/>
          <w:szCs w:val="22"/>
          <w:lang w:val="en-US"/>
        </w:rPr>
        <w:t>. Cambridge: Cambridge University Press.</w:t>
      </w:r>
    </w:p>
    <w:p xmlns:wp14="http://schemas.microsoft.com/office/word/2010/wordml" w:rsidP="298AE695" wp14:paraId="1CB5BFDD" wp14:textId="713A709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O’Sullivan, D. (2019)</w:t>
      </w:r>
      <w:r w:rsidRPr="298AE695" w:rsidR="19BFB6EB">
        <w:rPr>
          <w:rFonts w:ascii="Calibri" w:hAnsi="Calibri" w:eastAsia="Calibri" w:cs="Calibri"/>
          <w:b w:val="0"/>
          <w:bCs w:val="0"/>
          <w:noProof w:val="0"/>
          <w:color w:val="000000" w:themeColor="text1" w:themeTint="FF" w:themeShade="FF"/>
          <w:sz w:val="22"/>
          <w:szCs w:val="22"/>
          <w:lang w:val="en-US"/>
        </w:rPr>
        <w:t xml:space="preserve"> ‘Cultural bias in early years assessment: A critical review’, </w:t>
      </w:r>
      <w:r w:rsidRPr="298AE695" w:rsidR="19BFB6EB">
        <w:rPr>
          <w:rFonts w:ascii="Calibri" w:hAnsi="Calibri" w:eastAsia="Calibri" w:cs="Calibri"/>
          <w:b w:val="0"/>
          <w:bCs w:val="0"/>
          <w:i w:val="1"/>
          <w:iCs w:val="1"/>
          <w:noProof w:val="0"/>
          <w:color w:val="000000" w:themeColor="text1" w:themeTint="FF" w:themeShade="FF"/>
          <w:sz w:val="22"/>
          <w:szCs w:val="22"/>
          <w:lang w:val="en-US"/>
        </w:rPr>
        <w:t>International Journal of Early Years Education</w:t>
      </w:r>
      <w:r w:rsidRPr="298AE695" w:rsidR="19BFB6EB">
        <w:rPr>
          <w:rFonts w:ascii="Calibri" w:hAnsi="Calibri" w:eastAsia="Calibri" w:cs="Calibri"/>
          <w:b w:val="0"/>
          <w:bCs w:val="0"/>
          <w:noProof w:val="0"/>
          <w:color w:val="000000" w:themeColor="text1" w:themeTint="FF" w:themeShade="FF"/>
          <w:sz w:val="22"/>
          <w:szCs w:val="22"/>
          <w:lang w:val="en-US"/>
        </w:rPr>
        <w:t xml:space="preserve">, 27(1), pp. 25–39. Available at: </w:t>
      </w:r>
      <w:hyperlink r:id="Rcd9184a09d3c442c">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https://doi.org/10.1080/09669760.2018.1521358</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9 June 2025).</w:t>
      </w:r>
    </w:p>
    <w:p xmlns:wp14="http://schemas.microsoft.com/office/word/2010/wordml" w:rsidP="298AE695" wp14:paraId="0F3D3D0E" wp14:textId="74595088">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Reed, J. and Canning, R. (2012)</w:t>
      </w:r>
      <w:r w:rsidRPr="298AE695" w:rsidR="19BFB6EB">
        <w:rPr>
          <w:rFonts w:ascii="Calibri" w:hAnsi="Calibri" w:eastAsia="Calibri" w:cs="Calibri"/>
          <w:b w:val="0"/>
          <w:bCs w:val="0"/>
          <w:noProof w:val="0"/>
          <w:color w:val="000000" w:themeColor="text1" w:themeTint="FF" w:themeShade="FF"/>
          <w:sz w:val="22"/>
          <w:szCs w:val="22"/>
          <w:lang w:val="en-US"/>
        </w:rPr>
        <w:t xml:space="preserve"> ‘Parent-school communication in early years settings’, </w:t>
      </w:r>
      <w:r w:rsidRPr="298AE695" w:rsidR="19BFB6EB">
        <w:rPr>
          <w:rFonts w:ascii="Calibri" w:hAnsi="Calibri" w:eastAsia="Calibri" w:cs="Calibri"/>
          <w:b w:val="0"/>
          <w:bCs w:val="0"/>
          <w:i w:val="1"/>
          <w:iCs w:val="1"/>
          <w:noProof w:val="0"/>
          <w:color w:val="000000" w:themeColor="text1" w:themeTint="FF" w:themeShade="FF"/>
          <w:sz w:val="22"/>
          <w:szCs w:val="22"/>
          <w:lang w:val="en-US"/>
        </w:rPr>
        <w:t>Early Years</w:t>
      </w:r>
      <w:r w:rsidRPr="298AE695" w:rsidR="19BFB6EB">
        <w:rPr>
          <w:rFonts w:ascii="Calibri" w:hAnsi="Calibri" w:eastAsia="Calibri" w:cs="Calibri"/>
          <w:b w:val="0"/>
          <w:bCs w:val="0"/>
          <w:noProof w:val="0"/>
          <w:color w:val="000000" w:themeColor="text1" w:themeTint="FF" w:themeShade="FF"/>
          <w:sz w:val="22"/>
          <w:szCs w:val="22"/>
          <w:lang w:val="en-US"/>
        </w:rPr>
        <w:t xml:space="preserve">, 32(2), pp. 183–195. Available at: </w:t>
      </w:r>
      <w:hyperlink r:id="Rb613a4a212eb4ec5">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https://doi.org/10.1080/09575146.2012.677678</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27 May 2025).</w:t>
      </w:r>
    </w:p>
    <w:p xmlns:wp14="http://schemas.microsoft.com/office/word/2010/wordml" w:rsidP="298AE695" wp14:paraId="51E28AD2" wp14:textId="003917E1">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Rinaldi, C. (2006)</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In Dialogue with Reggio Emilia: Listening, Researching and Learning</w:t>
      </w:r>
      <w:r w:rsidRPr="298AE695" w:rsidR="19BFB6EB">
        <w:rPr>
          <w:rFonts w:ascii="Calibri" w:hAnsi="Calibri" w:eastAsia="Calibri" w:cs="Calibri"/>
          <w:b w:val="0"/>
          <w:bCs w:val="0"/>
          <w:noProof w:val="0"/>
          <w:color w:val="000000" w:themeColor="text1" w:themeTint="FF" w:themeShade="FF"/>
          <w:sz w:val="22"/>
          <w:szCs w:val="22"/>
          <w:lang w:val="en-US"/>
        </w:rPr>
        <w:t>. London: Routledge.</w:t>
      </w:r>
    </w:p>
    <w:p xmlns:wp14="http://schemas.microsoft.com/office/word/2010/wordml" w:rsidP="298AE695" wp14:paraId="1E576003" wp14:textId="5AB46CA5">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Roberts-Holmes, G. and Bradbury, A. (2016)</w:t>
      </w:r>
      <w:r w:rsidRPr="298AE695" w:rsidR="19BFB6EB">
        <w:rPr>
          <w:rFonts w:ascii="Calibri" w:hAnsi="Calibri" w:eastAsia="Calibri" w:cs="Calibri"/>
          <w:b w:val="0"/>
          <w:bCs w:val="0"/>
          <w:noProof w:val="0"/>
          <w:color w:val="000000" w:themeColor="text1" w:themeTint="FF" w:themeShade="FF"/>
          <w:sz w:val="22"/>
          <w:szCs w:val="22"/>
          <w:lang w:val="en-US"/>
        </w:rPr>
        <w:t xml:space="preserve"> ‘Assessing young children in England: A critical perspective’, </w:t>
      </w:r>
      <w:r w:rsidRPr="298AE695" w:rsidR="19BFB6EB">
        <w:rPr>
          <w:rFonts w:ascii="Calibri" w:hAnsi="Calibri" w:eastAsia="Calibri" w:cs="Calibri"/>
          <w:b w:val="0"/>
          <w:bCs w:val="0"/>
          <w:i w:val="1"/>
          <w:iCs w:val="1"/>
          <w:noProof w:val="0"/>
          <w:color w:val="000000" w:themeColor="text1" w:themeTint="FF" w:themeShade="FF"/>
          <w:sz w:val="22"/>
          <w:szCs w:val="22"/>
          <w:lang w:val="en-US"/>
        </w:rPr>
        <w:t>European Early Childhood Education Research Journal</w:t>
      </w:r>
      <w:r w:rsidRPr="298AE695" w:rsidR="19BFB6EB">
        <w:rPr>
          <w:rFonts w:ascii="Calibri" w:hAnsi="Calibri" w:eastAsia="Calibri" w:cs="Calibri"/>
          <w:b w:val="0"/>
          <w:bCs w:val="0"/>
          <w:noProof w:val="0"/>
          <w:color w:val="000000" w:themeColor="text1" w:themeTint="FF" w:themeShade="FF"/>
          <w:sz w:val="22"/>
          <w:szCs w:val="22"/>
          <w:lang w:val="en-US"/>
        </w:rPr>
        <w:t xml:space="preserve">, 24(2), pp. 196–208. Available at: </w:t>
      </w:r>
      <w:hyperlink r:id="R9529b01c93334c03">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https://doi.org/10.1080/1350293X.2014.981122</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4 June 2025).</w:t>
      </w:r>
    </w:p>
    <w:p xmlns:wp14="http://schemas.microsoft.com/office/word/2010/wordml" w:rsidP="298AE695" wp14:paraId="455819A8" wp14:textId="06D6E304">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Trodd</w:t>
      </w:r>
      <w:r w:rsidRPr="298AE695" w:rsidR="19BFB6EB">
        <w:rPr>
          <w:rFonts w:ascii="Calibri" w:hAnsi="Calibri" w:eastAsia="Calibri" w:cs="Calibri"/>
          <w:b w:val="0"/>
          <w:bCs w:val="0"/>
          <w:noProof w:val="0"/>
          <w:color w:val="000000" w:themeColor="text1" w:themeTint="FF" w:themeShade="FF"/>
          <w:sz w:val="22"/>
          <w:szCs w:val="22"/>
          <w:lang w:val="en-US"/>
        </w:rPr>
        <w:t>, L. (2013)</w:t>
      </w:r>
      <w:r w:rsidRPr="298AE695" w:rsidR="19BFB6EB">
        <w:rPr>
          <w:rFonts w:ascii="Calibri" w:hAnsi="Calibri" w:eastAsia="Calibri" w:cs="Calibri"/>
          <w:b w:val="0"/>
          <w:bCs w:val="0"/>
          <w:noProof w:val="0"/>
          <w:color w:val="000000" w:themeColor="text1" w:themeTint="FF" w:themeShade="FF"/>
          <w:sz w:val="22"/>
          <w:szCs w:val="22"/>
          <w:lang w:val="en-US"/>
        </w:rPr>
        <w:t xml:space="preserve"> ‘Bilingualism and early years assessment challenges’, </w:t>
      </w:r>
      <w:r w:rsidRPr="298AE695" w:rsidR="19BFB6EB">
        <w:rPr>
          <w:rFonts w:ascii="Calibri" w:hAnsi="Calibri" w:eastAsia="Calibri" w:cs="Calibri"/>
          <w:b w:val="0"/>
          <w:bCs w:val="0"/>
          <w:i w:val="1"/>
          <w:iCs w:val="1"/>
          <w:noProof w:val="0"/>
          <w:color w:val="000000" w:themeColor="text1" w:themeTint="FF" w:themeShade="FF"/>
          <w:sz w:val="22"/>
          <w:szCs w:val="22"/>
          <w:lang w:val="en-US"/>
        </w:rPr>
        <w:t>Journal of Early Childhood Literacy</w:t>
      </w:r>
      <w:r w:rsidRPr="298AE695" w:rsidR="19BFB6EB">
        <w:rPr>
          <w:rFonts w:ascii="Calibri" w:hAnsi="Calibri" w:eastAsia="Calibri" w:cs="Calibri"/>
          <w:b w:val="0"/>
          <w:bCs w:val="0"/>
          <w:noProof w:val="0"/>
          <w:color w:val="000000" w:themeColor="text1" w:themeTint="FF" w:themeShade="FF"/>
          <w:sz w:val="22"/>
          <w:szCs w:val="22"/>
          <w:lang w:val="en-US"/>
        </w:rPr>
        <w:t xml:space="preserve">, 13(4), pp. 437–450. Available at: </w:t>
      </w:r>
      <w:hyperlink r:id="R65501649f248482f">
        <w:r w:rsidRPr="298AE695" w:rsidR="19BFB6EB">
          <w:rPr>
            <w:rStyle w:val="Hyperlink"/>
            <w:rFonts w:ascii="Calibri" w:hAnsi="Calibri" w:eastAsia="Calibri" w:cs="Calibri"/>
            <w:b w:val="0"/>
            <w:bCs w:val="0"/>
            <w:noProof w:val="0"/>
            <w:color w:val="000000" w:themeColor="text1" w:themeTint="FF" w:themeShade="FF"/>
            <w:sz w:val="22"/>
            <w:szCs w:val="22"/>
            <w:lang w:val="en-US"/>
          </w:rPr>
          <w:t>https://doi.org/10.1177/1468798412462947</w:t>
        </w:r>
      </w:hyperlink>
      <w:r w:rsidRPr="298AE695" w:rsidR="19BFB6EB">
        <w:rPr>
          <w:rFonts w:ascii="Calibri" w:hAnsi="Calibri" w:eastAsia="Calibri" w:cs="Calibri"/>
          <w:b w:val="0"/>
          <w:bCs w:val="0"/>
          <w:noProof w:val="0"/>
          <w:color w:val="000000" w:themeColor="text1" w:themeTint="FF" w:themeShade="FF"/>
          <w:sz w:val="22"/>
          <w:szCs w:val="22"/>
          <w:lang w:val="en-US"/>
        </w:rPr>
        <w:t xml:space="preserve"> (Accessed: 9 June 2025).</w:t>
      </w:r>
    </w:p>
    <w:p xmlns:wp14="http://schemas.microsoft.com/office/word/2010/wordml" w:rsidP="298AE695" wp14:paraId="0A2ED84A" wp14:textId="1DD077EE">
      <w:pPr>
        <w:spacing w:before="240" w:beforeAutospacing="off" w:after="240" w:afterAutospacing="off"/>
        <w:rPr>
          <w:rFonts w:ascii="Calibri" w:hAnsi="Calibri" w:eastAsia="Calibri" w:cs="Calibri"/>
          <w:b w:val="0"/>
          <w:bCs w:val="0"/>
          <w:noProof w:val="0"/>
          <w:color w:val="000000" w:themeColor="text1" w:themeTint="FF" w:themeShade="FF"/>
          <w:sz w:val="22"/>
          <w:szCs w:val="22"/>
          <w:lang w:val="en-US"/>
        </w:rPr>
      </w:pPr>
      <w:r w:rsidRPr="298AE695" w:rsidR="19BFB6EB">
        <w:rPr>
          <w:rFonts w:ascii="Calibri" w:hAnsi="Calibri" w:eastAsia="Calibri" w:cs="Calibri"/>
          <w:b w:val="0"/>
          <w:bCs w:val="0"/>
          <w:noProof w:val="0"/>
          <w:color w:val="000000" w:themeColor="text1" w:themeTint="FF" w:themeShade="FF"/>
          <w:sz w:val="22"/>
          <w:szCs w:val="22"/>
          <w:lang w:val="en-US"/>
        </w:rPr>
        <w:t>Vecchi, V. (2010)</w:t>
      </w:r>
      <w:r w:rsidRPr="298AE695" w:rsidR="19BFB6EB">
        <w:rPr>
          <w:rFonts w:ascii="Calibri" w:hAnsi="Calibri" w:eastAsia="Calibri" w:cs="Calibri"/>
          <w:b w:val="0"/>
          <w:bCs w:val="0"/>
          <w:noProof w:val="0"/>
          <w:color w:val="000000" w:themeColor="text1" w:themeTint="FF" w:themeShade="FF"/>
          <w:sz w:val="22"/>
          <w:szCs w:val="22"/>
          <w:lang w:val="en-US"/>
        </w:rPr>
        <w:t xml:space="preserve"> </w:t>
      </w:r>
      <w:r w:rsidRPr="298AE695" w:rsidR="19BFB6EB">
        <w:rPr>
          <w:rFonts w:ascii="Calibri" w:hAnsi="Calibri" w:eastAsia="Calibri" w:cs="Calibri"/>
          <w:b w:val="0"/>
          <w:bCs w:val="0"/>
          <w:i w:val="1"/>
          <w:iCs w:val="1"/>
          <w:noProof w:val="0"/>
          <w:color w:val="000000" w:themeColor="text1" w:themeTint="FF" w:themeShade="FF"/>
          <w:sz w:val="22"/>
          <w:szCs w:val="22"/>
          <w:lang w:val="en-US"/>
        </w:rPr>
        <w:t>Art and Creativity in Reggio Emilia: Exploring the Role and Potential of Ateliers in Early Childhood Education</w:t>
      </w:r>
      <w:r w:rsidRPr="298AE695" w:rsidR="19BFB6EB">
        <w:rPr>
          <w:rFonts w:ascii="Calibri" w:hAnsi="Calibri" w:eastAsia="Calibri" w:cs="Calibri"/>
          <w:b w:val="0"/>
          <w:bCs w:val="0"/>
          <w:noProof w:val="0"/>
          <w:color w:val="000000" w:themeColor="text1" w:themeTint="FF" w:themeShade="FF"/>
          <w:sz w:val="22"/>
          <w:szCs w:val="22"/>
          <w:lang w:val="en-US"/>
        </w:rPr>
        <w:t>. London: Routledge.</w:t>
      </w:r>
    </w:p>
    <w:p xmlns:wp14="http://schemas.microsoft.com/office/word/2010/wordml" w:rsidP="298AE695" wp14:paraId="0743C5FD" wp14:textId="652F891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p14:paraId="2C078E63" wp14:textId="4AC1E8A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LNw5K/RtBTj6A" int2:id="fHw7HIti">
      <int2:state int2:type="spell" int2:value="Rejected"/>
    </int2:textHash>
    <int2:textHash int2:hashCode="OiruTVC2kgzi5a" int2:id="9aXLvX5p">
      <int2:state int2:type="spell" int2:value="Rejected"/>
    </int2:textHash>
    <int2:textHash int2:hashCode="n+xe7OsEtX90x4" int2:id="6sNcMSWd">
      <int2:state int2:type="spell" int2:value="Rejected"/>
    </int2:textHash>
    <int2:textHash int2:hashCode="nRSox3TdiEm2GZ" int2:id="gPM9VYwF">
      <int2:state int2:type="spell" int2:value="Rejected"/>
    </int2:textHash>
    <int2:textHash int2:hashCode="de6OmMavCSziU2" int2:id="GNgfkTAN">
      <int2:state int2:type="spell" int2:value="Rejected"/>
    </int2:textHash>
    <int2:textHash int2:hashCode="DfFG05gpKgeKun" int2:id="uQw7jH6K">
      <int2:state int2:type="spell" int2:value="Rejected"/>
    </int2:textHash>
    <int2:textHash int2:hashCode="31YMmaecpD39sM" int2:id="rDAY4mAJ">
      <int2:state int2:type="spell" int2:value="Rejected"/>
    </int2:textHash>
    <int2:textHash int2:hashCode="DwlW535AgWzTLQ" int2:id="DvfWIBH4">
      <int2:state int2:type="spell" int2:value="Rejected"/>
    </int2:textHash>
    <int2:textHash int2:hashCode="RDUCp3W7CLodCw" int2:id="pEnXXqkI">
      <int2:state int2:type="spell" int2:value="Rejected"/>
    </int2:textHash>
    <int2:textHash int2:hashCode="7tMZBx81yrzh+y" int2:id="VWDWxH6F">
      <int2:state int2:type="spell" int2:value="Rejected"/>
    </int2:textHash>
    <int2:textHash int2:hashCode="xNkffI5q1Q70tx" int2:id="vfrfFKZ3">
      <int2:state int2:type="spell" int2:value="Rejected"/>
    </int2:textHash>
    <int2:textHash int2:hashCode="aG+z44WpgrTp0l" int2:id="9U1IlN9S">
      <int2:state int2:type="spell" int2:value="Rejected"/>
    </int2:textHash>
    <int2:textHash int2:hashCode="Dji+abMBs/wxDx" int2:id="wrwv3M6Q">
      <int2:state int2:type="spell" int2:value="Rejected"/>
    </int2:textHash>
    <int2:textHash int2:hashCode="pDJXhGUUzWSYMm" int2:id="hd4iZ3hR">
      <int2:state int2:type="spell" int2:value="Rejected"/>
    </int2:textHash>
    <int2:textHash int2:hashCode="Pwxxtk1Oaaejcq" int2:id="SPSgthYA">
      <int2:state int2:type="spell" int2:value="Rejected"/>
    </int2:textHash>
    <int2:textHash int2:hashCode="8LTZ8KejK/eOkE" int2:id="Bf4TxpjY">
      <int2:state int2:type="spell" int2:value="Rejected"/>
    </int2:textHash>
    <int2:textHash int2:hashCode="4YwQKCB5A0uru/" int2:id="KdwTW6Vp">
      <int2:state int2:type="AugLoop_Text_Critique" int2:value="Rejected"/>
    </int2:textHash>
    <int2:textHash int2:hashCode="IknMeE5XC/atct" int2:id="mXEkVkWx">
      <int2:state int2:type="AugLoop_Text_Critique" int2:value="Rejected"/>
    </int2:textHash>
    <int2:textHash int2:hashCode="GU7at+vkXTwUFa" int2:id="fxHoYKJS">
      <int2:state int2:type="AugLoop_Text_Critique" int2:value="Rejected"/>
    </int2:textHash>
    <int2:textHash int2:hashCode="xcgb3EeIup7nN2" int2:id="SGszTk6L">
      <int2:state int2:type="AugLoop_Text_Critique" int2:value="Rejected"/>
    </int2:textHash>
    <int2:textHash int2:hashCode="K9X7Xd4L2h5wl4" int2:id="RzuYidL5">
      <int2:state int2:type="AugLoop_Text_Critique" int2:value="Rejected"/>
    </int2:textHash>
    <int2:textHash int2:hashCode="hN6B5b8f/AaH/i" int2:id="317NWZqh">
      <int2:state int2:type="AugLoop_Text_Critique" int2:value="Rejected"/>
    </int2:textHash>
    <int2:textHash int2:hashCode="CchJzncLaZrC1V" int2:id="UwW13cfj">
      <int2:state int2:type="AugLoop_Text_Critique" int2:value="Rejected"/>
    </int2:textHash>
    <int2:textHash int2:hashCode="NT12h6See3qwhk" int2:id="fokzfsjs">
      <int2:state int2:type="AugLoop_Text_Critique" int2:value="Rejected"/>
    </int2:textHash>
    <int2:textHash int2:hashCode="8+wXkcCV+G/AIk" int2:id="PHe9IFvV">
      <int2:state int2:type="AugLoop_Text_Critique" int2:value="Rejected"/>
    </int2:textHash>
    <int2:bookmark int2:bookmarkName="_Int_cU2jE3Ys" int2:invalidationBookmarkName="" int2:hashCode="4h7nfVAJEKEZWb" int2:id="vaF0AJGy">
      <int2:state int2:type="gram" int2:value="Rejected"/>
    </int2:bookmark>
    <int2:bookmark int2:bookmarkName="_Int_q8dYmw0b" int2:invalidationBookmarkName="" int2:hashCode="dalNooyseA++F1" int2:id="kaRvlIok">
      <int2:state int2:type="style" int2:value="Rejected"/>
    </int2:bookmark>
    <int2:bookmark int2:bookmarkName="_Int_3vAaS4D3" int2:invalidationBookmarkName="" int2:hashCode="sSQ5XMyfOOI8hN" int2:id="zMgUvlHN">
      <int2:state int2:type="gram" int2:value="Rejected"/>
    </int2:bookmark>
    <int2:bookmark int2:bookmarkName="_Int_S2oQ7hKT" int2:invalidationBookmarkName="" int2:hashCode="dskAeW8b4bP8l2" int2:id="iORm46gU">
      <int2:state int2:type="gram" int2:value="Rejected"/>
    </int2:bookmark>
    <int2:bookmark int2:bookmarkName="_Int_1fRUMeeJ" int2:invalidationBookmarkName="" int2:hashCode="vHHNl2eQ5oponG" int2:id="6Talz8Vk">
      <int2:state int2:type="gram" int2:value="Rejected"/>
    </int2:bookmark>
    <int2:bookmark int2:bookmarkName="_Int_IS0HdP6A" int2:invalidationBookmarkName="" int2:hashCode="AVTA2r5xRds34L" int2:id="QPh3Z1ow">
      <int2:state int2:type="gram" int2:value="Rejected"/>
    </int2:bookmark>
    <int2:bookmark int2:bookmarkName="_Int_dCmNs95P" int2:invalidationBookmarkName="" int2:hashCode="ZAPyt+sqqv5t40" int2:id="12cQWZ1n">
      <int2:state int2:type="gram" int2:value="Rejected"/>
    </int2:bookmark>
    <int2:bookmark int2:bookmarkName="_Int_rcDe2xyr" int2:invalidationBookmarkName="" int2:hashCode="rac5Xv+rfal2n6" int2:id="DRGHBG9M">
      <int2:state int2:type="gram" int2:value="Rejected"/>
    </int2:bookmark>
    <int2:bookmark int2:bookmarkName="_Int_WebM3fFu" int2:invalidationBookmarkName="" int2:hashCode="5XXczHEUB1Tdhb" int2:id="cg8bzLGh">
      <int2:state int2:type="gram" int2:value="Rejected"/>
    </int2:bookmark>
    <int2:bookmark int2:bookmarkName="_Int_4W8nsLRx" int2:invalidationBookmarkName="" int2:hashCode="PCc79T3DvJ0QV9" int2:id="k2xdiTqt">
      <int2:state int2:type="gram" int2:value="Rejected"/>
    </int2:bookmark>
    <int2:bookmark int2:bookmarkName="_Int_RKSHYWZX" int2:invalidationBookmarkName="" int2:hashCode="qrkN/oxvFSpPsH" int2:id="t0cv4ujo">
      <int2:state int2:type="gram" int2:value="Rejected"/>
    </int2:bookmark>
    <int2:bookmark int2:bookmarkName="_Int_plbWA7yp" int2:invalidationBookmarkName="" int2:hashCode="Ka8PdUROAKLbET" int2:id="xHUVUvkY">
      <int2:state int2:type="gram" int2:value="Rejected"/>
    </int2:bookmark>
    <int2:bookmark int2:bookmarkName="_Int_KCpzitgp" int2:invalidationBookmarkName="" int2:hashCode="MpqnFO4K6lfpZ9" int2:id="cGJo2XE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7d7f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4b1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D7B630"/>
    <w:rsid w:val="005291B3"/>
    <w:rsid w:val="00AB23A4"/>
    <w:rsid w:val="021B4316"/>
    <w:rsid w:val="05AF9B84"/>
    <w:rsid w:val="07303AC8"/>
    <w:rsid w:val="0766AB2B"/>
    <w:rsid w:val="0B1F5316"/>
    <w:rsid w:val="0C57F9BC"/>
    <w:rsid w:val="0C97EABC"/>
    <w:rsid w:val="0ECFF674"/>
    <w:rsid w:val="0EE35F1B"/>
    <w:rsid w:val="100D8D04"/>
    <w:rsid w:val="11F14B5A"/>
    <w:rsid w:val="11F5C91F"/>
    <w:rsid w:val="121B3CBD"/>
    <w:rsid w:val="135005B3"/>
    <w:rsid w:val="18D962EA"/>
    <w:rsid w:val="19BFB6EB"/>
    <w:rsid w:val="1B6FDB7F"/>
    <w:rsid w:val="1C0A4521"/>
    <w:rsid w:val="1D7596AB"/>
    <w:rsid w:val="1E709FCB"/>
    <w:rsid w:val="26021AA9"/>
    <w:rsid w:val="298AE695"/>
    <w:rsid w:val="29B63018"/>
    <w:rsid w:val="2CED7330"/>
    <w:rsid w:val="310C8A35"/>
    <w:rsid w:val="325BEE88"/>
    <w:rsid w:val="329B76F0"/>
    <w:rsid w:val="33ED090C"/>
    <w:rsid w:val="33FF005E"/>
    <w:rsid w:val="352B53AD"/>
    <w:rsid w:val="37C082CB"/>
    <w:rsid w:val="3AF8B945"/>
    <w:rsid w:val="3CD7B630"/>
    <w:rsid w:val="40BBF1CA"/>
    <w:rsid w:val="41EE6248"/>
    <w:rsid w:val="434ED812"/>
    <w:rsid w:val="45F247E1"/>
    <w:rsid w:val="48CFF339"/>
    <w:rsid w:val="4910EF2E"/>
    <w:rsid w:val="4F72BA9A"/>
    <w:rsid w:val="52A16D04"/>
    <w:rsid w:val="53099F20"/>
    <w:rsid w:val="53C88B80"/>
    <w:rsid w:val="55A69C0B"/>
    <w:rsid w:val="55A85C53"/>
    <w:rsid w:val="55D5E744"/>
    <w:rsid w:val="58771B48"/>
    <w:rsid w:val="5C02AA73"/>
    <w:rsid w:val="5CC902D9"/>
    <w:rsid w:val="606495A6"/>
    <w:rsid w:val="68557CB8"/>
    <w:rsid w:val="68832037"/>
    <w:rsid w:val="6966A658"/>
    <w:rsid w:val="6D6B821B"/>
    <w:rsid w:val="71512E31"/>
    <w:rsid w:val="72518691"/>
    <w:rsid w:val="744DFD04"/>
    <w:rsid w:val="746AA771"/>
    <w:rsid w:val="75822DC1"/>
    <w:rsid w:val="76136B71"/>
    <w:rsid w:val="76B27177"/>
    <w:rsid w:val="775C9CB4"/>
    <w:rsid w:val="7A635EDE"/>
    <w:rsid w:val="7C05A3A7"/>
    <w:rsid w:val="7E8BC15C"/>
    <w:rsid w:val="7EE173DC"/>
    <w:rsid w:val="7F397E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7B630"/>
  <w15:chartTrackingRefBased/>
  <w15:docId w15:val="{7FE7507A-974D-4EF8-8278-69B4BB71EF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9B76F0"/>
    <w:pPr>
      <w:spacing/>
      <w:ind w:left="720"/>
      <w:contextualSpacing/>
    </w:pPr>
  </w:style>
  <w:style w:type="character" w:styleId="Hyperlink">
    <w:uiPriority w:val="99"/>
    <w:name w:val="Hyperlink"/>
    <w:basedOn w:val="DefaultParagraphFont"/>
    <w:unhideWhenUsed/>
    <w:rsid w:val="298AE69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bb5c5e2797942e7" /><Relationship Type="http://schemas.openxmlformats.org/officeDocument/2006/relationships/numbering" Target="numbering.xml" Id="Rc6e073e8e39e41f9" /><Relationship Type="http://schemas.openxmlformats.org/officeDocument/2006/relationships/hyperlink" Target="https://doi.org/10.1080/09669760.2012.736932" TargetMode="External" Id="R06df2e82001243c3" /><Relationship Type="http://schemas.openxmlformats.org/officeDocument/2006/relationships/hyperlink" Target="https://doi.org/10.1177/1476718X211051547" TargetMode="External" Id="R6bb59ceece6645aa" /><Relationship Type="http://schemas.openxmlformats.org/officeDocument/2006/relationships/hyperlink" Target="https://www.gov.uk/government/publications/early-years-foundation-stage-framework--2" TargetMode="External" Id="R4dcc7d20cf204a91" /><Relationship Type="http://schemas.openxmlformats.org/officeDocument/2006/relationships/hyperlink" Target="https://www.gov.uk/government/publications/send-code-of-practice-0-to-25" TargetMode="External" Id="R38cf6e87d27e4c86" /><Relationship Type="http://schemas.openxmlformats.org/officeDocument/2006/relationships/hyperlink" Target="https://doi.org/10.1111/1467-8578.12148" TargetMode="External" Id="Rf2c3ddc778dd4ac8" /><Relationship Type="http://schemas.openxmlformats.org/officeDocument/2006/relationships/hyperlink" Target="https://doi.org/10.1007/s10643-019-00946-3" TargetMode="External" Id="R5899b202efa24b68" /><Relationship Type="http://schemas.openxmlformats.org/officeDocument/2006/relationships/hyperlink" Target="https://doi.org/10.1080/08856257.2018.1470402" TargetMode="External" Id="R4a66cfd561f0444c" /><Relationship Type="http://schemas.openxmlformats.org/officeDocument/2006/relationships/hyperlink" Target="https://doi.org/10.1007/s10643-016-0814-4" TargetMode="External" Id="R1f8fd17feef44b04" /><Relationship Type="http://schemas.openxmlformats.org/officeDocument/2006/relationships/hyperlink" Target="https://doi.org/10.1080/13603116.2017.1409403" TargetMode="External" Id="Rb1fe2eb00cf04700" /><Relationship Type="http://schemas.openxmlformats.org/officeDocument/2006/relationships/hyperlink" Target="https://doi.org/10.1016/j.ecresq.2016.01.002" TargetMode="External" Id="R58f032fa0bce4d4a" /><Relationship Type="http://schemas.openxmlformats.org/officeDocument/2006/relationships/hyperlink" Target="https://doi.org/10.1080/10901027.2020.1735978" TargetMode="External" Id="R0daa95cdebb54009" /><Relationship Type="http://schemas.openxmlformats.org/officeDocument/2006/relationships/hyperlink" Target="https://doi.org/10.1177/1476718X211050123" TargetMode="External" Id="R0ca7bc8ea68244cb" /><Relationship Type="http://schemas.openxmlformats.org/officeDocument/2006/relationships/hyperlink" Target="https://doi.org/10.1080/09669760.2018.1521358" TargetMode="External" Id="Rcd9184a09d3c442c" /><Relationship Type="http://schemas.openxmlformats.org/officeDocument/2006/relationships/hyperlink" Target="https://doi.org/10.1080/09575146.2012.677678" TargetMode="External" Id="Rb613a4a212eb4ec5" /><Relationship Type="http://schemas.openxmlformats.org/officeDocument/2006/relationships/hyperlink" Target="https://doi.org/10.1080/1350293X.2014.981122" TargetMode="External" Id="R9529b01c93334c03" /><Relationship Type="http://schemas.openxmlformats.org/officeDocument/2006/relationships/hyperlink" Target="https://doi.org/10.1177/1468798412462947" TargetMode="External" Id="R65501649f24848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2025-06-02T17:00:24.3198000Z</dcterms:created>
  <dcterms:modified xsi:type="dcterms:W3CDTF">2025-06-15T17:10:47.7080850Z</dcterms:modified>
  <dc:creator>Ridwaan Ahmed (2316325)</dc:creator>
  <lastModifiedBy>Ridwaan Ahmed (2316325)</lastModifiedBy>
</coreProperties>
</file>