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after="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after="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after="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after="0"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after="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after="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Digital Transformation in Health and Social Care: Evaluating the Impact of Electronic Health Records and Telehealth</w:t>
      </w:r>
    </w:p>
    <w:p w:rsidR="00000000" w:rsidDel="00000000" w:rsidP="00000000" w:rsidRDefault="00000000" w:rsidRPr="00000000" w14:paraId="00000008">
      <w:pPr>
        <w:spacing w:after="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Name: Yamasanga Mbembo</w:t>
      </w:r>
    </w:p>
    <w:p w:rsidR="00000000" w:rsidDel="00000000" w:rsidP="00000000" w:rsidRDefault="00000000" w:rsidRPr="00000000" w14:paraId="00000009">
      <w:pPr>
        <w:spacing w:after="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Students Number:2313662</w:t>
      </w:r>
    </w:p>
    <w:p w:rsidR="00000000" w:rsidDel="00000000" w:rsidP="00000000" w:rsidRDefault="00000000" w:rsidRPr="00000000" w14:paraId="0000000A">
      <w:pPr>
        <w:spacing w:after="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code: BMHP6026</w:t>
      </w:r>
    </w:p>
    <w:p w:rsidR="00000000" w:rsidDel="00000000" w:rsidP="00000000" w:rsidRDefault="00000000" w:rsidRPr="00000000" w14:paraId="0000000B">
      <w:pPr>
        <w:spacing w:after="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Lecture: MARTIN SVEJDA</w:t>
      </w:r>
    </w:p>
    <w:p w:rsidR="00000000" w:rsidDel="00000000" w:rsidP="00000000" w:rsidRDefault="00000000" w:rsidRPr="00000000" w14:paraId="0000000C">
      <w:pPr>
        <w:spacing w:after="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Assignment title: Report</w:t>
      </w:r>
    </w:p>
    <w:p w:rsidR="00000000" w:rsidDel="00000000" w:rsidP="00000000" w:rsidRDefault="00000000" w:rsidRPr="00000000" w14:paraId="0000000D">
      <w:pPr>
        <w:spacing w:after="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after="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2619375" cy="2619375"/>
            <wp:effectExtent b="0" l="0" r="0" t="0"/>
            <wp:docPr id="160"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619375" cy="2619375"/>
                    </a:xfrm>
                    <a:prstGeom prst="rect"/>
                    <a:ln/>
                  </pic:spPr>
                </pic:pic>
              </a:graphicData>
            </a:graphic>
          </wp:inline>
        </w:drawing>
      </w:r>
      <w:r w:rsidDel="00000000" w:rsidR="00000000" w:rsidRPr="00000000">
        <w:rPr>
          <w:rtl w:val="0"/>
        </w:rPr>
      </w:r>
    </w:p>
    <w:p w:rsidR="00000000" w:rsidDel="00000000" w:rsidP="00000000" w:rsidRDefault="00000000" w:rsidRPr="00000000" w14:paraId="0000000F">
      <w:pPr>
        <w:spacing w:after="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0">
      <w:pPr>
        <w:spacing w:after="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spacing w:after="0"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720" w:right="0" w:hanging="72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id w:val="1446982513"/>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4zsu83eslb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w:t>
              <w:tab/>
              <w:t xml:space="preserve">Introduction</w:t>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enxiji4l0924">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w:t>
              <w:tab/>
              <w:t xml:space="preserve">Electronic Health Records (EHRs)</w:t>
              <w:tab/>
              <w:t xml:space="preserve">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7pm19yj9ht9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w:t>
              <w:tab/>
              <w:t xml:space="preserve">Remote backpack and Telehealth Services.</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jv5vl0g64x55">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w:t>
              <w:tab/>
              <w:t xml:space="preserve">Comparative Evaluation</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rjp2cp4ztkv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w:t>
              <w:tab/>
              <w:t xml:space="preserve">Conclusion</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wubputjd739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 list</w:t>
              <w:tab/>
              <w:t xml:space="preserve">8</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spacing w:after="0" w:line="480" w:lineRule="auto"/>
        <w:rPr>
          <w:rFonts w:ascii="Times New Roman" w:cs="Times New Roman" w:eastAsia="Times New Roman" w:hAnsi="Times New Roman"/>
          <w:b w:val="1"/>
          <w:sz w:val="24"/>
          <w:szCs w:val="24"/>
        </w:rPr>
        <w:sectPr>
          <w:headerReference r:id="rId8" w:type="default"/>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1B">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pStyle w:val="Heading1"/>
        <w:numPr>
          <w:ilvl w:val="0"/>
          <w:numId w:val="1"/>
        </w:numPr>
        <w:spacing w:before="0" w:line="360" w:lineRule="auto"/>
        <w:ind w:left="720" w:hanging="720"/>
        <w:rPr/>
      </w:pPr>
      <w:bookmarkStart w:colFirst="0" w:colLast="0" w:name="_heading=h.4zsu83eslbs" w:id="0"/>
      <w:bookmarkEnd w:id="0"/>
      <w:r w:rsidDel="00000000" w:rsidR="00000000" w:rsidRPr="00000000">
        <w:rPr>
          <w:rtl w:val="0"/>
        </w:rPr>
        <w:t xml:space="preserve">Introduction</w:t>
      </w:r>
    </w:p>
    <w:p w:rsidR="00000000" w:rsidDel="00000000" w:rsidP="00000000" w:rsidRDefault="00000000" w:rsidRPr="00000000" w14:paraId="0000001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last ten years, the digital transformation has turned into one of the hallmarks of the development of health and social care systems. This is because not only have professional practices been redefined by integrating technology in service delivery, but it also defines the interaction that service users have with the care (El Khatib et al., 2022). Electronic Health Records (EHRs) and Telehealth are some of the most impactful innovations that have greatly transformed the quality and protection of services as well as their accessibility (Stoumpos, Kitsios, and Talias, 2023).</w:t>
      </w:r>
    </w:p>
    <w:p w:rsidR="00000000" w:rsidDel="00000000" w:rsidP="00000000" w:rsidRDefault="00000000" w:rsidRPr="00000000" w14:paraId="0000001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has critically discussed the effects of the two technologies, and it has paid much attention to the implications of the two technologies for the health and social care sectors. It will examine the impact that EHRs and Telehealth have had on service users--those who encounter barriers in terms of limited internet access, language differences, or vulnerability--and compare the implications of this to professionals operating in such systems. The discussions will shed light on the desirable and problematic aspects of digital transformation to present a bias-free view of digital transformation in modern care.</w:t>
      </w:r>
    </w:p>
    <w:p w:rsidR="00000000" w:rsidDel="00000000" w:rsidP="00000000" w:rsidRDefault="00000000" w:rsidRPr="00000000" w14:paraId="0000001F">
      <w:pPr>
        <w:pStyle w:val="Heading1"/>
        <w:numPr>
          <w:ilvl w:val="0"/>
          <w:numId w:val="1"/>
        </w:numPr>
        <w:spacing w:before="0" w:line="360" w:lineRule="auto"/>
        <w:ind w:left="720" w:hanging="720"/>
        <w:rPr/>
      </w:pPr>
      <w:bookmarkStart w:colFirst="0" w:colLast="0" w:name="_heading=h.enxiji4l0924" w:id="1"/>
      <w:bookmarkEnd w:id="1"/>
      <w:r w:rsidDel="00000000" w:rsidR="00000000" w:rsidRPr="00000000">
        <w:rPr>
          <w:rtl w:val="0"/>
        </w:rPr>
        <w:t xml:space="preserve">Electronic Health Records (EHRs)</w:t>
      </w:r>
    </w:p>
    <w:p w:rsidR="00000000" w:rsidDel="00000000" w:rsidP="00000000" w:rsidRDefault="00000000" w:rsidRPr="00000000" w14:paraId="0000002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EHR has become a full-fledged part of the healthcare infrastructure now. EHRs are created to help in centralizing patient information and enable the creation, retrieval, and distribution of clinical information in multiple settings. These implementations have far-reaching impacts on the social and health care services (Singh et al., 2021). Within a social care setting, EHRs have resulted in a more significant capacity to obtain a broad history of clients. According to Rogel et al. (2021), Electronic Health Records have facilitated more effective coordination among agencies, whereby more informed decisions are made and timely interventions are made. Depending on digital platforms, however, opens challenges of accessibility (Rogelj, Salaj and Bogataj, 2021). People who are not online or are digitally illiterate will become isolated by systems that are ever-reliant on web interfaces and applications. Older adults, individuals with disabilities, and the economically disadvantaged groups are disproportionately impacted because of this digital divide, and this creates questions of equitable access (Holmgren et al., 2023).</w:t>
      </w:r>
    </w:p>
    <w:p w:rsidR="00000000" w:rsidDel="00000000" w:rsidP="00000000" w:rsidRDefault="00000000" w:rsidRPr="00000000" w14:paraId="0000002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Services have also changed their experience. EHRs facilitate the care provider. Nonetheless, in the case of service users who do not speak English fluently, searching through digital records may be confusing and isolating. Lack of multi-lingual interfaces or culturally sensitive design can become obstacles to engagement and lower the efficiency of the care (Sheikh et al., 2021).</w:t>
      </w:r>
    </w:p>
    <w:p w:rsidR="00000000" w:rsidDel="00000000" w:rsidP="00000000" w:rsidRDefault="00000000" w:rsidRPr="00000000" w14:paraId="0000002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Protecting has been improved significantly using EHRs. Real-time warnings and standardised records, as well as secure data exchange, will help early detect the risks and save big people. However, the existence of a record online brings in new threats. Privacy and safety: Data breaches, unauthorised access, and system failures put those in serious jeopardy. Trust and integrity in the security of business data must be ensured by ensuring strong cybersecurity and ethical data governance (Shafik, 2023).</w:t>
      </w:r>
    </w:p>
    <w:p w:rsidR="00000000" w:rsidDel="00000000" w:rsidP="00000000" w:rsidRDefault="00000000" w:rsidRPr="00000000" w14:paraId="0000002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EHRs in the context of health care have enhanced easy access to health care since they have managed to provide faster reference to services and decrease instances of tests being duplicated, so that a patient can access his or her medical details online. This has resulted in smoother care pathways and a better patient outcome. The upsides are, however, not universally realised. Citizens who lack convenient internet access or digital technology are left at a disadvantage and lack the capacity to be completely engaged in their own health (Massaro, 2021). A combination of the use of decision-support and personal care plans has become part of the patient experience. Based on detailed data, clinicians are able to arrive at more accurate diagnoses and develop more specific treatments. However, due to the growing use of digital systems, there is also a possibility of fewer and lower-quality face-to-face interactions. To the human aspects of care regarding patients, particularly those who have complex needs, there is no substitute for maintaining it, no matter how difficult it might be.</w:t>
      </w:r>
    </w:p>
    <w:p w:rsidR="00000000" w:rsidDel="00000000" w:rsidP="00000000" w:rsidRDefault="00000000" w:rsidRPr="00000000" w14:paraId="0000002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EHRs provide more accountability, which is achieved in the form of audit trails and automated alerts, from the safeguarding perspective. Such properties do contribute to avoiding medical mistakes and eliminating the risk of missing important information. It can also lead to incomplete records, however, due to interoperability between various systems, at the cost of continuity and safety of care.</w:t>
      </w:r>
    </w:p>
    <w:p w:rsidR="00000000" w:rsidDel="00000000" w:rsidP="00000000" w:rsidRDefault="00000000" w:rsidRPr="00000000" w14:paraId="0000002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Adoption of EHR has been both rewarding and stressful to professionals. In the good category, EHRs have minimised administrative loads, increased interdisciplinary collaboration, and evidence-based practice. Conversely, the ambiguity of digital interfaces, constant training required, and the cognitive burden related to both handling large volumes of data have led to stress and burnout. The technical design of EHRs, organisational interaction through organisational support, as well as use by users, contribute to their effectiveness.</w:t>
      </w:r>
    </w:p>
    <w:p w:rsidR="00000000" w:rsidDel="00000000" w:rsidP="00000000" w:rsidRDefault="00000000" w:rsidRPr="00000000" w14:paraId="00000026">
      <w:pPr>
        <w:pStyle w:val="Heading1"/>
        <w:numPr>
          <w:ilvl w:val="0"/>
          <w:numId w:val="1"/>
        </w:numPr>
        <w:spacing w:before="0" w:line="360" w:lineRule="auto"/>
        <w:ind w:left="720" w:hanging="720"/>
        <w:rPr/>
      </w:pPr>
      <w:bookmarkStart w:colFirst="0" w:colLast="0" w:name="_heading=h.7pm19yj9ht90" w:id="2"/>
      <w:bookmarkEnd w:id="2"/>
      <w:r w:rsidDel="00000000" w:rsidR="00000000" w:rsidRPr="00000000">
        <w:rPr>
          <w:rtl w:val="0"/>
        </w:rPr>
        <w:t xml:space="preserve">Remote backpack and Telehealth Services.</w:t>
      </w:r>
    </w:p>
    <w:p w:rsidR="00000000" w:rsidDel="00000000" w:rsidP="00000000" w:rsidRDefault="00000000" w:rsidRPr="00000000" w14:paraId="0000002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Telehealth is a paradigm shift modality in the field of health and social care, especially in reaction to the impact of the COVID-19 pandemic. Telehealth has increased the size of the service, opening up new opportunities for service delivery since it makes remote consultation possible, makes remote monitoring possible, and also makes remote communication between the patient and the care provider possible.</w:t>
      </w:r>
    </w:p>
    <w:p w:rsidR="00000000" w:rsidDel="00000000" w:rsidP="00000000" w:rsidRDefault="00000000" w:rsidRPr="00000000" w14:paraId="0000002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Telehealth has helped people in remote or underserved regions gain access to social care. The benefits of virtual consultation are enhanced since no travel is required, wait time is shortened, and more physical time can be booked. Nonetheless, these benefits will be dependent on access to internet connectivity and appropriate equipment. A large number of service users, particularly incorrectly sorted or institutionalised subgroups that are economically disadvantaged, aged, or frail, might not have access to resources or the ability to use Telehealth platforms. This exclusion invalidates the principle of universal access and needs specific actions to reconcile the digital divide.</w:t>
      </w:r>
    </w:p>
    <w:p w:rsidR="00000000" w:rsidDel="00000000" w:rsidP="00000000" w:rsidRDefault="00000000" w:rsidRPr="00000000" w14:paraId="0000002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Convenience and autonomy determine the experience of services when using Telehealth. The comfort and convenience of their homes enable service users to gain a lot of control over their schedules as well as avoid stress in the clinical settings. Attention, however, the lack of in-person attendance may prevent the in-depth tests. In the online world, it is less easy to record non-verbal communication, physical surroundings, and the rapport between people. Further communication complexities are language barriers and low digital literacy, which may translate to misunderstandings or poor-quality care.</w:t>
      </w:r>
    </w:p>
    <w:p w:rsidR="00000000" w:rsidDel="00000000" w:rsidP="00000000" w:rsidRDefault="00000000" w:rsidRPr="00000000" w14:paraId="0000002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special problems in protection in Telehealth. Although remote monitoring and virtual check-in can assist in proactive care, they also depend on self-reporting as well as observable indicators. At the time of maltreatment, neglect, or mental health emergencies, physical observation could not be used appropriately to accurately assess the risk. The privacy issue is also a stressor, since confidential spaces cannot always be offered to the service users during their consultations. It is important to make sure that platforms and other ethical guidelines are safe so as to ensure the safety of vulnerable persons.</w:t>
      </w:r>
    </w:p>
    <w:p w:rsidR="00000000" w:rsidDel="00000000" w:rsidP="00000000" w:rsidRDefault="00000000" w:rsidRPr="00000000" w14:paraId="0000002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field of health care has also seen the revolution of Telehealth to offer continuity of care in case of disruption. It has been the most effective in chronic disease settings, mental health settings, and in post-discharge consultations. Nonetheless, policy frameworks, reimbursement models, and infrastructure investments affect its sustainability (Massaro, 2021). Telehealth can take the form of some sort of intervention in the short term, but not necessarily in the long term. Generally, patient experience with Telehealth is positive, and in most cases, patients report being more satisfied as they spend less time traveling and spend less time in wait areas, and have greater convenience. Although some conditions cannot be studied without physical inspection, the drawbacks of virtual communication need to be acknowledged. Telehealth needs to be culturally sensitive, accessible in language, and easy to use to ensure that this method can cater to a wide range of people (Kraus et al., 2021; Massaro, 2021).</w:t>
      </w:r>
    </w:p>
    <w:p w:rsidR="00000000" w:rsidDel="00000000" w:rsidP="00000000" w:rsidRDefault="00000000" w:rsidRPr="00000000" w14:paraId="0000002C">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Precaution in health care through Telehealth is a matter of technological efficiency and ethical concern. Special care is needed involving remote diagnosis, consent management, and data protection. They need to train professionals in how to identify indicators of distress or danger in an online setting and how to react to these indicators.</w:t>
      </w:r>
    </w:p>
    <w:p w:rsidR="00000000" w:rsidDel="00000000" w:rsidP="00000000" w:rsidRDefault="00000000" w:rsidRPr="00000000" w14:paraId="0000002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Telehealth is flexible, far-reaching, and offers an innovative opportunity to professionals. It allows practitioners to operate in greater geographic areas and, on the one hand, to implement digital tools in the practice. Although it also puts in place constraints like a lesser degree of interpersonal relationships, technological inconvenience, and moral judgment. Virtual care requires new skills and the redefinition of professions.</w:t>
      </w:r>
    </w:p>
    <w:p w:rsidR="00000000" w:rsidDel="00000000" w:rsidP="00000000" w:rsidRDefault="00000000" w:rsidRPr="00000000" w14:paraId="0000002E">
      <w:pPr>
        <w:keepNext w:val="1"/>
        <w:spacing w:after="0" w:line="360" w:lineRule="auto"/>
        <w:jc w:val="center"/>
        <w:rPr/>
      </w:pPr>
      <w:r w:rsidDel="00000000" w:rsidR="00000000" w:rsidRPr="00000000">
        <w:rPr/>
        <w:drawing>
          <wp:inline distB="0" distT="0" distL="0" distR="0">
            <wp:extent cx="3657600" cy="4143375"/>
            <wp:effectExtent b="0" l="0" r="0" t="0"/>
            <wp:docPr descr="Create a professional hexagonal wheel diagram titled 'Six Principles of Safeguarding in Health and Social Care'. The diagram should feature six interconnected hexagons arranged in a circular wheel formation. Each hexagon should contain one principle with a short label and a relevant icon. Use a clean, academic design with soft healthcare-themed colors such as NHS blue, teal, and grey. The principles are: Empowerment (icon: raised hand), Prevention (icon: shield), Proportionality (icon: balance scale), Protection (icon: heart with cross), Partnership (icon: handshake), Accountability (icon: checklist). Center the title in the middle of the wheel. Use readable fonts and ensure the layout is symmetrical and visually balanced. The overall tone should be informative, respectful, and suitable for inclusion in a university-level health and social care report." id="161" name="image1.png"/>
            <a:graphic>
              <a:graphicData uri="http://schemas.openxmlformats.org/drawingml/2006/picture">
                <pic:pic>
                  <pic:nvPicPr>
                    <pic:cNvPr descr="Create a professional hexagonal wheel diagram titled 'Six Principles of Safeguarding in Health and Social Care'. The diagram should feature six interconnected hexagons arranged in a circular wheel formation. Each hexagon should contain one principle with a short label and a relevant icon. Use a clean, academic design with soft healthcare-themed colors such as NHS blue, teal, and grey. The principles are: Empowerment (icon: raised hand), Prevention (icon: shield), Proportionality (icon: balance scale), Protection (icon: heart with cross), Partnership (icon: handshake), Accountability (icon: checklist). Center the title in the middle of the wheel. Use readable fonts and ensure the layout is symmetrical and visually balanced. The overall tone should be informative, respectful, and suitable for inclusion in a university-level health and social care report." id="0" name="image1.png"/>
                    <pic:cNvPicPr preferRelativeResize="0"/>
                  </pic:nvPicPr>
                  <pic:blipFill>
                    <a:blip r:embed="rId9"/>
                    <a:srcRect b="12153" l="0" r="0" t="12325"/>
                    <a:stretch>
                      <a:fillRect/>
                    </a:stretch>
                  </pic:blipFill>
                  <pic:spPr>
                    <a:xfrm>
                      <a:off x="0" y="0"/>
                      <a:ext cx="3657600" cy="4143375"/>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44546a"/>
          <w:sz w:val="24"/>
          <w:szCs w:val="24"/>
          <w:u w:val="none"/>
          <w:shd w:fill="auto" w:val="clear"/>
          <w:vertAlign w:val="baseline"/>
        </w:rPr>
      </w:pPr>
      <w:r w:rsidDel="00000000" w:rsidR="00000000" w:rsidRPr="00000000">
        <w:rPr>
          <w:rFonts w:ascii="Calibri" w:cs="Calibri" w:eastAsia="Calibri" w:hAnsi="Calibri"/>
          <w:b w:val="0"/>
          <w:i w:val="1"/>
          <w:smallCaps w:val="0"/>
          <w:strike w:val="0"/>
          <w:color w:val="44546a"/>
          <w:sz w:val="18"/>
          <w:szCs w:val="18"/>
          <w:u w:val="none"/>
          <w:shd w:fill="auto" w:val="clear"/>
          <w:vertAlign w:val="baseline"/>
          <w:rtl w:val="0"/>
        </w:rPr>
        <w:t xml:space="preserve">Figure 1 The Six Principles of Safeguarding in Health and Social Care</w:t>
      </w:r>
      <w:r w:rsidDel="00000000" w:rsidR="00000000" w:rsidRPr="00000000">
        <w:rPr>
          <w:rtl w:val="0"/>
        </w:rPr>
      </w:r>
    </w:p>
    <w:p w:rsidR="00000000" w:rsidDel="00000000" w:rsidP="00000000" w:rsidRDefault="00000000" w:rsidRPr="00000000" w14:paraId="00000030">
      <w:pPr>
        <w:pStyle w:val="Heading1"/>
        <w:numPr>
          <w:ilvl w:val="0"/>
          <w:numId w:val="1"/>
        </w:numPr>
        <w:spacing w:before="0" w:line="360" w:lineRule="auto"/>
        <w:ind w:left="720" w:hanging="720"/>
        <w:rPr/>
      </w:pPr>
      <w:bookmarkStart w:colFirst="0" w:colLast="0" w:name="_heading=h.jv5vl0g64x55" w:id="3"/>
      <w:bookmarkEnd w:id="3"/>
      <w:r w:rsidDel="00000000" w:rsidR="00000000" w:rsidRPr="00000000">
        <w:rPr>
          <w:rtl w:val="0"/>
        </w:rPr>
        <w:t xml:space="preserve">Comparative Evaluation</w:t>
      </w:r>
    </w:p>
    <w:p w:rsidR="00000000" w:rsidDel="00000000" w:rsidP="00000000" w:rsidRDefault="00000000" w:rsidRPr="00000000" w14:paraId="0000003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two different but complementary pillars of digital transformation in health and social care are Electronic Health Records (EHRs) and Telehealth. Although both technologies have similar goals: helping to deliver services better, they are rather different in terms of their design and implementation, as well as user interactions, which lead to different access, experience, and protection implications.</w:t>
      </w:r>
    </w:p>
    <w:p w:rsidR="00000000" w:rsidDel="00000000" w:rsidP="00000000" w:rsidRDefault="00000000" w:rsidRPr="00000000" w14:paraId="0000003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EHRs are essentially utilised as internal infrastructure patterns where they are used to collect, store, and transfer patient information among multidisciplinary units. They are mainly used to increase the levels of coordination among professionals, minimise any administrative redundancy, and assist in reaching evidence-based decisions. Conversely, Telehealth is applied at the provider-service-user interface. It also enables distance consultations, tele-monitoring, and online communication, and transforms the nature of care delivery and experience in real time (Zhang and Saltman, 2021).</w:t>
      </w:r>
    </w:p>
    <w:p w:rsidR="00000000" w:rsidDel="00000000" w:rsidP="00000000" w:rsidRDefault="00000000" w:rsidRPr="00000000" w14:paraId="0000003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the two technologies are focused on the same objective, namely, enhancing care outcomes, each of them reveals vulnerabilities in the system. EHRs, as one example, can unconsciously source marginalised persons with low health literacy or no access to their digital provisions. Some populations may be highly discouraged, especially older adults, non-English speakers, and people with cognitive impairments, as the use of digital portals, medical terminology, and online records may be too confusing to use. The more approachable telehealth has its obstacles. The lack of reliable internet, the absence of adequate devices, and private spaces mean the service users might not be able to engage in virtual consultation, which excludes access to essential services.</w:t>
      </w:r>
    </w:p>
    <w:p w:rsidR="00000000" w:rsidDel="00000000" w:rsidP="00000000" w:rsidRDefault="00000000" w:rsidRPr="00000000" w14:paraId="0000003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fact that they are user-oriented is a key difference. The EHRs are profession-focused, providing documentation or analytics tools and inter-agency collaboration. Improvements to service user care coordination and safety warnings assist the service user indirectly. Similarly, telehealth requires user involvement. It demands that they take the initiative of arranging appointments, handling digital processes, and having virtual interactive qualities. This change of responsibility leads to the increased demand for digital competence and autonomy, which cannot be granted to all users.</w:t>
      </w:r>
    </w:p>
    <w:p w:rsidR="00000000" w:rsidDel="00000000" w:rsidP="00000000" w:rsidRDefault="00000000" w:rsidRPr="00000000" w14:paraId="0000003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illustrate these differences more clearly, the following table offers a side-by-side comparison:</w:t>
      </w:r>
    </w:p>
    <w:tbl>
      <w:tblPr>
        <w:tblStyle w:val="Table1"/>
        <w:tblW w:w="9360.0" w:type="dxa"/>
        <w:jc w:val="left"/>
        <w:tblLayout w:type="fixed"/>
        <w:tblLook w:val="0400"/>
      </w:tblPr>
      <w:tblGrid>
        <w:gridCol w:w="9360"/>
        <w:tblGridChange w:id="0">
          <w:tblGrid>
            <w:gridCol w:w="9360"/>
          </w:tblGrid>
        </w:tblGridChange>
      </w:tblGrid>
      <w:tr>
        <w:trPr>
          <w:cantSplit w:val="0"/>
          <w:tblHeader w:val="0"/>
        </w:trPr>
        <w:tc>
          <w:tcPr>
            <w:vAlign w:val="center"/>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4"/>
                <w:szCs w:val="24"/>
              </w:rPr>
            </w:pPr>
            <w:r w:rsidDel="00000000" w:rsidR="00000000" w:rsidRPr="00000000">
              <w:rPr>
                <w:rtl w:val="0"/>
              </w:rPr>
            </w:r>
          </w:p>
          <w:tbl>
            <w:tblPr>
              <w:tblStyle w:val="Table2"/>
              <w:tblW w:w="9270.0" w:type="dxa"/>
              <w:jc w:val="left"/>
              <w:tblLayout w:type="fixed"/>
              <w:tblLook w:val="0400"/>
            </w:tblPr>
            <w:tblGrid>
              <w:gridCol w:w="1874"/>
              <w:gridCol w:w="3505"/>
              <w:gridCol w:w="3891"/>
              <w:tblGridChange w:id="0">
                <w:tblGrid>
                  <w:gridCol w:w="1874"/>
                  <w:gridCol w:w="3505"/>
                  <w:gridCol w:w="3891"/>
                </w:tblGrid>
              </w:tblGridChange>
            </w:tblGrid>
            <w:tr>
              <w:trPr>
                <w:cantSplit w:val="0"/>
                <w:tblHeader w:val="1"/>
              </w:trPr>
              <w:tc>
                <w:tcPr>
                  <w:vAlign w:val="center"/>
                </w:tcPr>
                <w:p w:rsidR="00000000" w:rsidDel="00000000" w:rsidP="00000000" w:rsidRDefault="00000000" w:rsidRPr="00000000" w14:paraId="00000037">
                  <w:pPr>
                    <w:spacing w:after="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Dimension</w:t>
                  </w:r>
                </w:p>
              </w:tc>
              <w:tc>
                <w:tcPr>
                  <w:vAlign w:val="center"/>
                </w:tcPr>
                <w:p w:rsidR="00000000" w:rsidDel="00000000" w:rsidP="00000000" w:rsidRDefault="00000000" w:rsidRPr="00000000" w14:paraId="00000038">
                  <w:pPr>
                    <w:spacing w:after="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Electronic Health Records (EHRs)</w:t>
                  </w:r>
                </w:p>
              </w:tc>
              <w:tc>
                <w:tcPr>
                  <w:vAlign w:val="center"/>
                </w:tcPr>
                <w:p w:rsidR="00000000" w:rsidDel="00000000" w:rsidP="00000000" w:rsidRDefault="00000000" w:rsidRPr="00000000" w14:paraId="00000039">
                  <w:pPr>
                    <w:spacing w:after="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Telehealth / Remote Consultations</w:t>
                  </w:r>
                </w:p>
              </w:tc>
            </w:tr>
            <w:tr>
              <w:trPr>
                <w:cantSplit w:val="0"/>
                <w:tblHeader w:val="0"/>
              </w:trPr>
              <w:tc>
                <w:tcPr>
                  <w:vAlign w:val="center"/>
                </w:tcPr>
                <w:p w:rsidR="00000000" w:rsidDel="00000000" w:rsidP="00000000" w:rsidRDefault="00000000" w:rsidRPr="00000000" w14:paraId="0000003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Primary Function</w:t>
                  </w:r>
                  <w:r w:rsidDel="00000000" w:rsidR="00000000" w:rsidRPr="00000000">
                    <w:rPr>
                      <w:rtl w:val="0"/>
                    </w:rPr>
                  </w:r>
                </w:p>
              </w:tc>
              <w:tc>
                <w:tcPr>
                  <w:vAlign w:val="center"/>
                </w:tcPr>
                <w:p w:rsidR="00000000" w:rsidDel="00000000" w:rsidP="00000000" w:rsidRDefault="00000000" w:rsidRPr="00000000" w14:paraId="0000003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management and professional coordination</w:t>
                  </w:r>
                </w:p>
              </w:tc>
              <w:tc>
                <w:tcPr>
                  <w:vAlign w:val="center"/>
                </w:tcPr>
                <w:p w:rsidR="00000000" w:rsidDel="00000000" w:rsidP="00000000" w:rsidRDefault="00000000" w:rsidRPr="00000000" w14:paraId="0000003C">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Remote service delivery and user-provider interaction</w:t>
                  </w:r>
                </w:p>
              </w:tc>
            </w:tr>
            <w:tr>
              <w:trPr>
                <w:cantSplit w:val="0"/>
                <w:tblHeader w:val="0"/>
              </w:trPr>
              <w:tc>
                <w:tcPr>
                  <w:vAlign w:val="center"/>
                </w:tcPr>
                <w:p w:rsidR="00000000" w:rsidDel="00000000" w:rsidP="00000000" w:rsidRDefault="00000000" w:rsidRPr="00000000" w14:paraId="0000003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User Orientation</w:t>
                  </w:r>
                  <w:r w:rsidDel="00000000" w:rsidR="00000000" w:rsidRPr="00000000">
                    <w:rPr>
                      <w:rtl w:val="0"/>
                    </w:rPr>
                  </w:r>
                </w:p>
              </w:tc>
              <w:tc>
                <w:tcPr>
                  <w:vAlign w:val="center"/>
                </w:tcPr>
                <w:p w:rsidR="00000000" w:rsidDel="00000000" w:rsidP="00000000" w:rsidRDefault="00000000" w:rsidRPr="00000000" w14:paraId="0000003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Professional-facing; indirect user benefit</w:t>
                  </w:r>
                </w:p>
              </w:tc>
              <w:tc>
                <w:tcPr>
                  <w:vAlign w:val="center"/>
                </w:tcPr>
                <w:p w:rsidR="00000000" w:rsidDel="00000000" w:rsidP="00000000" w:rsidRDefault="00000000" w:rsidRPr="00000000" w14:paraId="0000003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User-facing; requires active user engagement</w:t>
                  </w:r>
                </w:p>
              </w:tc>
            </w:tr>
            <w:tr>
              <w:trPr>
                <w:cantSplit w:val="0"/>
                <w:tblHeader w:val="0"/>
              </w:trPr>
              <w:tc>
                <w:tcPr>
                  <w:vAlign w:val="center"/>
                </w:tcPr>
                <w:p w:rsidR="00000000" w:rsidDel="00000000" w:rsidP="00000000" w:rsidRDefault="00000000" w:rsidRPr="00000000" w14:paraId="0000004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Access Challenges</w:t>
                  </w:r>
                  <w:r w:rsidDel="00000000" w:rsidR="00000000" w:rsidRPr="00000000">
                    <w:rPr>
                      <w:rtl w:val="0"/>
                    </w:rPr>
                  </w:r>
                </w:p>
              </w:tc>
              <w:tc>
                <w:tcPr>
                  <w:vAlign w:val="center"/>
                </w:tcPr>
                <w:p w:rsidR="00000000" w:rsidDel="00000000" w:rsidP="00000000" w:rsidRDefault="00000000" w:rsidRPr="00000000" w14:paraId="0000004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 literacy, language barriers, and a lack of digital familiarity</w:t>
                  </w:r>
                </w:p>
              </w:tc>
              <w:tc>
                <w:tcPr>
                  <w:vAlign w:val="center"/>
                </w:tcPr>
                <w:p w:rsidR="00000000" w:rsidDel="00000000" w:rsidP="00000000" w:rsidRDefault="00000000" w:rsidRPr="00000000" w14:paraId="0000004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internet/device access, absence of private space</w:t>
                  </w:r>
                </w:p>
              </w:tc>
            </w:tr>
            <w:tr>
              <w:trPr>
                <w:cantSplit w:val="0"/>
                <w:tblHeader w:val="0"/>
              </w:trPr>
              <w:tc>
                <w:tcPr>
                  <w:vAlign w:val="center"/>
                </w:tcPr>
                <w:p w:rsidR="00000000" w:rsidDel="00000000" w:rsidP="00000000" w:rsidRDefault="00000000" w:rsidRPr="00000000" w14:paraId="0000004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Experience of Services</w:t>
                  </w:r>
                  <w:r w:rsidDel="00000000" w:rsidR="00000000" w:rsidRPr="00000000">
                    <w:rPr>
                      <w:rtl w:val="0"/>
                    </w:rPr>
                  </w:r>
                </w:p>
              </w:tc>
              <w:tc>
                <w:tcPr>
                  <w:vAlign w:val="center"/>
                </w:tcPr>
                <w:p w:rsidR="00000000" w:rsidDel="00000000" w:rsidP="00000000" w:rsidRDefault="00000000" w:rsidRPr="00000000" w14:paraId="0000004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Improved continuity; reduced duplication; limited user interface</w:t>
                  </w:r>
                </w:p>
              </w:tc>
              <w:tc>
                <w:tcPr>
                  <w:vAlign w:val="center"/>
                </w:tcPr>
                <w:p w:rsidR="00000000" w:rsidDel="00000000" w:rsidP="00000000" w:rsidRDefault="00000000" w:rsidRPr="00000000" w14:paraId="0000004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Convenience; autonomy; reduced physical cues and rapport</w:t>
                  </w:r>
                </w:p>
              </w:tc>
            </w:tr>
            <w:tr>
              <w:trPr>
                <w:cantSplit w:val="0"/>
                <w:tblHeader w:val="0"/>
              </w:trPr>
              <w:tc>
                <w:tcPr>
                  <w:vAlign w:val="center"/>
                </w:tcPr>
                <w:p w:rsidR="00000000" w:rsidDel="00000000" w:rsidP="00000000" w:rsidRDefault="00000000" w:rsidRPr="00000000" w14:paraId="0000004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Safeguarding Features</w:t>
                  </w:r>
                  <w:r w:rsidDel="00000000" w:rsidR="00000000" w:rsidRPr="00000000">
                    <w:rPr>
                      <w:rtl w:val="0"/>
                    </w:rPr>
                  </w:r>
                </w:p>
              </w:tc>
              <w:tc>
                <w:tcPr>
                  <w:vAlign w:val="center"/>
                </w:tcPr>
                <w:p w:rsidR="00000000" w:rsidDel="00000000" w:rsidP="00000000" w:rsidRDefault="00000000" w:rsidRPr="00000000" w14:paraId="0000004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Audit trails, alerts, secure data sharing</w:t>
                  </w:r>
                </w:p>
              </w:tc>
              <w:tc>
                <w:tcPr>
                  <w:vAlign w:val="center"/>
                </w:tcPr>
                <w:p w:rsidR="00000000" w:rsidDel="00000000" w:rsidP="00000000" w:rsidRDefault="00000000" w:rsidRPr="00000000" w14:paraId="0000004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Remote risk assessment, privacy concerns, limited observational depth</w:t>
                  </w:r>
                </w:p>
              </w:tc>
            </w:tr>
            <w:tr>
              <w:trPr>
                <w:cantSplit w:val="0"/>
                <w:tblHeader w:val="0"/>
              </w:trPr>
              <w:tc>
                <w:tcPr>
                  <w:vAlign w:val="center"/>
                </w:tcPr>
                <w:p w:rsidR="00000000" w:rsidDel="00000000" w:rsidP="00000000" w:rsidRDefault="00000000" w:rsidRPr="00000000" w14:paraId="0000004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Professional Impact</w:t>
                  </w:r>
                  <w:r w:rsidDel="00000000" w:rsidR="00000000" w:rsidRPr="00000000">
                    <w:rPr>
                      <w:rtl w:val="0"/>
                    </w:rPr>
                  </w:r>
                </w:p>
              </w:tc>
              <w:tc>
                <w:tcPr>
                  <w:vAlign w:val="center"/>
                </w:tcPr>
                <w:p w:rsidR="00000000" w:rsidDel="00000000" w:rsidP="00000000" w:rsidRDefault="00000000" w:rsidRPr="00000000" w14:paraId="0000004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Enhanced workflow; training burden; data overload</w:t>
                  </w:r>
                </w:p>
              </w:tc>
              <w:tc>
                <w:tcPr>
                  <w:vAlign w:val="center"/>
                </w:tcPr>
                <w:p w:rsidR="00000000" w:rsidDel="00000000" w:rsidP="00000000" w:rsidRDefault="00000000" w:rsidRPr="00000000" w14:paraId="0000004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Flexibility, ethical dilemmas, and reduced interpersonal connections</w:t>
                  </w:r>
                </w:p>
              </w:tc>
            </w:tr>
          </w:tbl>
          <w:p w:rsidR="00000000" w:rsidDel="00000000" w:rsidP="00000000" w:rsidRDefault="00000000" w:rsidRPr="00000000" w14:paraId="0000004C">
            <w:pPr>
              <w:spacing w:after="0" w:line="360" w:lineRule="auto"/>
              <w:jc w:val="both"/>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04D">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pStyle w:val="Heading1"/>
        <w:numPr>
          <w:ilvl w:val="0"/>
          <w:numId w:val="1"/>
        </w:numPr>
        <w:spacing w:before="0" w:line="360" w:lineRule="auto"/>
        <w:ind w:left="720" w:hanging="720"/>
        <w:rPr/>
      </w:pPr>
      <w:bookmarkStart w:colFirst="0" w:colLast="0" w:name="_heading=h.rjp2cp4ztkv0" w:id="4"/>
      <w:bookmarkEnd w:id="4"/>
      <w:r w:rsidDel="00000000" w:rsidR="00000000" w:rsidRPr="00000000">
        <w:rPr>
          <w:rtl w:val="0"/>
        </w:rPr>
        <w:t xml:space="preserve">Conclusion</w:t>
      </w:r>
    </w:p>
    <w:p w:rsidR="00000000" w:rsidDel="00000000" w:rsidP="00000000" w:rsidRDefault="00000000" w:rsidRPr="00000000" w14:paraId="0000004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implementation of Electronic Health Records and Telehealth in the health and social care systems, there is a massive change in the way services are hosted, accessed, and secured. These information technologies provide effective means to the enhancement of coordination, the broadening of outreach, and better results. However, there are also opportunities that they pose, and which need to be overcome with clever design, welcoming policies, and career growth. To service users, the golden parachute of digital transformation should be accompanied by efforts to guarantee accessibility, cultural sensitivity, and privacy. In the case of professionals, implementation of new technologies is to be supported, trained, and oriented towards practicing the human side of care. Finally, digital transformation cannot be an end in itself, but an instrument towards improved care. Its success will rely on our talent for tapping into innovation without compromising values that contribute to compassionate and fair service.</w:t>
      </w:r>
    </w:p>
    <w:p w:rsidR="00000000" w:rsidDel="00000000" w:rsidP="00000000" w:rsidRDefault="00000000" w:rsidRPr="00000000" w14:paraId="00000050">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pStyle w:val="Heading1"/>
        <w:spacing w:before="0" w:line="360" w:lineRule="auto"/>
        <w:ind w:left="720" w:hanging="720"/>
        <w:rPr>
          <w:sz w:val="36"/>
          <w:szCs w:val="36"/>
        </w:rPr>
      </w:pPr>
      <w:bookmarkStart w:colFirst="0" w:colLast="0" w:name="_heading=h.wubputjd739g" w:id="5"/>
      <w:bookmarkEnd w:id="5"/>
      <w:r w:rsidDel="00000000" w:rsidR="00000000" w:rsidRPr="00000000">
        <w:rPr>
          <w:sz w:val="36"/>
          <w:szCs w:val="36"/>
          <w:rtl w:val="0"/>
        </w:rPr>
        <w:t xml:space="preserve">Reference list</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 Khatib, M.M., Alzoubi, H.M., Ahmed, G., Kazim, H.H., Falasi, S.A.A.A., Mohammed, F. and Mulla, M.A. (2022). Digital Transformation and SMART-The Analytics factor.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2022 International Conference on Business Analytics for Technology and Security (ICBATS)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doi: </w:t>
      </w:r>
      <w:hyperlink r:id="rId10">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https://doi.org/10.1109/icbats54253.2022.9759084</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Holmgren, A., Thombley, R., Sinsky, C.A. and Adler‐Milstein, J. (2023). Changes in Physician Electronic Health Record Use With the Expansion of Telemedicine.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JAMA Internal Medicine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doi: </w:t>
      </w:r>
      <w:hyperlink r:id="rId11">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https://doi.org/10.1001/jamainternmed.2023.5738</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Kraus, S., Schiavone, F., Pluzhnikova, A. and Invernizzi, A.C. (2021). Digital transformation in healthcare: Analyzing the current state-of-research.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Business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123(123), pp.557–567. doi: </w:t>
      </w:r>
      <w:hyperlink r:id="rId12">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https://doi.org/10.1016/j.jbusres.2020.10.030</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Massaro, M. (2021). Digital transformation in the healthcare sector through blockchain technology. Insights from academic research and business developments.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Technovation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120, p.102386. doi: </w:t>
      </w:r>
      <w:hyperlink r:id="rId13">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https://doi.org/10.1016/j.technovation.2021.102386</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Rogelj, V., Salaj, A.T. and Bogataj, D. (2021). Digital transformation of community health and social services for ageing cohorts.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IFAC-PapersOnLine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54(13), pp.756–761. doi: </w:t>
      </w:r>
      <w:hyperlink r:id="rId14">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https://doi.org/10.1016/j.ifacol.2021.10.543</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Shafik, W. (2023). Artificial intelligence and Blockchain technology enabling cybersecurity in telehealth systems.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Institution of Engineering and Technology eBooks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pp.285–326. doi: </w:t>
      </w:r>
      <w:hyperlink r:id="rId15">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https://doi.org/10.1049/pbhe061e_ch11</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Sheikh, A., Anderson, M., Albala, S., Casadei, B., Franklin, B., Richards, M., Taylor, D., Tibble, H. and Mossialos, E. (2021). Health Information Technology and Digital Innovation for National Learning Health and Care Systems.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Lancet Digital Health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3(6), pp.383–396. Available at: </w:t>
      </w:r>
      <w:hyperlink r:id="rId16">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https://www.thelancet.com/journals/landig/article/PIIS2589-7500(21)00005-4/fulltext</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Singh, S., Bhatt, P., Satish Kumar Sharma and S. Rabiu (2021). Digital Transformation in Healthcare: Innovation and Technologies.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CRC Press eBooks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pp.61–79. doi: </w:t>
      </w:r>
      <w:hyperlink r:id="rId17">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https://doi.org/10.1201/9781003141471-5</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Stoumpos, A.I., Kitsios, F. and Talias, M.A. (2023). Digital Transformation in healthcare: Technology Acceptance and Its Applications.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Environmental Research and Public Health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20(4). Available at: </w:t>
      </w:r>
      <w:hyperlink r:id="rId18">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https://www.mdpi.com/1660-4601/20/4/3407</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Zhang, X. and Saltman, R. (2021). Impact of electronic health records interoperability on telehealth service outcomes .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JMIR Medical Informatics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10(1). doi: </w:t>
      </w:r>
      <w:hyperlink r:id="rId19">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https://doi.org/10.2196/31837</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5E">
      <w:pPr>
        <w:spacing w:after="0" w:line="360" w:lineRule="auto"/>
        <w:ind w:left="720" w:hanging="720"/>
        <w:jc w:val="both"/>
        <w:rPr>
          <w:rFonts w:ascii="Times New Roman" w:cs="Times New Roman" w:eastAsia="Times New Roman" w:hAnsi="Times New Roman"/>
          <w:sz w:val="24"/>
          <w:szCs w:val="24"/>
        </w:rPr>
      </w:pPr>
      <w:r w:rsidDel="00000000" w:rsidR="00000000" w:rsidRPr="00000000">
        <w:rPr>
          <w:rtl w:val="0"/>
        </w:rPr>
      </w:r>
    </w:p>
    <w:sectPr>
      <w:type w:val="nextPage"/>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Digital Transformation in Health and Social Care</w:t>
    </w:r>
    <w:r w:rsidDel="00000000" w:rsidR="00000000" w:rsidRPr="00000000">
      <w:rPr>
        <w:rFonts w:ascii="Calibri" w:cs="Calibri" w:eastAsia="Calibri" w:hAnsi="Calibri"/>
        <w:b w:val="0"/>
        <w:i w:val="0"/>
        <w:smallCaps w:val="1"/>
        <w:strike w:val="0"/>
        <w:color w:val="808080"/>
        <w:sz w:val="20"/>
        <w:szCs w:val="20"/>
        <w:u w:val="none"/>
        <w:shd w:fill="auto" w:val="clear"/>
        <w:vertAlign w:val="baseline"/>
      </w:rPr>
      <mc:AlternateContent>
        <mc:Choice Requires="wpg">
          <w:drawing>
            <wp:anchor allowOverlap="1" behindDoc="0" distB="0" distT="0" distL="114300" distR="114300" hidden="0" layoutInCell="1" locked="0" relativeHeight="0" simplePos="0">
              <wp:simplePos x="0" y="0"/>
              <wp:positionH relativeFrom="page">
                <wp:posOffset>114300</wp:posOffset>
              </wp:positionH>
              <wp:positionV relativeFrom="page">
                <wp:posOffset>345440</wp:posOffset>
              </wp:positionV>
              <wp:extent cx="1700784" cy="1024128"/>
              <wp:effectExtent b="0" l="0" r="0" t="0"/>
              <wp:wrapNone/>
              <wp:docPr id="159" name=""/>
              <a:graphic>
                <a:graphicData uri="http://schemas.microsoft.com/office/word/2010/wordprocessingGroup">
                  <wpg:wgp>
                    <wpg:cNvGrpSpPr/>
                    <wpg:grpSpPr>
                      <a:xfrm>
                        <a:off x="4495600" y="2787825"/>
                        <a:ext cx="1700784" cy="1024128"/>
                        <a:chOff x="4495600" y="2787825"/>
                        <a:chExt cx="1700800" cy="1556900"/>
                      </a:xfrm>
                    </wpg:grpSpPr>
                    <wpg:grpSp>
                      <wpg:cNvGrpSpPr/>
                      <wpg:grpSpPr>
                        <a:xfrm>
                          <a:off x="4495608" y="3267936"/>
                          <a:ext cx="1700784" cy="1024128"/>
                          <a:chOff x="0" y="0"/>
                          <a:chExt cx="1700784" cy="1024128"/>
                        </a:xfrm>
                      </wpg:grpSpPr>
                      <wps:wsp>
                        <wps:cNvSpPr/>
                        <wps:cNvPr id="3" name="Shape 3"/>
                        <wps:spPr>
                          <a:xfrm>
                            <a:off x="0" y="0"/>
                            <a:ext cx="1700775" cy="10241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0" y="0"/>
                            <a:ext cx="1700784" cy="1024128"/>
                            <a:chOff x="0" y="0"/>
                            <a:chExt cx="1700784" cy="1024128"/>
                          </a:xfrm>
                        </wpg:grpSpPr>
                        <wps:wsp>
                          <wps:cNvSpPr/>
                          <wps:cNvPr id="5" name="Shape 5"/>
                          <wps:spPr>
                            <a:xfrm>
                              <a:off x="0" y="0"/>
                              <a:ext cx="1700784" cy="1024128"/>
                            </a:xfrm>
                            <a:prstGeom prst="rect">
                              <a:avLst/>
                            </a:prstGeom>
                            <a:solidFill>
                              <a:schemeClr val="lt1">
                                <a:alpha val="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228600" y="0"/>
                              <a:ext cx="1463040" cy="1014984"/>
                            </a:xfrm>
                            <a:custGeom>
                              <a:rect b="b" l="l" r="r" t="t"/>
                              <a:pathLst>
                                <a:path extrusionOk="0" h="1014481" w="1462822">
                                  <a:moveTo>
                                    <a:pt x="0" y="0"/>
                                  </a:moveTo>
                                  <a:lnTo>
                                    <a:pt x="1462822" y="0"/>
                                  </a:lnTo>
                                  <a:lnTo>
                                    <a:pt x="910372" y="376306"/>
                                  </a:lnTo>
                                  <a:lnTo>
                                    <a:pt x="0" y="1014481"/>
                                  </a:lnTo>
                                  <a:lnTo>
                                    <a:pt x="0" y="0"/>
                                  </a:lnTo>
                                  <a:close/>
                                </a:path>
                              </a:pathLst>
                            </a:custGeom>
                            <a:solidFill>
                              <a:schemeClr val="accent1"/>
                            </a:solidFill>
                            <a:ln>
                              <a:noFill/>
                            </a:ln>
                          </wps:spPr>
                          <wps:bodyPr anchorCtr="0" anchor="ctr" bIns="91425" lIns="91425" spcFirstLastPara="1" rIns="91425" wrap="square" tIns="91425">
                            <a:noAutofit/>
                          </wps:bodyPr>
                        </wps:wsp>
                        <wps:wsp>
                          <wps:cNvSpPr/>
                          <wps:cNvPr id="7" name="Shape 7"/>
                          <wps:spPr>
                            <a:xfrm>
                              <a:off x="228600" y="0"/>
                              <a:ext cx="1472184" cy="1024128"/>
                            </a:xfrm>
                            <a:prstGeom prst="rect">
                              <a:avLst/>
                            </a:prstGeom>
                            <a:blipFill rotWithShape="1">
                              <a:blip r:embed="rId1">
                                <a:alphaModFix/>
                              </a:blip>
                              <a:stretch>
                                <a:fillRect b="0" l="0" r="0" t="0"/>
                              </a:stretch>
                            </a:blip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s:wsp>
                        <wps:cNvSpPr/>
                        <wps:cNvPr id="8" name="Shape 8"/>
                        <wps:spPr>
                          <a:xfrm flipH="1">
                            <a:off x="237067" y="18942"/>
                            <a:ext cx="442824" cy="375285"/>
                          </a:xfrm>
                          <a:prstGeom prst="rect">
                            <a:avLst/>
                          </a:prstGeom>
                          <a:noFill/>
                          <a:ln>
                            <a:noFill/>
                          </a:ln>
                        </wps:spPr>
                        <wps:txbx>
                          <w:txbxContent>
                            <w:p w:rsidR="00000000" w:rsidDel="00000000" w:rsidP="00000000" w:rsidRDefault="00000000" w:rsidRPr="00000000">
                              <w:pPr>
                                <w:spacing w:after="0" w:before="0" w:line="240"/>
                                <w:ind w:left="0" w:right="0" w:firstLine="0"/>
                                <w:jc w:val="right"/>
                                <w:textDirection w:val="btLr"/>
                              </w:pPr>
                              <w:r w:rsidDel="00000000" w:rsidR="00000000" w:rsidRPr="00000000">
                                <w:rPr>
                                  <w:rFonts w:ascii="Arial" w:cs="Arial" w:eastAsia="Arial" w:hAnsi="Arial"/>
                                  <w:b w:val="0"/>
                                  <w:i w:val="0"/>
                                  <w:smallCaps w:val="0"/>
                                  <w:strike w:val="0"/>
                                  <w:color w:val="ffffff"/>
                                  <w:sz w:val="24"/>
                                  <w:vertAlign w:val="baseline"/>
                                </w:rPr>
                                <w:t xml:space="preserve"> PAGE   \* MERGEFORMAT 2</w:t>
                              </w: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page">
                <wp:posOffset>114300</wp:posOffset>
              </wp:positionH>
              <wp:positionV relativeFrom="page">
                <wp:posOffset>345440</wp:posOffset>
              </wp:positionV>
              <wp:extent cx="1700784" cy="1024128"/>
              <wp:effectExtent b="0" l="0" r="0" t="0"/>
              <wp:wrapNone/>
              <wp:docPr id="159" name="image3.png"/>
              <a:graphic>
                <a:graphicData uri="http://schemas.openxmlformats.org/drawingml/2006/picture">
                  <pic:pic>
                    <pic:nvPicPr>
                      <pic:cNvPr id="0" name="image3.png"/>
                      <pic:cNvPicPr preferRelativeResize="0"/>
                    </pic:nvPicPr>
                    <pic:blipFill>
                      <a:blip r:embed="rId2"/>
                      <a:srcRect/>
                      <a:stretch>
                        <a:fillRect/>
                      </a:stretch>
                    </pic:blipFill>
                    <pic:spPr>
                      <a:xfrm>
                        <a:off x="0" y="0"/>
                        <a:ext cx="1700784" cy="1024128"/>
                      </a:xfrm>
                      <a:prstGeom prst="rect"/>
                      <a:ln/>
                    </pic:spPr>
                  </pic:pic>
                </a:graphicData>
              </a:graphic>
            </wp:anchor>
          </w:drawing>
        </mc:Fallback>
      </mc:AlternateConten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720"/>
      </w:pPr>
      <w:rPr/>
    </w:lvl>
    <w:lvl w:ilvl="1">
      <w:start w:val="1"/>
      <w:numFmt w:val="decimal"/>
      <w:lvlText w:val="%2."/>
      <w:lvlJc w:val="left"/>
      <w:pPr>
        <w:ind w:left="1440" w:hanging="720"/>
      </w:pPr>
      <w:rPr/>
    </w:lvl>
    <w:lvl w:ilvl="2">
      <w:start w:val="1"/>
      <w:numFmt w:val="decimal"/>
      <w:lvlText w:val="%3."/>
      <w:lvlJc w:val="left"/>
      <w:pPr>
        <w:ind w:left="2160" w:hanging="720"/>
      </w:pPr>
      <w:rPr/>
    </w:lvl>
    <w:lvl w:ilvl="3">
      <w:start w:val="1"/>
      <w:numFmt w:val="decimal"/>
      <w:lvlText w:val="%4."/>
      <w:lvlJc w:val="left"/>
      <w:pPr>
        <w:ind w:left="2880" w:hanging="720"/>
      </w:pPr>
      <w:rPr/>
    </w:lvl>
    <w:lvl w:ilvl="4">
      <w:start w:val="1"/>
      <w:numFmt w:val="decimal"/>
      <w:lvlText w:val="%5."/>
      <w:lvlJc w:val="left"/>
      <w:pPr>
        <w:ind w:left="3600" w:hanging="720"/>
      </w:pPr>
      <w:rPr/>
    </w:lvl>
    <w:lvl w:ilvl="5">
      <w:start w:val="1"/>
      <w:numFmt w:val="decimal"/>
      <w:lvlText w:val="%6."/>
      <w:lvlJc w:val="left"/>
      <w:pPr>
        <w:ind w:left="4320" w:hanging="720"/>
      </w:pPr>
      <w:rPr/>
    </w:lvl>
    <w:lvl w:ilvl="6">
      <w:start w:val="1"/>
      <w:numFmt w:val="decimal"/>
      <w:lvlText w:val="%7."/>
      <w:lvlJc w:val="left"/>
      <w:pPr>
        <w:ind w:left="5040" w:hanging="720"/>
      </w:pPr>
      <w:rPr/>
    </w:lvl>
    <w:lvl w:ilvl="7">
      <w:start w:val="1"/>
      <w:numFmt w:val="decimal"/>
      <w:lvlText w:val="%8."/>
      <w:lvlJc w:val="left"/>
      <w:pPr>
        <w:ind w:left="5760" w:hanging="720"/>
      </w:pPr>
      <w:rPr/>
    </w:lvl>
    <w:lvl w:ilvl="8">
      <w:start w:val="1"/>
      <w:numFmt w:val="decimal"/>
      <w:lvlText w:val="%9."/>
      <w:lvlJc w:val="left"/>
      <w:pPr>
        <w:ind w:left="6480" w:hanging="72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ind w:left="720" w:hanging="720"/>
    </w:pPr>
    <w:rPr>
      <w:rFonts w:ascii="Times New Roman" w:cs="Times New Roman" w:eastAsia="Times New Roman" w:hAnsi="Times New Roman"/>
      <w:b w:val="1"/>
      <w:color w:val="000000"/>
      <w:sz w:val="32"/>
      <w:szCs w:val="32"/>
    </w:rPr>
  </w:style>
  <w:style w:type="paragraph" w:styleId="Heading2">
    <w:name w:val="heading 2"/>
    <w:basedOn w:val="Normal"/>
    <w:next w:val="Normal"/>
    <w:pPr>
      <w:keepNext w:val="1"/>
      <w:keepLines w:val="1"/>
      <w:spacing w:after="0" w:before="40" w:lineRule="auto"/>
      <w:ind w:left="576" w:hanging="576"/>
    </w:pPr>
    <w:rPr>
      <w:rFonts w:ascii="Times New Roman" w:cs="Times New Roman" w:eastAsia="Times New Roman" w:hAnsi="Times New Roman"/>
      <w:b w:val="1"/>
      <w:color w:val="000000"/>
      <w:sz w:val="28"/>
      <w:szCs w:val="28"/>
    </w:rPr>
  </w:style>
  <w:style w:type="paragraph" w:styleId="Heading3">
    <w:name w:val="heading 3"/>
    <w:basedOn w:val="Normal"/>
    <w:next w:val="Normal"/>
    <w:pPr>
      <w:keepNext w:val="1"/>
      <w:keepLines w:val="1"/>
      <w:spacing w:after="0" w:before="40" w:lineRule="auto"/>
      <w:ind w:left="720" w:hanging="720"/>
    </w:pPr>
    <w:rPr>
      <w:rFonts w:ascii="Times New Roman" w:cs="Times New Roman" w:eastAsia="Times New Roman" w:hAnsi="Times New Roman"/>
      <w:b w:val="1"/>
      <w:i w:val="1"/>
      <w:color w:val="000000"/>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3Char" w:customStyle="1">
    <w:name w:val="Heading 3 Char"/>
    <w:basedOn w:val="DefaultParagraphFont"/>
    <w:link w:val="Heading3"/>
    <w:uiPriority w:val="9"/>
    <w:rsid w:val="00380FBB"/>
    <w:rPr>
      <w:rFonts w:ascii="Times New Roman" w:hAnsi="Times New Roman" w:cstheme="majorBidi" w:eastAsiaTheme="majorEastAsia"/>
      <w:b w:val="1"/>
      <w:i w:val="1"/>
      <w:color w:val="000000" w:themeColor="text1"/>
      <w:sz w:val="24"/>
      <w:szCs w:val="24"/>
      <w:lang w:val="en-GB"/>
    </w:rPr>
  </w:style>
  <w:style w:type="character" w:styleId="Heading2Char" w:customStyle="1">
    <w:name w:val="Heading 2 Char"/>
    <w:basedOn w:val="DefaultParagraphFont"/>
    <w:link w:val="Heading2"/>
    <w:uiPriority w:val="9"/>
    <w:rsid w:val="00380FBB"/>
    <w:rPr>
      <w:rFonts w:ascii="Times New Roman" w:hAnsi="Times New Roman" w:cstheme="majorBidi" w:eastAsiaTheme="majorEastAsia"/>
      <w:b w:val="1"/>
      <w:color w:val="000000" w:themeColor="text1"/>
      <w:sz w:val="28"/>
      <w:szCs w:val="26"/>
      <w:lang w:val="en-GB"/>
    </w:rPr>
  </w:style>
  <w:style w:type="character" w:styleId="Heading1Char" w:customStyle="1">
    <w:name w:val="Heading 1 Char"/>
    <w:basedOn w:val="DefaultParagraphFont"/>
    <w:link w:val="Heading1"/>
    <w:uiPriority w:val="9"/>
    <w:rsid w:val="00380FBB"/>
    <w:rPr>
      <w:rFonts w:ascii="Times New Roman" w:hAnsi="Times New Roman" w:cstheme="majorBidi" w:eastAsiaTheme="majorEastAsia"/>
      <w:b w:val="1"/>
      <w:color w:val="000000" w:themeColor="text1"/>
      <w:sz w:val="32"/>
      <w:szCs w:val="32"/>
      <w:lang w:val="en-GB"/>
    </w:rPr>
  </w:style>
  <w:style w:type="paragraph" w:styleId="NormalWeb">
    <w:name w:val="Normal (Web)"/>
    <w:basedOn w:val="Normal"/>
    <w:uiPriority w:val="99"/>
    <w:semiHidden w:val="1"/>
    <w:unhideWhenUsed w:val="1"/>
    <w:rsid w:val="00B75B8D"/>
    <w:pPr>
      <w:spacing w:after="100" w:afterAutospacing="1" w:before="100" w:beforeAutospacing="1" w:line="240" w:lineRule="auto"/>
    </w:pPr>
    <w:rPr>
      <w:rFonts w:ascii="Times New Roman" w:cs="Times New Roman" w:eastAsia="Times New Roman" w:hAnsi="Times New Roman"/>
      <w:sz w:val="24"/>
      <w:szCs w:val="24"/>
      <w:lang w:val="en-US"/>
    </w:rPr>
  </w:style>
  <w:style w:type="character" w:styleId="Hyperlink">
    <w:name w:val="Hyperlink"/>
    <w:basedOn w:val="DefaultParagraphFont"/>
    <w:uiPriority w:val="99"/>
    <w:unhideWhenUsed w:val="1"/>
    <w:rsid w:val="00B75B8D"/>
    <w:rPr>
      <w:color w:val="0563c1" w:themeColor="hyperlink"/>
      <w:u w:val="single"/>
    </w:rPr>
  </w:style>
  <w:style w:type="character" w:styleId="UnresolvedMention">
    <w:name w:val="Unresolved Mention"/>
    <w:basedOn w:val="DefaultParagraphFont"/>
    <w:uiPriority w:val="99"/>
    <w:semiHidden w:val="1"/>
    <w:unhideWhenUsed w:val="1"/>
    <w:rsid w:val="00B75B8D"/>
    <w:rPr>
      <w:color w:val="605e5c"/>
      <w:shd w:color="auto" w:fill="e1dfdd" w:val="clear"/>
    </w:rPr>
  </w:style>
  <w:style w:type="paragraph" w:styleId="Header">
    <w:name w:val="header"/>
    <w:basedOn w:val="Normal"/>
    <w:link w:val="HeaderChar"/>
    <w:uiPriority w:val="99"/>
    <w:unhideWhenUsed w:val="1"/>
    <w:rsid w:val="00C24976"/>
    <w:pPr>
      <w:tabs>
        <w:tab w:val="center" w:pos="4680"/>
        <w:tab w:val="right" w:pos="9360"/>
      </w:tabs>
      <w:spacing w:after="0" w:line="240" w:lineRule="auto"/>
    </w:pPr>
  </w:style>
  <w:style w:type="character" w:styleId="HeaderChar" w:customStyle="1">
    <w:name w:val="Header Char"/>
    <w:basedOn w:val="DefaultParagraphFont"/>
    <w:link w:val="Header"/>
    <w:uiPriority w:val="99"/>
    <w:rsid w:val="00C24976"/>
    <w:rPr>
      <w:lang w:val="en-GB"/>
    </w:rPr>
  </w:style>
  <w:style w:type="paragraph" w:styleId="Footer">
    <w:name w:val="footer"/>
    <w:basedOn w:val="Normal"/>
    <w:link w:val="FooterChar"/>
    <w:uiPriority w:val="99"/>
    <w:unhideWhenUsed w:val="1"/>
    <w:rsid w:val="00C24976"/>
    <w:pPr>
      <w:tabs>
        <w:tab w:val="center" w:pos="4680"/>
        <w:tab w:val="right" w:pos="9360"/>
      </w:tabs>
      <w:spacing w:after="0" w:line="240" w:lineRule="auto"/>
    </w:pPr>
  </w:style>
  <w:style w:type="character" w:styleId="FooterChar" w:customStyle="1">
    <w:name w:val="Footer Char"/>
    <w:basedOn w:val="DefaultParagraphFont"/>
    <w:link w:val="Footer"/>
    <w:uiPriority w:val="99"/>
    <w:rsid w:val="00C24976"/>
    <w:rPr>
      <w:lang w:val="en-GB"/>
    </w:rPr>
  </w:style>
  <w:style w:type="paragraph" w:styleId="Caption">
    <w:name w:val="caption"/>
    <w:basedOn w:val="Normal"/>
    <w:next w:val="Normal"/>
    <w:uiPriority w:val="35"/>
    <w:unhideWhenUsed w:val="1"/>
    <w:qFormat w:val="1"/>
    <w:rsid w:val="00232CC5"/>
    <w:pPr>
      <w:spacing w:after="200" w:line="240" w:lineRule="auto"/>
    </w:pPr>
    <w:rPr>
      <w:i w:val="1"/>
      <w:iCs w:val="1"/>
      <w:color w:val="44546a" w:themeColor="text2"/>
      <w:sz w:val="18"/>
      <w:szCs w:val="18"/>
    </w:rPr>
  </w:style>
  <w:style w:type="paragraph" w:styleId="TOCHeading">
    <w:name w:val="TOC Heading"/>
    <w:basedOn w:val="Heading1"/>
    <w:next w:val="Normal"/>
    <w:uiPriority w:val="39"/>
    <w:unhideWhenUsed w:val="1"/>
    <w:qFormat w:val="1"/>
    <w:rsid w:val="00232CC5"/>
    <w:pPr>
      <w:numPr>
        <w:numId w:val="0"/>
      </w:numPr>
      <w:outlineLvl w:val="9"/>
    </w:pPr>
    <w:rPr>
      <w:rFonts w:asciiTheme="majorHAnsi" w:hAnsiTheme="majorHAnsi"/>
      <w:b w:val="0"/>
      <w:color w:val="2f5496" w:themeColor="accent1" w:themeShade="0000BF"/>
      <w:lang w:val="en-US"/>
    </w:rPr>
  </w:style>
  <w:style w:type="paragraph" w:styleId="TOC1">
    <w:name w:val="toc 1"/>
    <w:basedOn w:val="Normal"/>
    <w:next w:val="Normal"/>
    <w:autoRedefine w:val="1"/>
    <w:uiPriority w:val="39"/>
    <w:unhideWhenUsed w:val="1"/>
    <w:rsid w:val="00232CC5"/>
    <w:pPr>
      <w:spacing w:after="10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5.0" w:type="dxa"/>
        <w:left w:w="15.0" w:type="dxa"/>
        <w:bottom w:w="15.0" w:type="dxa"/>
        <w:right w:w="15.0" w:type="dxa"/>
      </w:tblCellMar>
    </w:tblPr>
  </w:style>
  <w:style w:type="table" w:styleId="Table2">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001/jamainternmed.2023.5738" TargetMode="External"/><Relationship Id="rId10" Type="http://schemas.openxmlformats.org/officeDocument/2006/relationships/hyperlink" Target="https://doi.org/10.1109/icbats54253.2022.9759084" TargetMode="External"/><Relationship Id="rId13" Type="http://schemas.openxmlformats.org/officeDocument/2006/relationships/hyperlink" Target="https://doi.org/10.1016/j.technovation.2021.102386" TargetMode="External"/><Relationship Id="rId12" Type="http://schemas.openxmlformats.org/officeDocument/2006/relationships/hyperlink" Target="https://doi.org/10.1016/j.jbusres.2020.10.03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5" Type="http://schemas.openxmlformats.org/officeDocument/2006/relationships/hyperlink" Target="https://doi.org/10.1049/pbhe061e_ch11" TargetMode="External"/><Relationship Id="rId14" Type="http://schemas.openxmlformats.org/officeDocument/2006/relationships/hyperlink" Target="https://doi.org/10.1016/j.ifacol.2021.10.543" TargetMode="External"/><Relationship Id="rId17" Type="http://schemas.openxmlformats.org/officeDocument/2006/relationships/hyperlink" Target="https://doi.org/10.1201/9781003141471-5" TargetMode="External"/><Relationship Id="rId16" Type="http://schemas.openxmlformats.org/officeDocument/2006/relationships/hyperlink" Target="https://www.thelancet.com/journals/landig/article/PIIS2589-7500(21)00005-4/fulltext" TargetMode="External"/><Relationship Id="rId5" Type="http://schemas.openxmlformats.org/officeDocument/2006/relationships/styles" Target="styles.xml"/><Relationship Id="rId19" Type="http://schemas.openxmlformats.org/officeDocument/2006/relationships/hyperlink" Target="https://doi.org/10.2196/31837" TargetMode="External"/><Relationship Id="rId6" Type="http://schemas.openxmlformats.org/officeDocument/2006/relationships/customXml" Target="../customXML/item1.xml"/><Relationship Id="rId18" Type="http://schemas.openxmlformats.org/officeDocument/2006/relationships/hyperlink" Target="https://www.mdpi.com/1660-4601/20/4/3407" TargetMode="External"/><Relationship Id="rId7" Type="http://schemas.openxmlformats.org/officeDocument/2006/relationships/image" Target="media/image2.png"/><Relationship Id="rId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 Id="rId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Hrq6W3WngV4SHOQUhpdFKgdz5g==">CgMxLjAyDWguNHpzdTgzZXNsYnMyDmguZW54aWppNGwwOTI0Mg5oLjdwbTE5eWo5aHQ5MDIOaC5qdjV2bDBnNjR4NTUyDmgucmpwMmNwNHp0a3YwMg5oLnd1YnB1dGpkNzM5ZzgAciExWF9TMko0WnFsNHIyeFBFdmRha2FMdHhUVENHaWN4SGo=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2025-10-03T12:02:00Z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c99a2ec9-0246-446d-bbf7-43cf9ffe2dbe</vt:lpwstr>
  </property>
</Properties>
</file>