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pPr>
      <w:r>
        <mc:AlternateContent>
          <mc:Choice Requires="wpg">
            <w:drawing>
              <wp:inline distT="0" distB="0" distL="0" distR="0">
                <wp:extent cx="2306778" cy="1284110"/>
                <wp:effectExtent l="0" t="0" r="0" b="0"/>
                <wp:docPr id="1073741827" name="officeArt object" descr="officeArt object"/>
                <wp:cNvGraphicFramePr/>
                <a:graphic xmlns:a="http://schemas.openxmlformats.org/drawingml/2006/main">
                  <a:graphicData uri="http://schemas.microsoft.com/office/word/2010/wordprocessingGroup">
                    <wpg:wgp>
                      <wpg:cNvGrpSpPr/>
                      <wpg:grpSpPr>
                        <a:xfrm>
                          <a:off x="0" y="0"/>
                          <a:ext cx="2306778" cy="1284110"/>
                          <a:chOff x="0" y="0"/>
                          <a:chExt cx="2306777" cy="1284109"/>
                        </a:xfrm>
                      </wpg:grpSpPr>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92583" y="58916"/>
                            <a:ext cx="2121612" cy="1031610"/>
                          </a:xfrm>
                          <a:prstGeom prst="rect">
                            <a:avLst/>
                          </a:prstGeom>
                          <a:ln w="12700" cap="flat">
                            <a:noFill/>
                            <a:miter lim="400000"/>
                          </a:ln>
                          <a:effectLst/>
                        </pic:spPr>
                      </pic:pic>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2306778" cy="1284111"/>
                          </a:xfrm>
                          <a:prstGeom prst="rect">
                            <a:avLst/>
                          </a:prstGeom>
                          <a:ln w="12700" cap="flat">
                            <a:noFill/>
                            <a:miter lim="400000"/>
                          </a:ln>
                          <a:effectLst/>
                        </pic:spPr>
                      </pic:pic>
                    </wpg:wgp>
                  </a:graphicData>
                </a:graphic>
              </wp:inline>
            </w:drawing>
          </mc:Choice>
          <mc:Fallback>
            <w:pict>
              <v:group id="_x0000_s1026" style="visibility:visible;width:181.6pt;height:101.1pt;" coordorigin="0,0" coordsize="2306777,1284110">
                <v:shape id="_x0000_s1027" type="#_x0000_t75" style="position:absolute;left:92583;top:58916;width:2121611;height:1031610;">
                  <v:imagedata r:id="rId4" o:title="image1.png"/>
                </v:shape>
                <v:shape id="_x0000_s1028" type="#_x0000_t75" style="position:absolute;left:0;top:0;width:2306777;height:1284110;">
                  <v:imagedata r:id="rId5" o:title="image2.png"/>
                </v:shape>
              </v:group>
            </w:pict>
          </mc:Fallback>
        </mc:AlternateContent>
      </w:r>
    </w:p>
    <w:p>
      <w:pPr>
        <w:pStyle w:val="Title"/>
        <w:rPr>
          <w:del w:id="0" w:date="2024-11-30T13:03:47Z" w:author="Brindusa Ciobanu"/>
          <w:u w:val="single"/>
        </w:rPr>
      </w:pPr>
    </w:p>
    <w:p>
      <w:pPr>
        <w:pStyle w:val="heading 4"/>
        <w:keepNext w:val="0"/>
        <w:keepLines w:val="0"/>
        <w:spacing w:before="120" w:after="120" w:line="360" w:lineRule="auto"/>
        <w:jc w:val="center"/>
        <w:outlineLvl w:val="9"/>
        <w:rPr>
          <w:rFonts w:ascii="Times New Roman" w:hAnsi="Times New Roman"/>
          <w:i w:val="0"/>
          <w:iCs w:val="0"/>
          <w:outline w:val="0"/>
          <w:color w:val="000000"/>
          <w:u w:val="single" w:color="000000"/>
          <w14:textOutline w14:w="12700" w14:cap="flat">
            <w14:noFill/>
            <w14:miter w14:lim="400000"/>
          </w14:textOutline>
          <w14:textFill>
            <w14:solidFill>
              <w14:srgbClr w14:val="000000"/>
            </w14:solidFill>
          </w14:textFill>
        </w:rPr>
      </w:pPr>
    </w:p>
    <w:p>
      <w:pPr>
        <w:pStyle w:val="heading 4"/>
        <w:keepNext w:val="0"/>
        <w:keepLines w:val="0"/>
        <w:spacing w:before="120" w:after="120" w:line="360" w:lineRule="auto"/>
        <w:jc w:val="center"/>
        <w:outlineLvl w:val="9"/>
        <w:rPr>
          <w:rFonts w:ascii="Times New Roman" w:hAnsi="Times New Roman"/>
          <w:i w:val="0"/>
          <w:iCs w:val="0"/>
          <w:outline w:val="0"/>
          <w:color w:val="000000"/>
          <w:u w:val="single" w:color="000000"/>
          <w14:textOutline w14:w="12700" w14:cap="flat">
            <w14:noFill/>
            <w14:miter w14:lim="400000"/>
          </w14:textOutline>
          <w14:textFill>
            <w14:solidFill>
              <w14:srgbClr w14:val="000000"/>
            </w14:solidFill>
          </w14:textFill>
        </w:rPr>
      </w:pPr>
    </w:p>
    <w:p>
      <w:pPr>
        <w:pStyle w:val="heading 4"/>
        <w:keepNext w:val="0"/>
        <w:keepLines w:val="0"/>
        <w:spacing w:before="120" w:after="120" w:line="360" w:lineRule="auto"/>
        <w:jc w:val="center"/>
        <w:outlineLvl w:val="9"/>
        <w:rPr>
          <w:rFonts w:ascii="Times New Roman" w:cs="Times New Roman" w:hAnsi="Times New Roman" w:eastAsia="Times New Roman"/>
          <w:i w:val="0"/>
          <w:iCs w:val="0"/>
          <w:outline w:val="0"/>
          <w:color w:val="000000"/>
          <w:sz w:val="44"/>
          <w:szCs w:val="44"/>
          <w:u w:color="000000"/>
          <w14:textOutline w14:w="12700" w14:cap="flat">
            <w14:noFill/>
            <w14:miter w14:lim="400000"/>
          </w14:textOutline>
          <w14:textFill>
            <w14:solidFill>
              <w14:srgbClr w14:val="000000"/>
            </w14:solidFill>
          </w14:textFill>
        </w:rPr>
      </w:pPr>
      <w:bookmarkStart w:name="_Toc" w:id="1"/>
      <w:del w:id="2" w:date="2024-11-30T13:21:00Z" w:author="Brindusa Ciobanu">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delText>Accounting Fundamentals LCBB</w:delText>
        </w:r>
      </w:del>
      <w:del w:id="3" w:date="2024-11-30T13:21:00Z" w:author="Brindusa Ciobanu">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delText xml:space="preserve">5000 </w:delText>
        </w:r>
      </w:del>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DATA HANDLING AND BUSINESS INTELLIGENCE</w:t>
      </w:r>
      <w:del w:id="4" w:date="2024-11-30T13:19:38Z" w:author="Brindusa Ciobanu">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delText>4001</w:delText>
        </w:r>
      </w:del>
      <w:r>
        <w:rPr>
          <w:rFonts w:ascii="Times New Roman" w:hAnsi="Times New Roman"/>
          <w:i w:val="0"/>
          <w:iCs w:val="0"/>
          <w:outline w:val="0"/>
          <w:color w:val="000000"/>
          <w:u w:color="000000"/>
          <w:rtl w:val="0"/>
          <w14:textOutline w14:w="12700" w14:cap="flat">
            <w14:noFill/>
            <w14:miter w14:lim="400000"/>
          </w14:textOutline>
          <w14:textFill>
            <w14:solidFill>
              <w14:srgbClr w14:val="000000"/>
            </w14:solidFill>
          </w14:textFill>
        </w:rPr>
        <w:t xml:space="preserve"> </w:t>
      </w:r>
      <w:ins w:id="5" w:date="2024-11-30T13:21:10Z" w:author="Brindusa Ciobanu">
        <w:r>
          <w:rPr>
            <w:rFonts w:ascii="Times New Roman" w:hAnsi="Times New Roman"/>
            <w:i w:val="0"/>
            <w:iCs w:val="0"/>
            <w:outline w:val="0"/>
            <w:color w:val="000000"/>
            <w:u w:color="000000"/>
            <w:rtl w:val="0"/>
            <w:lang w:val="en-US"/>
            <w14:textOutline w14:w="12700" w14:cap="flat">
              <w14:noFill/>
              <w14:miter w14:lim="400000"/>
            </w14:textOutline>
            <w14:textFill>
              <w14:solidFill>
                <w14:srgbClr w14:val="000000"/>
              </w14:solidFill>
            </w14:textFill>
          </w:rPr>
          <w:t xml:space="preserve"> </w:t>
        </w:r>
      </w:ins>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LCBB</w:t>
      </w:r>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5000</w:t>
      </w:r>
      <w:bookmarkEnd w:id="1"/>
    </w:p>
    <w:p>
      <w:pPr>
        <w:pStyle w:val="heading 4"/>
        <w:keepNext w:val="0"/>
        <w:keepLines w:val="0"/>
        <w:spacing w:before="120" w:after="120" w:line="360" w:lineRule="auto"/>
        <w:jc w:val="center"/>
        <w:outlineLvl w:val="9"/>
        <w:rPr>
          <w:rFonts w:ascii="Times New Roman" w:cs="Times New Roman" w:hAnsi="Times New Roman" w:eastAsia="Times New Roman"/>
          <w:i w:val="0"/>
          <w:iCs w:val="0"/>
          <w:outline w:val="0"/>
          <w:color w:val="000000"/>
          <w:sz w:val="44"/>
          <w:szCs w:val="44"/>
          <w:u w:color="000000"/>
          <w14:textOutline w14:w="12700" w14:cap="flat">
            <w14:noFill/>
            <w14:miter w14:lim="400000"/>
          </w14:textOutline>
          <w14:textFill>
            <w14:solidFill>
              <w14:srgbClr w14:val="000000"/>
            </w14:solidFill>
          </w14:textFill>
        </w:rPr>
      </w:pPr>
      <w:bookmarkStart w:name="_Toc1" w:id="6"/>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Component 1</w:t>
      </w:r>
      <w:bookmarkEnd w:id="6"/>
    </w:p>
    <w:p>
      <w:pPr>
        <w:pStyle w:val="heading 4"/>
        <w:keepNext w:val="0"/>
        <w:keepLines w:val="0"/>
        <w:spacing w:before="120" w:after="120" w:line="360" w:lineRule="auto"/>
        <w:jc w:val="center"/>
        <w:outlineLvl w:val="9"/>
        <w:rPr>
          <w:rFonts w:ascii="Times New Roman" w:cs="Times New Roman" w:hAnsi="Times New Roman" w:eastAsia="Times New Roman"/>
          <w:i w:val="0"/>
          <w:iCs w:val="0"/>
          <w:outline w:val="0"/>
          <w:color w:val="000000"/>
          <w:sz w:val="44"/>
          <w:szCs w:val="44"/>
          <w:u w:color="000000"/>
          <w14:textOutline w14:w="12700" w14:cap="flat">
            <w14:noFill/>
            <w14:miter w14:lim="400000"/>
          </w14:textOutline>
          <w14:textFill>
            <w14:solidFill>
              <w14:srgbClr w14:val="000000"/>
            </w14:solidFill>
          </w14:textFill>
        </w:rPr>
      </w:pPr>
      <w:bookmarkStart w:name="_Toc2" w:id="7"/>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Coursework:</w:t>
      </w:r>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t xml:space="preserve"> Written report</w:t>
      </w:r>
      <w:del w:id="8" w:date="2024-11-30T13:21:34Z" w:author="Brindusa Ciobanu">
        <w:r>
          <w:rPr>
            <w:rFonts w:ascii="Times New Roman" w:hAnsi="Times New Roman"/>
            <w:i w:val="0"/>
            <w:iCs w:val="0"/>
            <w:outline w:val="0"/>
            <w:color w:val="000000"/>
            <w:sz w:val="44"/>
            <w:szCs w:val="44"/>
            <w:u w:color="000000"/>
            <w:rtl w:val="0"/>
            <w:lang w:val="en-US"/>
            <w14:textOutline w14:w="12700" w14:cap="flat">
              <w14:noFill/>
              <w14:miter w14:lim="400000"/>
            </w14:textOutline>
            <w14:textFill>
              <w14:solidFill>
                <w14:srgbClr w14:val="000000"/>
              </w14:solidFill>
            </w14:textFill>
          </w:rPr>
          <w:delText xml:space="preserve"> Essay</w:delText>
        </w:r>
      </w:del>
      <w:bookmarkEnd w:id="7"/>
    </w:p>
    <w:p>
      <w:pPr>
        <w:pStyle w:val="Default"/>
        <w:bidi w:val="0"/>
        <w:spacing w:after="160" w:line="259" w:lineRule="auto"/>
        <w:ind w:left="0" w:right="0" w:firstLine="0"/>
        <w:jc w:val="left"/>
        <w:rPr>
          <w:sz w:val="44"/>
          <w:szCs w:val="44"/>
          <w:u w:color="000000"/>
          <w:rtl w:val="0"/>
          <w:lang w:val="en-US"/>
          <w14:textOutline w14:w="12700" w14:cap="flat">
            <w14:noFill/>
            <w14:miter w14:lim="400000"/>
          </w14:textOutline>
        </w:rPr>
      </w:pPr>
    </w:p>
    <w:p>
      <w:pPr>
        <w:pStyle w:val="Default"/>
        <w:bidi w:val="0"/>
        <w:spacing w:after="160" w:line="259" w:lineRule="auto"/>
        <w:ind w:left="0" w:right="0" w:firstLine="0"/>
        <w:jc w:val="left"/>
        <w:rPr>
          <w:sz w:val="44"/>
          <w:szCs w:val="44"/>
          <w:u w:color="000000"/>
          <w:rtl w:val="0"/>
          <w:lang w:val="en-US"/>
          <w14:textOutline w14:w="12700" w14:cap="flat">
            <w14:noFill/>
            <w14:miter w14:lim="400000"/>
          </w14:textOutline>
        </w:rPr>
      </w:pPr>
    </w:p>
    <w:p>
      <w:pPr>
        <w:pStyle w:val="Default"/>
        <w:bidi w:val="0"/>
        <w:spacing w:after="160" w:line="259" w:lineRule="auto"/>
        <w:ind w:left="0" w:right="0" w:firstLine="0"/>
        <w:jc w:val="left"/>
        <w:rPr>
          <w:i w:val="1"/>
          <w:iCs w:val="1"/>
          <w:outline w:val="0"/>
          <w:color w:val="1d2228"/>
          <w:sz w:val="26"/>
          <w:szCs w:val="26"/>
          <w:u w:color="1d2228"/>
          <w:shd w:val="clear" w:color="auto" w:fill="ffffff"/>
          <w:rtl w:val="0"/>
          <w14:textOutline w14:w="12700" w14:cap="flat">
            <w14:noFill/>
            <w14:miter w14:lim="400000"/>
          </w14:textOutline>
          <w14:textFill>
            <w14:solidFill>
              <w14:srgbClr w14:val="1D2228"/>
            </w14:solidFill>
          </w14:textFill>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 xml:space="preserve">Student name: Brindusa-Mihaela Ciobanu   </w:t>
      </w:r>
    </w:p>
    <w:p>
      <w:pPr>
        <w:pStyle w:val="Default"/>
        <w:bidi w:val="0"/>
        <w:spacing w:after="160" w:line="259" w:lineRule="auto"/>
        <w:ind w:left="0" w:right="0" w:firstLine="0"/>
        <w:jc w:val="left"/>
        <w:rPr>
          <w:u w:color="000000"/>
          <w:rtl w:val="0"/>
          <w14:textOutline w14:w="12700" w14:cap="flat">
            <w14:noFill/>
            <w14:miter w14:lim="400000"/>
          </w14:textOutline>
        </w:rPr>
      </w:pPr>
      <w:r>
        <w:rPr>
          <w:i w:val="1"/>
          <w:iCs w:val="1"/>
          <w:outline w:val="0"/>
          <w:color w:val="1d2228"/>
          <w:sz w:val="26"/>
          <w:szCs w:val="26"/>
          <w:u w:color="1d2228"/>
          <w:shd w:val="clear" w:color="auto" w:fill="ffffff"/>
          <w:rtl w:val="0"/>
          <w:lang w:val="en-US"/>
          <w14:textOutline w14:w="12700" w14:cap="flat">
            <w14:noFill/>
            <w14:miter w14:lim="400000"/>
          </w14:textOutline>
          <w14:textFill>
            <w14:solidFill>
              <w14:srgbClr w14:val="1D2228"/>
            </w14:solidFill>
          </w14:textFill>
        </w:rPr>
        <w:t>Student ID: 2247469</w:t>
      </w:r>
    </w:p>
    <w:p>
      <w:pPr>
        <w:pStyle w:val="Body"/>
        <w:rPr>
          <w:lang w:val="en-US"/>
        </w:rPr>
      </w:pPr>
    </w:p>
    <w:p>
      <w:pPr>
        <w:pStyle w:val="Body"/>
        <w:rPr>
          <w:lang w:val="en-US"/>
        </w:rPr>
      </w:pPr>
    </w:p>
    <w:p>
      <w:pPr>
        <w:pStyle w:val="Title"/>
      </w:pPr>
    </w:p>
    <w:p>
      <w:pPr>
        <w:pStyle w:val="Title"/>
      </w:pPr>
      <w:r>
        <w:rPr>
          <w:u w:val="single"/>
          <w:rtl w:val="0"/>
          <w:lang w:val="en-US"/>
        </w:rPr>
        <w:t>Real Estate Business Concepts: Transportation Industry of Short-Term</w:t>
      </w:r>
      <w:r>
        <w:rPr>
          <w:u w:val="single"/>
          <w:rtl w:val="0"/>
          <w:lang w:val="en-US"/>
        </w:rPr>
        <w:t xml:space="preserve"> </w:t>
      </w:r>
      <w:r>
        <w:rPr>
          <w:u w:val="single"/>
          <w:rtl w:val="0"/>
          <w:lang w:val="en-US"/>
        </w:rPr>
        <w:t>Rental The Case of TIR Operations</w:t>
      </w: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rPr>
          <w:lang w:val="en-US"/>
        </w:rPr>
      </w:pPr>
    </w:p>
    <w:p>
      <w:pPr>
        <w:pStyle w:val="Body"/>
      </w:pPr>
    </w:p>
    <w:p>
      <w:pPr>
        <w:pStyle w:val="Body"/>
      </w:pPr>
    </w:p>
    <w:p>
      <w:pPr>
        <w:pStyle w:val="Body"/>
      </w:pPr>
    </w:p>
    <w:p>
      <w:pPr>
        <w:pStyle w:val="Body"/>
        <w:rPr>
          <w:u w:val="single"/>
        </w:rPr>
      </w:pPr>
      <w:r>
        <w:rPr>
          <w:u w:val="single"/>
          <w:rtl w:val="0"/>
          <w:lang w:val="en-US"/>
        </w:rPr>
        <w:t>Contents</w:t>
      </w:r>
    </w:p>
    <w:p>
      <w:pPr>
        <w:pStyle w:val="toc 2.0"/>
        <w:tabs>
          <w:tab w:val="right" w:pos="9340" w:leader="dot"/>
        </w:tabs>
      </w:pPr>
      <w:r>
        <w:rPr>
          <w:u w:val="single"/>
        </w:rPr>
        <w:fldChar w:fldCharType="begin" w:fldLock="0"/>
      </w:r>
      <w:r>
        <w:rPr>
          <w:u w:val="single"/>
        </w:rPr>
        <w:instrText xml:space="preserve"> TOC \o 2-2 \t "heading 4, 3"</w:instrText>
      </w:r>
      <w:r>
        <w:rPr>
          <w:u w:val="single"/>
        </w:rPr>
        <w:fldChar w:fldCharType="separate" w:fldLock="0"/>
      </w:r>
    </w:p>
    <w:p>
      <w:pPr>
        <w:pStyle w:val="TOC 3"/>
        <w:bidi w:val="0"/>
      </w:pPr>
      <w:r>
        <w:rPr>
          <w:rFonts w:cs="Arial Unicode MS" w:eastAsia="Arial Unicode MS"/>
          <w:rtl w:val="0"/>
          <w:lang w:val="en-US"/>
        </w:rPr>
        <w:t>DATA HANDLING AND BUSINESS INTELLIGENCE  LCBB5000</w:t>
        <w:tab/>
      </w:r>
      <w:r>
        <w:rPr/>
        <w:fldChar w:fldCharType="begin" w:fldLock="0"/>
      </w:r>
      <w:r>
        <w:instrText xml:space="preserve"> PAGEREF _Toc \h </w:instrText>
      </w:r>
      <w:r>
        <w:rPr/>
        <w:fldChar w:fldCharType="separate" w:fldLock="0"/>
      </w:r>
      <w:r>
        <w:rPr>
          <w:rFonts w:cs="Arial Unicode MS" w:eastAsia="Arial Unicode MS"/>
          <w:rtl w:val="0"/>
        </w:rPr>
        <w:t>1</w:t>
      </w:r>
      <w:r>
        <w:rPr/>
        <w:fldChar w:fldCharType="end" w:fldLock="0"/>
      </w:r>
    </w:p>
    <w:p>
      <w:pPr>
        <w:pStyle w:val="TOC 3"/>
        <w:bidi w:val="0"/>
      </w:pPr>
      <w:r>
        <w:rPr>
          <w:rFonts w:cs="Arial Unicode MS" w:eastAsia="Arial Unicode MS"/>
          <w:rtl w:val="0"/>
          <w:lang w:val="en-US"/>
        </w:rPr>
        <w:t>Component 1</w:t>
        <w:tab/>
      </w:r>
      <w:r>
        <w:rPr/>
        <w:fldChar w:fldCharType="begin" w:fldLock="0"/>
      </w:r>
      <w:r>
        <w:instrText xml:space="preserve"> PAGEREF _Toc1 \h </w:instrText>
      </w:r>
      <w:r>
        <w:rPr/>
        <w:fldChar w:fldCharType="separate" w:fldLock="0"/>
      </w:r>
      <w:r>
        <w:rPr>
          <w:rFonts w:cs="Arial Unicode MS" w:eastAsia="Arial Unicode MS"/>
          <w:rtl w:val="0"/>
        </w:rPr>
        <w:t>1</w:t>
      </w:r>
      <w:r>
        <w:rPr/>
        <w:fldChar w:fldCharType="end" w:fldLock="0"/>
      </w:r>
    </w:p>
    <w:p>
      <w:pPr>
        <w:pStyle w:val="TOC 3"/>
        <w:bidi w:val="0"/>
      </w:pPr>
      <w:r>
        <w:rPr>
          <w:rFonts w:cs="Arial Unicode MS" w:eastAsia="Arial Unicode MS"/>
          <w:rtl w:val="0"/>
          <w:lang w:val="en-US"/>
        </w:rPr>
        <w:t>Coursework: Written report</w:t>
        <w:tab/>
      </w:r>
      <w:r>
        <w:rPr/>
        <w:fldChar w:fldCharType="begin" w:fldLock="0"/>
      </w:r>
      <w:r>
        <w:instrText xml:space="preserve"> PAGEREF _Toc2 \h </w:instrText>
      </w:r>
      <w:r>
        <w:rPr/>
        <w:fldChar w:fldCharType="separate" w:fldLock="0"/>
      </w:r>
      <w:r>
        <w:rPr>
          <w:rFonts w:cs="Arial Unicode MS" w:eastAsia="Arial Unicode MS"/>
          <w:rtl w:val="0"/>
        </w:rPr>
        <w:t>1</w:t>
      </w:r>
      <w:r>
        <w:rPr/>
        <w:fldChar w:fldCharType="end" w:fldLock="0"/>
      </w:r>
    </w:p>
    <w:p>
      <w:pPr>
        <w:pStyle w:val="TOC 2"/>
      </w:pPr>
      <w:r>
        <w:rPr>
          <w:rtl w:val="0"/>
        </w:rPr>
        <w:t>Introduction</w:t>
        <w:tab/>
      </w:r>
      <w:r>
        <w:rPr/>
        <w:fldChar w:fldCharType="begin" w:fldLock="0"/>
      </w:r>
      <w:r>
        <w:instrText xml:space="preserve"> PAGEREF _Toc3 \h </w:instrText>
      </w:r>
      <w:r>
        <w:rPr/>
        <w:fldChar w:fldCharType="separate" w:fldLock="0"/>
      </w:r>
      <w:r>
        <w:rPr>
          <w:rtl w:val="0"/>
        </w:rPr>
        <w:t>4</w:t>
      </w:r>
      <w:r>
        <w:rPr/>
        <w:fldChar w:fldCharType="end" w:fldLock="0"/>
      </w:r>
    </w:p>
    <w:p>
      <w:pPr>
        <w:pStyle w:val="TOC 2"/>
      </w:pPr>
      <w:r>
        <w:rPr>
          <w:rtl w:val="0"/>
        </w:rPr>
        <w:t>Short-Term Rentals in the Real Estate Area</w:t>
        <w:tab/>
      </w:r>
      <w:r>
        <w:rPr/>
        <w:fldChar w:fldCharType="begin" w:fldLock="0"/>
      </w:r>
      <w:r>
        <w:instrText xml:space="preserve"> PAGEREF _Toc4 \h </w:instrText>
      </w:r>
      <w:r>
        <w:rPr/>
        <w:fldChar w:fldCharType="separate" w:fldLock="0"/>
      </w:r>
      <w:r>
        <w:rPr>
          <w:rtl w:val="0"/>
        </w:rPr>
        <w:t>4</w:t>
      </w:r>
      <w:r>
        <w:rPr/>
        <w:fldChar w:fldCharType="end" w:fldLock="0"/>
      </w:r>
    </w:p>
    <w:p>
      <w:pPr>
        <w:pStyle w:val="TOC 2"/>
      </w:pPr>
      <w:r>
        <w:rPr>
          <w:rtl w:val="0"/>
        </w:rPr>
        <w:t>TIR Operations in the Transport Sector</w:t>
        <w:tab/>
      </w:r>
      <w:r>
        <w:rPr/>
        <w:fldChar w:fldCharType="begin" w:fldLock="0"/>
      </w:r>
      <w:r>
        <w:instrText xml:space="preserve"> PAGEREF _Toc5 \h </w:instrText>
      </w:r>
      <w:r>
        <w:rPr/>
        <w:fldChar w:fldCharType="separate" w:fldLock="0"/>
      </w:r>
      <w:r>
        <w:rPr>
          <w:rtl w:val="0"/>
        </w:rPr>
        <w:t>6</w:t>
      </w:r>
      <w:r>
        <w:rPr/>
        <w:fldChar w:fldCharType="end" w:fldLock="0"/>
      </w:r>
    </w:p>
    <w:p>
      <w:pPr>
        <w:pStyle w:val="TOC 2"/>
      </w:pPr>
      <w:r>
        <w:rPr>
          <w:rtl w:val="0"/>
        </w:rPr>
        <w:t>Conclusion</w:t>
        <w:tab/>
      </w:r>
      <w:r>
        <w:rPr/>
        <w:fldChar w:fldCharType="begin" w:fldLock="0"/>
      </w:r>
      <w:r>
        <w:instrText xml:space="preserve"> PAGEREF _Toc6 \h </w:instrText>
      </w:r>
      <w:r>
        <w:rPr/>
        <w:fldChar w:fldCharType="separate" w:fldLock="0"/>
      </w:r>
      <w:r>
        <w:rPr>
          <w:rtl w:val="0"/>
        </w:rPr>
        <w:t>7</w:t>
      </w:r>
      <w:r>
        <w:rPr/>
        <w:fldChar w:fldCharType="end" w:fldLock="0"/>
      </w:r>
    </w:p>
    <w:p>
      <w:pPr>
        <w:pStyle w:val="TOC 2"/>
      </w:pPr>
      <w:r>
        <w:rPr>
          <w:rtl w:val="0"/>
        </w:rPr>
        <w:t>References</w:t>
        <w:tab/>
      </w:r>
      <w:r>
        <w:rPr/>
        <w:fldChar w:fldCharType="begin" w:fldLock="0"/>
      </w:r>
      <w:r>
        <w:instrText xml:space="preserve"> PAGEREF _Toc7 \h </w:instrText>
      </w:r>
      <w:r>
        <w:rPr/>
        <w:fldChar w:fldCharType="separate" w:fldLock="0"/>
      </w:r>
      <w:r>
        <w:rPr>
          <w:rtl w:val="0"/>
        </w:rPr>
        <w:t>8</w:t>
      </w:r>
      <w:r>
        <w:rPr/>
        <w:fldChar w:fldCharType="end" w:fldLock="0"/>
      </w:r>
    </w:p>
    <w:p>
      <w:pPr>
        <w:tabs>
          <w:tab w:val="right" w:pos="9340" w:leader="dot"/>
        </w:tabs>
        <w:rPr>
          <w:rStyle w:val="Link"/>
        </w:rPr>
      </w:pPr>
      <w:r>
        <w:rPr>
          <w:u w:val="single"/>
        </w:rPr>
        <w:fldChar w:fldCharType="end" w:fldLock="0"/>
      </w: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Body"/>
        <w:rPr>
          <w:u w:val="single"/>
          <w:lang w:val="en-US"/>
        </w:rPr>
      </w:pPr>
    </w:p>
    <w:p>
      <w:pPr>
        <w:pStyle w:val="Heading 2"/>
      </w:pPr>
      <w:bookmarkStart w:name="_Toc3" w:id="9"/>
      <w:r>
        <w:rPr>
          <w:rtl w:val="0"/>
          <w:lang w:val="en-US"/>
        </w:rPr>
        <w:t>Introduction</w:t>
      </w:r>
      <w:bookmarkEnd w:id="9"/>
    </w:p>
    <w:p>
      <w:pPr>
        <w:pStyle w:val="Body"/>
        <w:spacing w:before="240" w:after="240"/>
        <w:rPr>
          <w:rFonts w:ascii="Calibri" w:cs="Calibri" w:hAnsi="Calibri" w:eastAsia="Calibri"/>
        </w:rPr>
      </w:pPr>
      <w:r>
        <w:rPr>
          <w:rFonts w:ascii="Calibri" w:hAnsi="Calibri"/>
          <w:rtl w:val="0"/>
          <w:lang w:val="en-US"/>
        </w:rPr>
        <w:t>A notable feature is the recent upturn in company formation in TIR (Transport International Routier) activities, a part of the transportation industry, which has received a lot of attention. Simultaneously, in the real estate field including short term rentals, both branches were showing glowingly bright prospects. Further, each field had its own set of difficulties. Thus, this paper attempts to investigate the feasibility of starting up a company in either TIR transport or short-term real estate rental. It draws upon sources such as IEEE Explore, Taylor &amp; Francis, MDPI, Elsevier and Science Nature as a basis for investigation into the present situation.</w:t>
      </w:r>
    </w:p>
    <w:p>
      <w:pPr>
        <w:pStyle w:val="Body"/>
        <w:spacing w:before="240" w:after="240"/>
      </w:pPr>
      <w:r>
        <w:rPr>
          <w:rFonts w:ascii="Calibri" w:hAnsi="Calibri"/>
          <w:rtl w:val="0"/>
          <w:lang w:val="en-US"/>
        </w:rPr>
        <w:t>Online platforms such as Airbnb, Cruise.com and Bungalow.net have made it possible for the real estate market of short-term rentals to grow rapidly. They provide chances galore to owners of properties in numerous guises and forms that the landlord himself might not think up otherwise. But with globalisation, practical logistics networks (especially international freight) have become more and more important to the transportation sector. It is our hope that this series of reports can provide a better insight than there is presently about these industries themselves and information which aspiring business owners should be given to seize now considering their opportunities for future development</w:t>
      </w:r>
      <w:r>
        <w:rPr>
          <w:rtl w:val="0"/>
          <w:lang w:val="en-US"/>
        </w:rPr>
        <w:t>.</w:t>
      </w:r>
    </w:p>
    <w:p>
      <w:pPr>
        <w:pStyle w:val="Heading 2"/>
      </w:pPr>
      <w:bookmarkStart w:name="_Toc4" w:id="10"/>
      <w:r>
        <w:rPr>
          <w:rtl w:val="0"/>
          <w:lang w:val="en-US"/>
        </w:rPr>
        <w:t xml:space="preserve"> Short-Term Rentals in the Real Estate Area</w:t>
      </w:r>
      <w:bookmarkEnd w:id="10"/>
    </w:p>
    <w:p>
      <w:pPr>
        <w:pStyle w:val="Body"/>
        <w:spacing w:before="240" w:after="240"/>
        <w:rPr>
          <w:rFonts w:ascii="Calibri" w:cs="Calibri" w:hAnsi="Calibri" w:eastAsia="Calibri"/>
        </w:rPr>
      </w:pPr>
      <w:r>
        <w:rPr>
          <w:rFonts w:ascii="Calibri" w:hAnsi="Calibri"/>
          <w:rtl w:val="0"/>
          <w:lang w:val="en-US"/>
        </w:rPr>
        <w:t>The trend toward individual and local travel experiences is goading the real estate sector for short-term rental. The public, especially Gen Z and all millennials value an abode that gives them the comfort and authenticity enjoyed by these people so that they may fully experience local life itself (Taylor &amp; Francis, 2023). By making it easier for owners to interact with guests and also providing a secure income without long-term rental stipulations, the whole industry has been changed by the likes of Airbnb.</w:t>
      </w:r>
    </w:p>
    <w:p>
      <w:pPr>
        <w:pStyle w:val="Body"/>
        <w:rPr>
          <w:rFonts w:ascii="Calibri" w:cs="Calibri" w:hAnsi="Calibri" w:eastAsia="Calibri"/>
        </w:rPr>
      </w:pPr>
      <w:r>
        <w:rPr>
          <w:rFonts w:ascii="Calibri" w:hAnsi="Calibri"/>
          <w:rtl w:val="0"/>
          <w:lang w:val="en-US"/>
        </w:rPr>
        <w:t>The industry has a high profit potential, but it faces difficult problems. Different regions have different regulatory frameworks, and many governments levy taxes and impose restrictions to make housing more affordable for their people Citizens (MDPI, 2022). It is essential for entrepreneurs to comprehend and follow these rules. In addition to premium furniture, expert cleaning services, and online marketing in order to stand out from the competition property owners also must make investments. Moreover, traveler increasingly appreciate eco- friendly hotels, the trend of sustainable development is becoming more and more important (Springer Nature, 2021).</w:t>
      </w:r>
    </w:p>
    <w:p>
      <w:pPr>
        <w:pStyle w:val="Body"/>
        <w:spacing w:before="240" w:after="240"/>
        <w:rPr>
          <w:rFonts w:ascii="Calibri" w:cs="Calibri" w:hAnsi="Calibri" w:eastAsia="Calibri"/>
        </w:rPr>
      </w:pPr>
      <w:r>
        <w:rPr>
          <w:rFonts w:ascii="Calibri" w:hAnsi="Calibri"/>
          <w:rtl w:val="0"/>
          <w:lang w:val="en-US"/>
        </w:rPr>
        <w:t>But there is still good profit potential. Owners of real estate in well- known tourism spots register annual occupancy rates of over 70%, while their rate of return frequently surpasses that from traditional long-term rent. Owners also have flexibility in short-term letting, etc., which makes it much easier for them to adapt to fluctuations in demand.</w:t>
      </w:r>
    </w:p>
    <w:p>
      <w:pPr>
        <w:pStyle w:val="Body"/>
        <w:spacing w:before="240" w:after="240"/>
      </w:pPr>
      <w:r>
        <w:rPr>
          <w:rFonts w:ascii="Calibri" w:hAnsi="Calibri"/>
          <w:rtl w:val="0"/>
          <w:lang w:val="en-US"/>
        </w:rPr>
        <w:t xml:space="preserve">For aspiring entrepreneurs, the transport sector is particularly suited for TIR operations, and the real estate sector offers great prospects especially in short-term rentals. The desire for </w:t>
      </w:r>
      <w:del w:id="11" w:date="2024-11-30T12:59:34Z" w:author="Brindusa Ciobanu">
        <w:r>
          <w:rPr>
            <w:rFonts w:ascii="Calibri" w:hAnsi="Calibri"/>
            <w:rtl w:val="0"/>
            <w:lang w:val="en-US"/>
          </w:rPr>
          <w:delText>personalized</w:delText>
        </w:r>
      </w:del>
      <w:ins w:id="12" w:date="2024-11-30T12:59:34Z" w:author="Brindusa Ciobanu">
        <w:r>
          <w:rPr>
            <w:rFonts w:ascii="Calibri" w:hAnsi="Calibri"/>
            <w:rtl w:val="0"/>
            <w:lang w:val="en-US"/>
          </w:rPr>
          <w:t>personalised</w:t>
        </w:r>
      </w:ins>
      <w:r>
        <w:rPr>
          <w:rFonts w:ascii="Calibri" w:hAnsi="Calibri"/>
          <w:rtl w:val="0"/>
          <w:lang w:val="en-US"/>
        </w:rPr>
        <w:t xml:space="preserve"> and flexible travel experiences has made short-term rentals more attractive. The hotel industry has changed with the introduction of websites like Airbnb and Vrba, which raise property owners' income while attracting a much larger audience worldwide than traditional long-term leases ever could. This method is especially beneficial in towns or cities which are always busy and in places where tourists gather. But to run short-term rentals also means you need to work hard on such things as observing local laws, providing an ever-higher quality and service, controlling occupancy variations caused by the seasons or by changes in economy.</w:t>
      </w:r>
    </w:p>
    <w:p>
      <w:pPr>
        <w:pStyle w:val="Body"/>
        <w:spacing w:before="240" w:after="240"/>
        <w:rPr>
          <w:rFonts w:ascii="Calibri" w:cs="Calibri" w:hAnsi="Calibri" w:eastAsia="Calibri"/>
        </w:rPr>
      </w:pPr>
      <w:r>
        <w:rPr>
          <w:rFonts w:ascii="Calibri" w:hAnsi="Calibri"/>
          <w:rtl w:val="0"/>
          <w:lang w:val="en-US"/>
        </w:rPr>
        <w:t xml:space="preserve">Businesses need to provide their customers with such marketing tools as expert photography and online reviews, set their prices well in order to </w:t>
      </w:r>
      <w:del w:id="13" w:date="2024-11-30T12:59:46Z" w:author="Brindusa Ciobanu">
        <w:r>
          <w:rPr>
            <w:rFonts w:ascii="Calibri" w:hAnsi="Calibri"/>
            <w:rtl w:val="0"/>
            <w:lang w:val="en-US"/>
          </w:rPr>
          <w:delText>maximize</w:delText>
        </w:r>
      </w:del>
      <w:ins w:id="14" w:date="2024-11-30T12:59:46Z" w:author="Brindusa Ciobanu">
        <w:r>
          <w:rPr>
            <w:rFonts w:ascii="Calibri" w:hAnsi="Calibri"/>
            <w:rtl w:val="0"/>
            <w:lang w:val="en-US"/>
          </w:rPr>
          <w:t>maximise</w:t>
        </w:r>
      </w:ins>
      <w:r>
        <w:rPr>
          <w:rFonts w:ascii="Calibri" w:hAnsi="Calibri"/>
          <w:rtl w:val="0"/>
          <w:lang w:val="en-US"/>
        </w:rPr>
        <w:t xml:space="preserve"> profits for themselves while also raising standards for the industry. They might want to look at </w:t>
      </w:r>
      <w:del w:id="15" w:date="2024-11-30T12:59:49Z" w:author="Brindusa Ciobanu">
        <w:r>
          <w:rPr>
            <w:rFonts w:ascii="Calibri" w:hAnsi="Calibri"/>
            <w:rtl w:val="0"/>
            <w:lang w:val="en-US"/>
          </w:rPr>
          <w:delText>specialized</w:delText>
        </w:r>
      </w:del>
      <w:ins w:id="16" w:date="2024-11-30T12:59:49Z" w:author="Brindusa Ciobanu">
        <w:r>
          <w:rPr>
            <w:rFonts w:ascii="Calibri" w:hAnsi="Calibri"/>
            <w:rtl w:val="0"/>
            <w:lang w:val="en-US"/>
          </w:rPr>
          <w:t>specialised</w:t>
        </w:r>
      </w:ins>
      <w:r>
        <w:rPr>
          <w:rFonts w:ascii="Calibri" w:hAnsi="Calibri"/>
          <w:rtl w:val="0"/>
          <w:lang w:val="en-US"/>
        </w:rPr>
        <w:t xml:space="preserve"> market sectors like eco-friendly lodgings or the themed hotel. And investment in technology such as smart home solutions and automated booking systems can make operations more efficient and visitors even happier. To succeed in this industry, business owners need to use marketing tools like the Internet and expert photos. They need to set their prices smartly and look into </w:t>
      </w:r>
      <w:del w:id="17" w:date="2024-11-30T12:59:56Z" w:author="Brindusa Ciobanu">
        <w:r>
          <w:rPr>
            <w:rFonts w:ascii="Calibri" w:hAnsi="Calibri"/>
            <w:rtl w:val="0"/>
            <w:lang w:val="en-US"/>
          </w:rPr>
          <w:delText>specialized</w:delText>
        </w:r>
      </w:del>
      <w:ins w:id="18" w:date="2024-11-30T12:59:56Z" w:author="Brindusa Ciobanu">
        <w:r>
          <w:rPr>
            <w:rFonts w:ascii="Calibri" w:hAnsi="Calibri"/>
            <w:rtl w:val="0"/>
            <w:lang w:val="en-US"/>
          </w:rPr>
          <w:t>specialised</w:t>
        </w:r>
      </w:ins>
      <w:r>
        <w:rPr>
          <w:rFonts w:ascii="Calibri" w:hAnsi="Calibri"/>
          <w:rtl w:val="0"/>
          <w:lang w:val="en-US"/>
        </w:rPr>
        <w:t xml:space="preserve"> markets such as eco-friendly and unique theme hotels. They might want to use smart home solutions and automatic booking systems in order for everything to work properly.</w:t>
      </w:r>
    </w:p>
    <w:p>
      <w:pPr>
        <w:pStyle w:val="Body"/>
        <w:spacing w:before="240" w:after="240"/>
      </w:pPr>
      <w:r>
        <w:rPr>
          <w:rFonts w:ascii="Calibri" w:hAnsi="Calibri"/>
          <w:rtl w:val="0"/>
          <w:lang w:val="en-US"/>
        </w:rPr>
        <w:t>The demand for efficient cross-border logistics caused by globalisation means that the TIR transport industry is thriving at this time. Though faced with problems of driver shortage and environmental laws, this industry is still positioned to take an important, key role in the world economy thanks to innovations in AI, real-time tracking and sustainable practices. Despite obstacles such as driver shortages and environmental laws, this industry is positioned to be a major player in the global economy through such initiatives as artificial intelligence, real-time tracking and sustainable practices. But because of widespread misunderstanding about this sector, market research, strategy planning and understanding your customer's changing demands and demands from bureaucracies are all essential. An entrepreneur should concentrate resources and experience in the industry that best matches his long-term aspirations. For those who can overcome obstacles, use technology and keep people happy, both fields give good growth rates and profit margins.</w:t>
      </w:r>
    </w:p>
    <w:p>
      <w:pPr>
        <w:pStyle w:val="Heading 2"/>
      </w:pPr>
      <w:bookmarkStart w:name="_Toc5" w:id="19"/>
      <w:r>
        <w:rPr>
          <w:rtl w:val="0"/>
          <w:lang w:val="en-US"/>
        </w:rPr>
        <w:t xml:space="preserve"> TIR Operations in the Transport Sector</w:t>
      </w:r>
      <w:bookmarkEnd w:id="19"/>
    </w:p>
    <w:p>
      <w:pPr>
        <w:pStyle w:val="Body"/>
        <w:spacing w:before="240" w:after="240"/>
        <w:rPr>
          <w:rFonts w:ascii="Calibri" w:cs="Calibri" w:hAnsi="Calibri" w:eastAsia="Calibri"/>
        </w:rPr>
      </w:pPr>
      <w:r>
        <w:rPr>
          <w:rFonts w:ascii="Calibri" w:hAnsi="Calibri"/>
          <w:rtl w:val="0"/>
          <w:lang w:val="en-US"/>
        </w:rPr>
        <w:t>Transport is of great importance to international trade, especially with respect to TIR operations. Thanks to globalisation, the demand for efficient, reliable goods transportation has sharply increased and this is resulting in an upward trend in cross-border trade of goods. It is conceivable that TIR operations may represent a good business opportunity, they provide streamlined customs procedures and inexpensive cross-border logistics solutions (Elsevier, 2023).</w:t>
      </w:r>
    </w:p>
    <w:p>
      <w:pPr>
        <w:pStyle w:val="Body"/>
        <w:spacing w:before="240" w:after="240"/>
        <w:rPr>
          <w:rFonts w:ascii="Calibri" w:cs="Calibri" w:hAnsi="Calibri" w:eastAsia="Calibri"/>
        </w:rPr>
      </w:pPr>
      <w:r>
        <w:rPr>
          <w:rFonts w:ascii="Calibri" w:hAnsi="Calibri"/>
          <w:rtl w:val="0"/>
          <w:lang w:val="en-US"/>
        </w:rPr>
        <w:t xml:space="preserve">Recent technological advances have greatly enhanced the efficiency of TIR operations. It is now possible to conduct real-time tracking, route </w:t>
      </w:r>
      <w:del w:id="20" w:date="2024-11-30T13:00:14Z" w:author="Brindusa Ciobanu">
        <w:r>
          <w:rPr>
            <w:rFonts w:ascii="Calibri" w:hAnsi="Calibri"/>
            <w:rtl w:val="0"/>
            <w:lang w:val="en-US"/>
          </w:rPr>
          <w:delText>optimization</w:delText>
        </w:r>
      </w:del>
      <w:ins w:id="21" w:date="2024-11-30T13:00:14Z" w:author="Brindusa Ciobanu">
        <w:r>
          <w:rPr>
            <w:rFonts w:ascii="Calibri" w:hAnsi="Calibri"/>
            <w:rtl w:val="0"/>
            <w:lang w:val="en-US"/>
          </w:rPr>
          <w:t>optimisation</w:t>
        </w:r>
      </w:ins>
      <w:r>
        <w:rPr>
          <w:rFonts w:ascii="Calibri" w:hAnsi="Calibri"/>
          <w:rtl w:val="0"/>
          <w:lang w:val="en-US"/>
        </w:rPr>
        <w:t>, and fuel consumption reduction using digital technologies. In addition, the introduction of AI to logistics has reduced downtime and operating costs. A good example is found in predictive maintenance that enables effective vehicle fleet management (IEEE Xplore, 2022). The sector does face problems, however, just like other industries that rely on trucker's shortages in drivers and volatile fuel prices- calls for cautious preparation are needed to reduce risk.</w:t>
      </w:r>
    </w:p>
    <w:p>
      <w:pPr>
        <w:pStyle w:val="Body"/>
        <w:spacing w:before="240" w:after="240"/>
        <w:rPr>
          <w:rFonts w:ascii="Calibri" w:cs="Calibri" w:hAnsi="Calibri" w:eastAsia="Calibri"/>
        </w:rPr>
      </w:pPr>
      <w:r>
        <w:rPr>
          <w:rFonts w:ascii="Calibri" w:hAnsi="Calibri"/>
          <w:rtl w:val="0"/>
          <w:lang w:val="en-US"/>
        </w:rPr>
        <w:t xml:space="preserve">The future of TIR transport will look bleak if it does not take energy saving and environmental protection into account. Partly due to the stringent pollution regulations put in place by the European Union, drivers are being advised to purchase electric trucks and hybrids as their personal transport method. A great advantage from the point of view of someone entering the market. Two major markets with more profit margins. Also, each has its required amounts in safety, quality and so on would be necessary for those who wish to operate. However, for entrepreneurs there are profitable prospects in both the TIR transport and short-term rental industries. Whereas the transport industry meets a critical need for efficient logistics in a </w:t>
      </w:r>
      <w:del w:id="22" w:date="2024-11-30T13:00:23Z" w:author="Brindusa Ciobanu">
        <w:r>
          <w:rPr>
            <w:rFonts w:ascii="Calibri" w:hAnsi="Calibri"/>
            <w:rtl w:val="0"/>
            <w:lang w:val="en-US"/>
          </w:rPr>
          <w:delText>globalized</w:delText>
        </w:r>
      </w:del>
      <w:ins w:id="23" w:date="2024-11-30T13:00:23Z" w:author="Brindusa Ciobanu">
        <w:r>
          <w:rPr>
            <w:rFonts w:ascii="Calibri" w:hAnsi="Calibri"/>
            <w:rtl w:val="0"/>
            <w:lang w:val="en-US"/>
          </w:rPr>
          <w:t>globalised</w:t>
        </w:r>
      </w:ins>
      <w:r>
        <w:rPr>
          <w:rFonts w:ascii="Calibri" w:hAnsi="Calibri"/>
          <w:rtl w:val="0"/>
          <w:lang w:val="en-US"/>
        </w:rPr>
        <w:t xml:space="preserve"> economy, short-term rentals of real estate are fulfilling the rising desire to have flexible, genuine holiday experiences. Although each of these industries has its own set of problems gaming rules or competition in case History of Transport at environmental goals regarding energy efficiency and sustainable practices. In either business venture, new entrants need to assess their resources capital, knowledge and risk appetite for example, among the TIR operations, technology innovation combined with company policy on sustainability is essential; with regard to real estate units' location and customer experience are significant. Yet in each industry, knowing market trends and actual strategic action is a necessary means for achieving successful development.</w:t>
      </w:r>
    </w:p>
    <w:p>
      <w:pPr>
        <w:pStyle w:val="Heading 2"/>
      </w:pPr>
      <w:bookmarkStart w:name="_Toc6" w:id="24"/>
      <w:r>
        <w:rPr>
          <w:rtl w:val="0"/>
          <w:lang w:val="en-US"/>
        </w:rPr>
        <w:t>Conclusion</w:t>
      </w:r>
      <w:bookmarkEnd w:id="24"/>
    </w:p>
    <w:p>
      <w:pPr>
        <w:pStyle w:val="Body"/>
        <w:spacing w:before="240" w:after="240"/>
        <w:rPr>
          <w:rFonts w:ascii="Calibri" w:cs="Calibri" w:hAnsi="Calibri" w:eastAsia="Calibri"/>
        </w:rPr>
      </w:pPr>
      <w:r>
        <w:rPr>
          <w:rFonts w:ascii="Calibri" w:hAnsi="Calibri"/>
          <w:rtl w:val="0"/>
          <w:lang w:val="en-US"/>
        </w:rPr>
        <w:t>Meanwhile the hot sectors have turned to be transport in TIR and Short-term let in the real estate market. Short-term rentals solve problems such as laws and market competition and at the same time provide property owners with flexible income streams and high returns. In answer to the demand for unique vacation experiences, alternative vacation accommodations are available. While with the rise in globalisation has come a demand for effective cross-border logistics, so too has the TIR transport industry achieved good results. Yet despite obstacles such as driver shortages, pollution laws and mounting costs, this industry is regarded as the most essential player in global economy due to innovations in AI, real-time tracking and eco practices.</w:t>
      </w:r>
    </w:p>
    <w:p>
      <w:pPr>
        <w:pStyle w:val="Body"/>
        <w:spacing w:before="240" w:after="240"/>
        <w:rPr>
          <w:rFonts w:ascii="Calibri" w:cs="Calibri" w:hAnsi="Calibri" w:eastAsia="Calibri"/>
        </w:rPr>
      </w:pPr>
      <w:r>
        <w:rPr>
          <w:rFonts w:ascii="Calibri" w:hAnsi="Calibri"/>
          <w:rtl w:val="0"/>
          <w:lang w:val="en-US"/>
        </w:rPr>
        <w:t>The rest is a matter of market research, strategic planning, understanding the changing demands of customers and regulatory environments in these two sectors. Currently we see a tendency for expanding into outdoor activities such as trip travelling and education through the company, all these must be considered by the company's management in future planning. At the present time, choosing which of these two industries is best suited to an entrepreneur's long-term hope is the theme of his or her resources and experiences. Provided that companies are able to surmount barriers, take advantage of technology and still make their customers happy, both areas promise robust growth and outstanding profits.</w:t>
      </w: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Body"/>
        <w:spacing w:before="240" w:after="240"/>
        <w:rPr>
          <w:rFonts w:ascii="Calibri" w:cs="Calibri" w:hAnsi="Calibri" w:eastAsia="Calibri"/>
          <w:lang w:val="en-US"/>
        </w:rPr>
      </w:pPr>
    </w:p>
    <w:p>
      <w:pPr>
        <w:pStyle w:val="Heading 2"/>
      </w:pPr>
      <w:bookmarkStart w:name="_Toc7" w:id="25"/>
      <w:r>
        <w:rPr>
          <w:rtl w:val="0"/>
          <w:lang w:val="en-US"/>
        </w:rPr>
        <w:t>References</w:t>
      </w:r>
      <w:bookmarkEnd w:id="25"/>
    </w:p>
    <w:p>
      <w:pPr>
        <w:pStyle w:val="List Paragraph"/>
        <w:numPr>
          <w:ilvl w:val="0"/>
          <w:numId w:val="2"/>
        </w:numPr>
        <w:bidi w:val="0"/>
        <w:ind w:right="0"/>
        <w:jc w:val="left"/>
        <w:rPr>
          <w:rFonts w:ascii="Calibri" w:hAnsi="Calibri"/>
          <w:rtl w:val="0"/>
          <w:lang w:val="en-US"/>
        </w:rPr>
      </w:pPr>
      <w:r>
        <w:rPr>
          <w:rFonts w:ascii="Calibri" w:hAnsi="Calibri"/>
          <w:rtl w:val="0"/>
          <w:lang w:val="en-US"/>
        </w:rPr>
        <w:t>D. Guttentag (2021). What factors contribute to short-term rental success? Tourism Management Perspectives, Elsevier, 40(4), pp. 45</w:t>
      </w:r>
      <w:r>
        <w:rPr>
          <w:rFonts w:ascii="Calibri" w:hAnsi="Calibri" w:hint="default"/>
          <w:rtl w:val="0"/>
          <w:lang w:val="en-US"/>
        </w:rPr>
        <w:t>–</w:t>
      </w:r>
      <w:r>
        <w:rPr>
          <w:rFonts w:ascii="Calibri" w:hAnsi="Calibri"/>
          <w:rtl w:val="0"/>
          <w:lang w:val="en-US"/>
        </w:rPr>
        <w:t xml:space="preserve">57. accessible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"https://www.sciencedirect.com"</w:instrText>
      </w:r>
      <w:r>
        <w:rPr>
          <w:rStyle w:val="Link"/>
          <w:rFonts w:ascii="Calibri" w:cs="Calibri" w:hAnsi="Calibri" w:eastAsia="Calibri"/>
        </w:rPr>
        <w:fldChar w:fldCharType="separate" w:fldLock="0"/>
      </w:r>
      <w:r>
        <w:rPr>
          <w:rStyle w:val="Link"/>
          <w:rFonts w:ascii="Calibri" w:hAnsi="Calibri"/>
          <w:rtl w:val="0"/>
          <w:lang w:val="en-US"/>
        </w:rPr>
        <w:t>https://www.sciencedirect.com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Talebi, M., and Dolnicar, S. (2020). Comprehending the effects on local communities of the increase in short-term rentals. Journal of Sustainable Tourism, 28(7), Springer Nature, pp. 1231</w:t>
      </w:r>
      <w:r>
        <w:rPr>
          <w:rFonts w:ascii="Calibri" w:hAnsi="Calibri" w:hint="default"/>
          <w:rtl w:val="0"/>
          <w:lang w:val="en-US"/>
        </w:rPr>
        <w:t>–</w:t>
      </w:r>
      <w:r>
        <w:rPr>
          <w:rFonts w:ascii="Calibri" w:hAnsi="Calibri"/>
          <w:rtl w:val="0"/>
          <w:lang w:val="en-US"/>
        </w:rPr>
        <w:t xml:space="preserve">1247. accessible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"https://link.springer.com"</w:instrText>
      </w:r>
      <w:r>
        <w:rPr>
          <w:rStyle w:val="Link"/>
          <w:rFonts w:ascii="Calibri" w:cs="Calibri" w:hAnsi="Calibri" w:eastAsia="Calibri"/>
        </w:rPr>
        <w:fldChar w:fldCharType="separate" w:fldLock="0"/>
      </w:r>
      <w:r>
        <w:rPr>
          <w:rStyle w:val="Link"/>
          <w:rFonts w:ascii="Calibri" w:hAnsi="Calibri"/>
          <w:rtl w:val="0"/>
          <w:lang w:val="en-US"/>
        </w:rPr>
        <w:t>https://link.springer.com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Li, W., &amp; Chen, J. (2022). Rental efficiency with smart home technologies. MDPI, Sustainability, 14(8), 1342</w:t>
      </w:r>
      <w:r>
        <w:rPr>
          <w:rFonts w:ascii="Calibri" w:hAnsi="Calibri" w:hint="default"/>
          <w:rtl w:val="0"/>
          <w:lang w:val="en-US"/>
        </w:rPr>
        <w:t>–</w:t>
      </w:r>
      <w:r>
        <w:rPr>
          <w:rFonts w:ascii="Calibri" w:hAnsi="Calibri"/>
          <w:rtl w:val="0"/>
          <w:lang w:val="en-US"/>
        </w:rPr>
        <w:t xml:space="preserve">1356. accessible via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"https://www.mdpi.com"</w:instrText>
      </w:r>
      <w:r>
        <w:rPr>
          <w:rStyle w:val="Link"/>
          <w:rFonts w:ascii="Calibri" w:cs="Calibri" w:hAnsi="Calibri" w:eastAsia="Calibri"/>
        </w:rPr>
        <w:fldChar w:fldCharType="separate" w:fldLock="0"/>
      </w:r>
      <w:r>
        <w:rPr>
          <w:rStyle w:val="Link"/>
          <w:rFonts w:ascii="Calibri" w:hAnsi="Calibri"/>
          <w:rtl w:val="0"/>
          <w:lang w:val="en-US"/>
        </w:rPr>
        <w:t>https://www.mdpi.com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Heikkil</w:t>
      </w:r>
      <w:r>
        <w:rPr>
          <w:rFonts w:ascii="Calibri" w:hAnsi="Calibri" w:hint="default"/>
          <w:rtl w:val="0"/>
          <w:lang w:val="en-US"/>
        </w:rPr>
        <w:t>ä</w:t>
      </w:r>
      <w:r>
        <w:rPr>
          <w:rFonts w:ascii="Calibri" w:hAnsi="Calibri"/>
          <w:rtl w:val="0"/>
          <w:lang w:val="en-US"/>
        </w:rPr>
        <w:t xml:space="preserve">, J., and Thams, A. (2023). An analysis comparing the performance of short-term rentals in urban and rural areas. Tourism Management, Elsevier, 96(1), pp. 90-102. accessible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"https://www.sciencedirect.com"</w:instrText>
      </w:r>
      <w:r>
        <w:rPr>
          <w:rStyle w:val="Link"/>
          <w:rFonts w:ascii="Calibri" w:cs="Calibri" w:hAnsi="Calibri" w:eastAsia="Calibri"/>
        </w:rPr>
        <w:fldChar w:fldCharType="separate" w:fldLock="0"/>
      </w:r>
      <w:r>
        <w:rPr>
          <w:rStyle w:val="Link"/>
          <w:rFonts w:ascii="Calibri" w:hAnsi="Calibri"/>
          <w:rtl w:val="0"/>
          <w:lang w:val="en-US"/>
        </w:rPr>
        <w:t>https://www.sciencedirect.com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 xml:space="preserve">Peters, D., and A. Cristea (2020). Opportunities and constraints for AI in logistics and TIR operations. AI in Transportation Systems, IEEE Explore, 45(8), pp. 543-558. accessible via: </w:t>
      </w:r>
      <w:r>
        <w:rPr>
          <w:rStyle w:val="Link"/>
          <w:rFonts w:ascii="Calibri" w:cs="Calibri" w:hAnsi="Calibri" w:eastAsia="Calibri"/>
        </w:rPr>
        <w:fldChar w:fldCharType="begin" w:fldLock="0"/>
      </w:r>
      <w:r>
        <w:rPr>
          <w:rStyle w:val="Link"/>
          <w:rFonts w:ascii="Calibri" w:cs="Calibri" w:hAnsi="Calibri" w:eastAsia="Calibri"/>
        </w:rPr>
        <w:instrText xml:space="preserve"> HYPERLINK "https://ieeexplore.ieee.org"</w:instrText>
      </w:r>
      <w:r>
        <w:rPr>
          <w:rStyle w:val="Link"/>
          <w:rFonts w:ascii="Calibri" w:cs="Calibri" w:hAnsi="Calibri" w:eastAsia="Calibri"/>
        </w:rPr>
        <w:fldChar w:fldCharType="separate" w:fldLock="0"/>
      </w:r>
      <w:r>
        <w:rPr>
          <w:rStyle w:val="Link"/>
          <w:rFonts w:ascii="Calibri" w:hAnsi="Calibri"/>
          <w:rtl w:val="0"/>
          <w:lang w:val="en-US"/>
        </w:rPr>
        <w:t>https://ieeexplore.ieee.org</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 xml:space="preserve">Zhang, W., &amp; Meng, L. (2023). Seasonality's effect on the profitability of short-term rentals. Journal of Hospitality Management, Springer Nature, 48(3), pp. 67-80. accessible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"https://link.springer.com"</w:instrText>
      </w:r>
      <w:r>
        <w:rPr>
          <w:rStyle w:val="Link"/>
          <w:rFonts w:ascii="Calibri" w:cs="Calibri" w:hAnsi="Calibri" w:eastAsia="Calibri"/>
        </w:rPr>
        <w:fldChar w:fldCharType="separate" w:fldLock="0"/>
      </w:r>
      <w:r>
        <w:rPr>
          <w:rStyle w:val="Link"/>
          <w:rFonts w:ascii="Calibri" w:hAnsi="Calibri"/>
          <w:rtl w:val="0"/>
          <w:lang w:val="en-US"/>
        </w:rPr>
        <w:t>https://link.springer.com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Lamarque, R., and Faug</w:t>
      </w:r>
      <w:r>
        <w:rPr>
          <w:rFonts w:ascii="Calibri" w:hAnsi="Calibri" w:hint="default"/>
          <w:rtl w:val="0"/>
          <w:lang w:val="en-US"/>
        </w:rPr>
        <w:t>è</w:t>
      </w:r>
      <w:r>
        <w:rPr>
          <w:rFonts w:ascii="Calibri" w:hAnsi="Calibri"/>
          <w:rtl w:val="0"/>
          <w:lang w:val="en-US"/>
        </w:rPr>
        <w:t>re, C. (2021). European regulatory systems pertaining to short-term rentals. Urban Policy and Research, Taylor &amp; Francis, 39(4), pp. 345</w:t>
      </w:r>
      <w:r>
        <w:rPr>
          <w:rFonts w:ascii="Calibri" w:hAnsi="Calibri" w:hint="default"/>
          <w:rtl w:val="0"/>
          <w:lang w:val="en-US"/>
        </w:rPr>
        <w:t>–</w:t>
      </w:r>
      <w:r>
        <w:rPr>
          <w:rFonts w:ascii="Calibri" w:hAnsi="Calibri"/>
          <w:rtl w:val="0"/>
          <w:lang w:val="en-US"/>
        </w:rPr>
        <w:t xml:space="preserve">359. accessible via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"https://www.tandfonline.com"</w:instrText>
      </w:r>
      <w:r>
        <w:rPr>
          <w:rStyle w:val="Link"/>
          <w:rFonts w:ascii="Calibri" w:cs="Calibri" w:hAnsi="Calibri" w:eastAsia="Calibri"/>
        </w:rPr>
        <w:fldChar w:fldCharType="separate" w:fldLock="0"/>
      </w:r>
      <w:r>
        <w:rPr>
          <w:rStyle w:val="Link"/>
          <w:rFonts w:ascii="Calibri" w:hAnsi="Calibri"/>
          <w:rtl w:val="0"/>
          <w:lang w:val="en-US"/>
        </w:rPr>
        <w:t>https://www.tandfonline.com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 xml:space="preserve">Wei, J., and Fan, T. (2022). efforts in the TIR transport sector that are carbon neutral. pp. 213-227 in Elsevier, Transport Research Part D, 95(3). accessible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"https://www.sciencedirect.com"</w:instrText>
      </w:r>
      <w:r>
        <w:rPr>
          <w:rStyle w:val="Link"/>
          <w:rFonts w:ascii="Calibri" w:cs="Calibri" w:hAnsi="Calibri" w:eastAsia="Calibri"/>
        </w:rPr>
        <w:fldChar w:fldCharType="separate" w:fldLock="0"/>
      </w:r>
      <w:r>
        <w:rPr>
          <w:rStyle w:val="Link"/>
          <w:rFonts w:ascii="Calibri" w:hAnsi="Calibri"/>
          <w:rtl w:val="0"/>
          <w:lang w:val="en-US"/>
        </w:rPr>
        <w:t>https://www.sciencedirect.com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bidi w:val="0"/>
        <w:ind w:right="0"/>
        <w:jc w:val="left"/>
        <w:rPr>
          <w:rFonts w:ascii="Calibri" w:hAnsi="Calibri"/>
          <w:rtl w:val="0"/>
          <w:lang w:val="en-US"/>
        </w:rPr>
      </w:pPr>
      <w:r>
        <w:rPr>
          <w:rFonts w:ascii="Calibri" w:hAnsi="Calibri"/>
          <w:rtl w:val="0"/>
          <w:lang w:val="en-US"/>
        </w:rPr>
        <w:t>Carter, A., and Goodfellow, J. (2023). Customer reviews' significance in the success of short-term rentals. MDPI, Sustainability, 15(9), 1123</w:t>
      </w:r>
      <w:r>
        <w:rPr>
          <w:rFonts w:ascii="Calibri" w:hAnsi="Calibri" w:hint="default"/>
          <w:rtl w:val="0"/>
          <w:lang w:val="en-US"/>
        </w:rPr>
        <w:t>–</w:t>
      </w:r>
      <w:r>
        <w:rPr>
          <w:rFonts w:ascii="Calibri" w:hAnsi="Calibri"/>
          <w:rtl w:val="0"/>
          <w:lang w:val="en-US"/>
        </w:rPr>
        <w:t xml:space="preserve">1140. accessible via </w:t>
      </w:r>
      <w:r>
        <w:rPr>
          <w:rStyle w:val="Link"/>
          <w:rFonts w:ascii="Calibri" w:cs="Calibri" w:hAnsi="Calibri" w:eastAsia="Calibri"/>
        </w:rPr>
        <w:fldChar w:fldCharType="begin" w:fldLock="0"/>
      </w:r>
      <w:r>
        <w:rPr>
          <w:rStyle w:val="Link"/>
          <w:rFonts w:ascii="Calibri" w:cs="Calibri" w:hAnsi="Calibri" w:eastAsia="Calibri"/>
        </w:rPr>
        <w:instrText xml:space="preserve"> HYPERLINK "https://www.mdpi.com"</w:instrText>
      </w:r>
      <w:r>
        <w:rPr>
          <w:rStyle w:val="Link"/>
          <w:rFonts w:ascii="Calibri" w:cs="Calibri" w:hAnsi="Calibri" w:eastAsia="Calibri"/>
        </w:rPr>
        <w:fldChar w:fldCharType="separate" w:fldLock="0"/>
      </w:r>
      <w:r>
        <w:rPr>
          <w:rStyle w:val="Link"/>
          <w:rFonts w:ascii="Calibri" w:hAnsi="Calibri"/>
          <w:rtl w:val="0"/>
          <w:lang w:val="en-US"/>
        </w:rPr>
        <w:t>https://www.mdpi.com</w:t>
      </w:r>
      <w:r>
        <w:rPr>
          <w:rFonts w:ascii="Calibri" w:cs="Calibri" w:hAnsi="Calibri" w:eastAsia="Calibri"/>
        </w:rPr>
        <w:fldChar w:fldCharType="end" w:fldLock="0"/>
      </w:r>
      <w:r>
        <w:rPr>
          <w:rFonts w:ascii="Calibri" w:hAnsi="Calibri"/>
          <w:rtl w:val="0"/>
          <w:lang w:val="en-US"/>
        </w:rPr>
        <w:t>. reached on November 25, 2024.</w:t>
      </w:r>
    </w:p>
    <w:p>
      <w:pPr>
        <w:pStyle w:val="List Paragraph"/>
        <w:numPr>
          <w:ilvl w:val="0"/>
          <w:numId w:val="2"/>
        </w:numPr>
        <w:rPr>
          <w:lang w:val="en-US"/>
        </w:rPr>
      </w:pPr>
      <w:r>
        <w:rPr>
          <w:rFonts w:ascii="Calibri" w:hAnsi="Calibri"/>
          <w:rtl w:val="0"/>
          <w:lang w:val="en-US"/>
        </w:rPr>
        <w:t xml:space="preserve">Yates, M., and Radley, S. (2021). fostering client loyalty and trust on platforms for short-term rentals. Journal of Consumer Marketing (Springer Nature), 38(5), pp. 245-260. accessible at: </w:t>
      </w:r>
      <w:r>
        <w:rPr>
          <w:rStyle w:val="Hyperlink.0"/>
        </w:rPr>
        <w:fldChar w:fldCharType="begin" w:fldLock="0"/>
      </w:r>
      <w:r>
        <w:rPr>
          <w:rStyle w:val="Hyperlink.0"/>
        </w:rPr>
        <w:instrText xml:space="preserve"> HYPERLINK "https://link.springer.com"</w:instrText>
      </w:r>
      <w:r>
        <w:rPr>
          <w:rStyle w:val="Hyperlink.0"/>
        </w:rPr>
        <w:fldChar w:fldCharType="separate" w:fldLock="0"/>
      </w:r>
      <w:r>
        <w:rPr>
          <w:rStyle w:val="Hyperlink.0"/>
          <w:rtl w:val="0"/>
          <w:lang w:val="en-US"/>
        </w:rPr>
        <w:t>https://link.springer.com</w:t>
      </w:r>
      <w:r>
        <w:rPr/>
        <w:fldChar w:fldCharType="end" w:fldLock="0"/>
      </w:r>
      <w:r>
        <w:rPr>
          <w:rFonts w:ascii="Calibri" w:hAnsi="Calibri"/>
          <w:rtl w:val="0"/>
          <w:lang w:val="en-US"/>
        </w:rPr>
        <w:t>. reached on November 25, 2024.</w:t>
      </w:r>
    </w:p>
    <w:p>
      <w:pPr>
        <w:pStyle w:val="Body"/>
      </w:pPr>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Aptos">
    <w:charset w:val="00"/>
    <w:family w:val="roman"/>
    <w:pitch w:val="default"/>
  </w:font>
  <w:font w:name="Aptos Display">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r>
    <w:r>
      <w:rPr>
        <w:lang w:val="en-US"/>
      </w:rPr>
      <w:fldChar w:fldCharType="begin" w:fldLock="0"/>
    </w:r>
    <w:r>
      <w:rPr>
        <w:lang w:val="en-US"/>
      </w:rPr>
      <w:instrText xml:space="preserve"> PAGE </w:instrText>
    </w:r>
    <w:r>
      <w:rPr>
        <w:lang w:val="en-US"/>
      </w:rPr>
      <w:fldChar w:fldCharType="separate" w:fldLock="0"/>
    </w:r>
    <w:r>
      <w:rPr>
        <w:lang w:val="en-US"/>
      </w:rPr>
    </w:r>
    <w:r>
      <w:rPr>
        <w:lang w:val="en-US"/>
      </w:rPr>
      <w:fldChar w:fldCharType="end" w:fldLock="0"/>
    </w:r>
    <w:r>
      <w:rPr>
        <w:lang w:val="en-US"/>
      </w:rPr>
      <w:tab/>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bidi w:val="0"/>
      <w:ind w:left="0" w:right="0" w:firstLine="0"/>
      <w:jc w:val="right"/>
      <w:rPr>
        <w:rtl w:val="0"/>
      </w:rPr>
    </w:pPr>
    <w:r>
      <w:tab/>
      <w:tab/>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Title">
    <w:name w:val="Title"/>
    <w:next w:val="Body"/>
    <w:pPr>
      <w:keepNext w:val="0"/>
      <w:keepLines w:val="0"/>
      <w:pageBreakBefore w:val="0"/>
      <w:widowControl w:val="1"/>
      <w:shd w:val="clear" w:color="auto" w:fill="auto"/>
      <w:suppressAutoHyphens w:val="0"/>
      <w:bidi w:val="0"/>
      <w:spacing w:before="0" w:after="80" w:line="240" w:lineRule="auto"/>
      <w:ind w:left="0" w:right="0" w:firstLine="0"/>
      <w:jc w:val="left"/>
      <w:outlineLvl w:val="9"/>
    </w:pPr>
    <w:rPr>
      <w:rFonts w:ascii="Aptos Display" w:cs="Aptos Display" w:hAnsi="Aptos Display" w:eastAsia="Aptos Display"/>
      <w:b w:val="0"/>
      <w:bCs w:val="0"/>
      <w:i w:val="0"/>
      <w:iCs w:val="0"/>
      <w:caps w:val="0"/>
      <w:smallCaps w:val="0"/>
      <w:strike w:val="0"/>
      <w:dstrike w:val="0"/>
      <w:outline w:val="0"/>
      <w:color w:val="000000"/>
      <w:spacing w:val="-10"/>
      <w:kern w:val="28"/>
      <w:position w:val="0"/>
      <w:sz w:val="56"/>
      <w:szCs w:val="56"/>
      <w:u w:val="none" w:color="000000"/>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9" w:lineRule="auto"/>
      <w:ind w:left="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14:textOutline>
        <w14:noFill/>
      </w14:textOutline>
      <w14:textFill>
        <w14:solidFill>
          <w14:srgbClr w14:val="000000"/>
        </w14:solidFill>
      </w14:textFill>
    </w:rPr>
  </w:style>
  <w:style w:type="paragraph" w:styleId="heading 4">
    <w:name w:val="heading 4"/>
    <w:next w:val="Body"/>
    <w:pPr>
      <w:keepNext w:val="1"/>
      <w:keepLines w:val="1"/>
      <w:pageBreakBefore w:val="0"/>
      <w:widowControl w:val="1"/>
      <w:shd w:val="clear" w:color="auto" w:fill="auto"/>
      <w:suppressAutoHyphens w:val="0"/>
      <w:bidi w:val="0"/>
      <w:spacing w:before="80" w:after="40" w:line="279" w:lineRule="auto"/>
      <w:ind w:left="0" w:right="0" w:firstLine="0"/>
      <w:jc w:val="left"/>
      <w:outlineLvl w:val="2"/>
    </w:pPr>
    <w:rPr>
      <w:rFonts w:ascii="Aptos" w:cs="Aptos" w:hAnsi="Aptos" w:eastAsia="Aptos"/>
      <w:b w:val="0"/>
      <w:bCs w:val="0"/>
      <w:i w:val="1"/>
      <w:iCs w:val="1"/>
      <w:caps w:val="0"/>
      <w:smallCaps w:val="0"/>
      <w:strike w:val="0"/>
      <w:dstrike w:val="0"/>
      <w:outline w:val="0"/>
      <w:color w:val="0f4761"/>
      <w:spacing w:val="0"/>
      <w:kern w:val="0"/>
      <w:position w:val="0"/>
      <w:sz w:val="24"/>
      <w:szCs w:val="24"/>
      <w:u w:val="none" w:color="0f4761"/>
      <w:vertAlign w:val="baseline"/>
      <w:lang w:val="en-US"/>
      <w14:textFill>
        <w14:solidFill>
          <w14:srgbClr w14:val="0F4761"/>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79" w:lineRule="auto"/>
      <w:ind w:left="2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160" w:after="80" w:line="279" w:lineRule="auto"/>
      <w:ind w:left="0" w:right="0" w:firstLine="0"/>
      <w:jc w:val="left"/>
      <w:outlineLvl w:val="1"/>
    </w:pPr>
    <w:rPr>
      <w:rFonts w:ascii="Aptos Display" w:cs="Aptos Display" w:hAnsi="Aptos Display" w:eastAsia="Aptos Display"/>
      <w:b w:val="0"/>
      <w:bCs w:val="0"/>
      <w:i w:val="0"/>
      <w:iCs w:val="0"/>
      <w:caps w:val="0"/>
      <w:smallCaps w:val="0"/>
      <w:strike w:val="0"/>
      <w:dstrike w:val="0"/>
      <w:outline w:val="0"/>
      <w:color w:val="0f4761"/>
      <w:spacing w:val="0"/>
      <w:kern w:val="0"/>
      <w:position w:val="0"/>
      <w:sz w:val="32"/>
      <w:szCs w:val="32"/>
      <w:u w:val="none" w:color="0f4761"/>
      <w:vertAlign w:val="baseline"/>
      <w14:textOutline>
        <w14:noFill/>
      </w14:textOutline>
      <w14:textFill>
        <w14:solidFill>
          <w14:srgbClr w14:val="0F4761"/>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20" w:line="240" w:lineRule="auto"/>
      <w:ind w:left="0" w:right="0" w:firstLine="70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vertAlign w:val="baseline"/>
      <w14:textOutline>
        <w14:noFill/>
      </w14:textOutline>
      <w14:textFill>
        <w14:solidFill>
          <w14:srgbClr w14:val="000000"/>
        </w14:solidFill>
      </w14:textFill>
    </w:rPr>
  </w:style>
  <w:style w:type="paragraph" w:styleId="toc 2.0">
    <w:name w:val="toc 2"/>
    <w:next w:val="Body"/>
    <w:pPr>
      <w:keepNext w:val="0"/>
      <w:keepLines w:val="0"/>
      <w:pageBreakBefore w:val="0"/>
      <w:widowControl w:val="1"/>
      <w:shd w:val="clear" w:color="auto" w:fill="auto"/>
      <w:suppressAutoHyphens w:val="0"/>
      <w:bidi w:val="0"/>
      <w:spacing w:before="0" w:after="100" w:line="279" w:lineRule="auto"/>
      <w:ind w:left="2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character" w:styleId="Link">
    <w:name w:val="Link"/>
    <w:rPr>
      <w:outline w:val="0"/>
      <w:color w:val="467886"/>
      <w:u w:val="single" w:color="467886"/>
      <w14:textFill>
        <w14:solidFill>
          <w14:srgbClr w14:val="467886"/>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79" w:lineRule="auto"/>
      <w:ind w:left="720" w:right="0" w:firstLine="0"/>
      <w:jc w:val="left"/>
      <w:outlineLvl w:val="9"/>
    </w:pPr>
    <w:rPr>
      <w:rFonts w:ascii="Aptos" w:cs="Aptos" w:hAnsi="Aptos" w:eastAsia="Aptos"/>
      <w:b w:val="0"/>
      <w:bCs w:val="0"/>
      <w:i w:val="0"/>
      <w:iCs w:val="0"/>
      <w:caps w:val="0"/>
      <w:smallCaps w:val="0"/>
      <w:strike w:val="0"/>
      <w:dstrike w:val="0"/>
      <w:outline w:val="0"/>
      <w:color w:val="000000"/>
      <w:spacing w:val="0"/>
      <w:kern w:val="0"/>
      <w:position w:val="0"/>
      <w:sz w:val="24"/>
      <w:szCs w:val="24"/>
      <w:u w:val="none" w:color="000000"/>
      <w:vertAlign w:val="baseline"/>
      <w:lang w:val="en-US"/>
      <w14:textFill>
        <w14:solidFill>
          <w14:srgbClr w14:val="000000"/>
        </w14:solidFill>
      </w14:textFill>
    </w:rPr>
  </w:style>
  <w:style w:type="numbering" w:styleId="Imported Style 1">
    <w:name w:val="Imported Style 1"/>
    <w:pPr>
      <w:numPr>
        <w:numId w:val="1"/>
      </w:numPr>
    </w:pPr>
  </w:style>
  <w:style w:type="character" w:styleId="Hyperlink.0">
    <w:name w:val="Hyperlink.0"/>
    <w:basedOn w:val="Link"/>
    <w:next w:val="Hyperlink.0"/>
    <w:rPr>
      <w:rFonts w:ascii="Calibri" w:cs="Calibri" w:hAnsi="Calibri" w:eastAsia="Calibri"/>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Aptos Display"/>
        <a:ea typeface="Aptos Display"/>
        <a:cs typeface="Aptos Display"/>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