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CA97DB" w14:textId="77777777" w:rsidR="00F967CE" w:rsidRPr="00B238F5" w:rsidRDefault="00867C19" w:rsidP="00B238F5">
      <w:pPr>
        <w:pStyle w:val="Title"/>
        <w:jc w:val="center"/>
        <w:rPr>
          <w:rFonts w:cstheme="majorHAnsi"/>
          <w:b/>
          <w:sz w:val="44"/>
          <w:szCs w:val="22"/>
        </w:rPr>
      </w:pPr>
      <w:r>
        <w:rPr>
          <w:noProof/>
        </w:rPr>
        <w:drawing>
          <wp:inline distT="0" distB="0" distL="0" distR="0" wp14:anchorId="66502DBD" wp14:editId="2CF7AA71">
            <wp:extent cx="5715000" cy="2857500"/>
            <wp:effectExtent l="0" t="0" r="0" b="0"/>
            <wp:docPr id="1" name="Picture 1" descr="Prifysgol Cymru Y Drindod Dewi Sant | University of Wales Trinity Saint  David - NP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ifysgol Cymru Y Drindod Dewi Sant | University of Wales Trinity Saint  David - NPL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967CE" w:rsidRPr="00B238F5">
        <w:rPr>
          <w:rFonts w:cstheme="majorHAnsi"/>
          <w:b/>
          <w:sz w:val="44"/>
          <w:szCs w:val="22"/>
        </w:rPr>
        <w:t>Child A and Adult A safeguarding discussion</w:t>
      </w:r>
    </w:p>
    <w:p w14:paraId="4A30AB7D" w14:textId="77777777" w:rsidR="00F967CE" w:rsidRDefault="00F967CE" w:rsidP="00B238F5">
      <w:pPr>
        <w:pStyle w:val="Subtitle"/>
        <w:jc w:val="center"/>
        <w:rPr>
          <w:rFonts w:cstheme="majorHAnsi"/>
          <w:b/>
          <w:sz w:val="44"/>
          <w:szCs w:val="22"/>
        </w:rPr>
      </w:pPr>
      <w:r w:rsidRPr="00B238F5">
        <w:rPr>
          <w:rFonts w:cstheme="majorHAnsi"/>
          <w:b/>
          <w:sz w:val="44"/>
          <w:szCs w:val="22"/>
        </w:rPr>
        <w:t>Role: Children’s social worker</w:t>
      </w:r>
    </w:p>
    <w:p w14:paraId="482FA8DC" w14:textId="77777777" w:rsidR="00B238F5" w:rsidRPr="00B238F5" w:rsidRDefault="00B238F5" w:rsidP="00B238F5">
      <w:pPr>
        <w:jc w:val="center"/>
      </w:pPr>
      <w:r>
        <w:t>References List</w:t>
      </w:r>
    </w:p>
    <w:p w14:paraId="676DE094" w14:textId="013A00A8" w:rsidR="00BD1BB4" w:rsidRPr="00B238F5" w:rsidRDefault="00BD1BB4" w:rsidP="00B238F5">
      <w:pPr>
        <w:jc w:val="center"/>
        <w:rPr>
          <w:sz w:val="24"/>
        </w:rPr>
      </w:pPr>
      <w:r w:rsidRPr="00B238F5">
        <w:rPr>
          <w:sz w:val="24"/>
        </w:rPr>
        <w:t>Student Name:</w:t>
      </w:r>
      <w:r w:rsidR="006E7592">
        <w:rPr>
          <w:sz w:val="24"/>
        </w:rPr>
        <w:t xml:space="preserve"> Raani </w:t>
      </w:r>
      <w:proofErr w:type="spellStart"/>
      <w:r w:rsidR="006E7592">
        <w:rPr>
          <w:sz w:val="24"/>
        </w:rPr>
        <w:t>saima</w:t>
      </w:r>
      <w:proofErr w:type="spellEnd"/>
    </w:p>
    <w:p w14:paraId="7D4D73BD" w14:textId="09F5951E" w:rsidR="00BD1BB4" w:rsidRPr="00B238F5" w:rsidRDefault="00BD1BB4" w:rsidP="00B238F5">
      <w:pPr>
        <w:jc w:val="center"/>
        <w:rPr>
          <w:sz w:val="24"/>
        </w:rPr>
      </w:pPr>
      <w:r w:rsidRPr="00B238F5">
        <w:rPr>
          <w:sz w:val="24"/>
        </w:rPr>
        <w:t>Student ID:</w:t>
      </w:r>
      <w:r w:rsidR="006E7592">
        <w:rPr>
          <w:sz w:val="24"/>
        </w:rPr>
        <w:t>2440153</w:t>
      </w:r>
    </w:p>
    <w:p w14:paraId="1F5E2208" w14:textId="42EC5486" w:rsidR="00BD1BB4" w:rsidRPr="00B238F5" w:rsidRDefault="00BD1BB4" w:rsidP="00B238F5">
      <w:pPr>
        <w:jc w:val="center"/>
        <w:rPr>
          <w:sz w:val="24"/>
        </w:rPr>
      </w:pPr>
      <w:r w:rsidRPr="00B238F5">
        <w:rPr>
          <w:sz w:val="24"/>
        </w:rPr>
        <w:t>Submission Dated:</w:t>
      </w:r>
      <w:r w:rsidR="006E7592">
        <w:rPr>
          <w:sz w:val="24"/>
        </w:rPr>
        <w:t xml:space="preserve"> 18 </w:t>
      </w:r>
      <w:proofErr w:type="spellStart"/>
      <w:r w:rsidR="006E7592">
        <w:rPr>
          <w:sz w:val="24"/>
        </w:rPr>
        <w:t>october</w:t>
      </w:r>
      <w:proofErr w:type="spellEnd"/>
      <w:r w:rsidR="006E7592">
        <w:rPr>
          <w:sz w:val="24"/>
        </w:rPr>
        <w:t xml:space="preserve"> 2026</w:t>
      </w:r>
    </w:p>
    <w:p w14:paraId="794C56DB" w14:textId="77777777" w:rsidR="00F967CE" w:rsidRPr="009856C0" w:rsidRDefault="00F967CE" w:rsidP="00851394">
      <w:pPr>
        <w:pStyle w:val="Heading1"/>
      </w:pPr>
      <w:r w:rsidRPr="009856C0">
        <w:lastRenderedPageBreak/>
        <w:t>References</w:t>
      </w:r>
      <w:r w:rsidR="00851394">
        <w:t xml:space="preserve"> List</w:t>
      </w:r>
    </w:p>
    <w:p w14:paraId="00AD1A7B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Children Act 1989, c. 41. Available at: </w:t>
      </w:r>
      <w:r w:rsidRPr="001810BE">
        <w:rPr>
          <w:rFonts w:asciiTheme="majorHAnsi" w:hAnsiTheme="majorHAnsi" w:cstheme="majorHAnsi"/>
          <w:color w:val="0000FF"/>
        </w:rPr>
        <w:t>https://www.legislation.gov.uk/ukpga/1989/41/contents</w:t>
      </w:r>
      <w:r w:rsidRPr="009856C0">
        <w:rPr>
          <w:rFonts w:asciiTheme="majorHAnsi" w:hAnsiTheme="majorHAnsi" w:cstheme="majorHAnsi"/>
        </w:rPr>
        <w:t xml:space="preserve"> (Accessed: 12 October 2026).</w:t>
      </w:r>
    </w:p>
    <w:p w14:paraId="0BDD8B2C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Children Act 2004, c. 31.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https://www.legislation.gov.uk/ukpga/2004/31/contents </w:t>
      </w:r>
      <w:r w:rsidRPr="009856C0">
        <w:rPr>
          <w:rFonts w:asciiTheme="majorHAnsi" w:hAnsiTheme="majorHAnsi" w:cstheme="majorHAnsi"/>
        </w:rPr>
        <w:t>(Accessed: 12 October 2026).</w:t>
      </w:r>
    </w:p>
    <w:p w14:paraId="4D30CA16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Children and Social Work Act 2017, c. 16.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https://www.legislation.gov.uk/ukpga/2017/16/contents </w:t>
      </w:r>
      <w:r w:rsidRPr="009856C0">
        <w:rPr>
          <w:rFonts w:asciiTheme="majorHAnsi" w:hAnsiTheme="majorHAnsi" w:cstheme="majorHAnsi"/>
        </w:rPr>
        <w:t>(Accessed: 12 October 2026).</w:t>
      </w:r>
    </w:p>
    <w:p w14:paraId="63C58EAF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Department for Education (2018) Working Together to Safeguard Children: A guide to inter-agency working to safeguard and promote the welfare of children. London: Department for Education. Publication history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https://www.gov.uk/government/publications/working-together-to-safeguard-children--2 </w:t>
      </w:r>
      <w:r w:rsidRPr="009856C0">
        <w:rPr>
          <w:rFonts w:asciiTheme="majorHAnsi" w:hAnsiTheme="majorHAnsi" w:cstheme="majorHAnsi"/>
        </w:rPr>
        <w:t>(Accessed: 12 October 2026).</w:t>
      </w:r>
    </w:p>
    <w:p w14:paraId="2CFFCC42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Department for Education (2023) Working Together to Safeguard Children 2023: A guide to multi-agency working to help, protect and promote the welfare of children. London: Department for Education.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https://www.refworld.org/sites/default/files/2024-02/working_together_to_safeguard_children_2023_-_statutory_guidance.pdf </w:t>
      </w:r>
      <w:r w:rsidRPr="009856C0">
        <w:rPr>
          <w:rFonts w:asciiTheme="majorHAnsi" w:hAnsiTheme="majorHAnsi" w:cstheme="majorHAnsi"/>
        </w:rPr>
        <w:t>(Accessed: 12 October 2026).</w:t>
      </w:r>
    </w:p>
    <w:p w14:paraId="6C4BBD0A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Department for Education (2026a) Working Together to Safeguard Children 2026: A guide to multi-agency working to help, protect and promote the welfare of children. London: Department for Education.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https://www.gov.uk/government/publications/working-together-to-safeguard-children--2 </w:t>
      </w:r>
      <w:r w:rsidRPr="009856C0">
        <w:rPr>
          <w:rFonts w:asciiTheme="majorHAnsi" w:hAnsiTheme="majorHAnsi" w:cstheme="majorHAnsi"/>
        </w:rPr>
        <w:t>(Accessed: 12 October 2026).</w:t>
      </w:r>
    </w:p>
    <w:p w14:paraId="30A02A43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Department for Education (2026b) Information sharing duty statutory guidance. London: Department for Education.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https://www.gov.uk/government/publications/information-sharing-to-safeguard-children-and-young-people </w:t>
      </w:r>
      <w:r w:rsidRPr="009856C0">
        <w:rPr>
          <w:rFonts w:asciiTheme="majorHAnsi" w:hAnsiTheme="majorHAnsi" w:cstheme="majorHAnsi"/>
        </w:rPr>
        <w:t>(Accessed: 12 October 2026).</w:t>
      </w:r>
    </w:p>
    <w:p w14:paraId="0B82091C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Domestic Abuse Act 2021, c. 17.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https://www.legislation.gov.uk/ukpga/2021/17/contents </w:t>
      </w:r>
      <w:r w:rsidRPr="009856C0">
        <w:rPr>
          <w:rFonts w:asciiTheme="majorHAnsi" w:hAnsiTheme="majorHAnsi" w:cstheme="majorHAnsi"/>
        </w:rPr>
        <w:t>(Accessed: 12 October 2026).</w:t>
      </w:r>
    </w:p>
    <w:p w14:paraId="16A43690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Equality Act 2010, c. 15.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https://www.legislation.gov.uk/ukpga/2010/15/contents </w:t>
      </w:r>
      <w:r w:rsidRPr="009856C0">
        <w:rPr>
          <w:rFonts w:asciiTheme="majorHAnsi" w:hAnsiTheme="majorHAnsi" w:cstheme="majorHAnsi"/>
        </w:rPr>
        <w:t>(Accessed: 12 October 2026).</w:t>
      </w:r>
    </w:p>
    <w:p w14:paraId="34CDFF6A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Home Office (2022) Domestic Abuse: Statutory guidance. London: Home Office.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https://www.gov.uk/government/publications/domestic-abuse-act-2021/domestic-abuse-statutory-guidance-accessible-version </w:t>
      </w:r>
      <w:r w:rsidRPr="009856C0">
        <w:rPr>
          <w:rFonts w:asciiTheme="majorHAnsi" w:hAnsiTheme="majorHAnsi" w:cstheme="majorHAnsi"/>
        </w:rPr>
        <w:t>(Accessed: 12 October 2026).</w:t>
      </w:r>
    </w:p>
    <w:p w14:paraId="5DCC5BD3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Hughes, K., Bellis, M.A., Hardcastle, K.A., Sethi, D., Butchart, A., </w:t>
      </w:r>
      <w:proofErr w:type="spellStart"/>
      <w:r w:rsidRPr="009856C0">
        <w:rPr>
          <w:rFonts w:asciiTheme="majorHAnsi" w:hAnsiTheme="majorHAnsi" w:cstheme="majorHAnsi"/>
        </w:rPr>
        <w:t>Mikton</w:t>
      </w:r>
      <w:proofErr w:type="spellEnd"/>
      <w:r w:rsidRPr="009856C0">
        <w:rPr>
          <w:rFonts w:asciiTheme="majorHAnsi" w:hAnsiTheme="majorHAnsi" w:cstheme="majorHAnsi"/>
        </w:rPr>
        <w:t xml:space="preserve">, C., Jones, L. and Dunne, M.P. (2017) ‘The effect of multiple adverse childhood experiences on health: a systematic review and meta-analysis’, The Lancet Public Health, 2(8), pp. e356–e366. </w:t>
      </w:r>
      <w:r w:rsidR="001810BE" w:rsidRPr="001810BE">
        <w:rPr>
          <w:rFonts w:asciiTheme="majorHAnsi" w:hAnsiTheme="majorHAnsi" w:cstheme="majorHAnsi"/>
          <w:color w:val="0000FF"/>
        </w:rPr>
        <w:t xml:space="preserve">https://doi.org/10.1016/s2468-2667(17)30118-4 </w:t>
      </w:r>
    </w:p>
    <w:p w14:paraId="03EB9116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National Institute for Health and Care Excellence (2018) Post-traumatic stress disorder. NICE guideline NG116. Available at: </w:t>
      </w:r>
      <w:r w:rsidRPr="001810BE">
        <w:rPr>
          <w:rFonts w:asciiTheme="majorHAnsi" w:hAnsiTheme="majorHAnsi" w:cstheme="majorHAnsi"/>
          <w:color w:val="0000FF"/>
        </w:rPr>
        <w:t xml:space="preserve">https://www.nice.org.uk/guidance/ng116/chapter/recommendations </w:t>
      </w:r>
      <w:r w:rsidRPr="009856C0">
        <w:rPr>
          <w:rFonts w:asciiTheme="majorHAnsi" w:hAnsiTheme="majorHAnsi" w:cstheme="majorHAnsi"/>
        </w:rPr>
        <w:t>(Accessed: 12 October 2026).</w:t>
      </w:r>
    </w:p>
    <w:p w14:paraId="7F29ADE3" w14:textId="77777777" w:rsidR="00F967CE" w:rsidRPr="009856C0" w:rsidRDefault="00F967CE" w:rsidP="009D727B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>Nicolas, J. (2023) Child Safeguarding Practice Review into the death of Adult A (BSCP 2020/21-02). Birmingham: Birmingham Safeguarding Children Partnership. Published 10 October 2023</w:t>
      </w:r>
      <w:r w:rsidR="001810BE" w:rsidRPr="001810BE">
        <w:t xml:space="preserve"> </w:t>
      </w:r>
      <w:r w:rsidR="001810BE" w:rsidRPr="009D727B">
        <w:rPr>
          <w:rFonts w:asciiTheme="majorHAnsi" w:hAnsiTheme="majorHAnsi" w:cstheme="majorHAnsi"/>
          <w:color w:val="0000FF"/>
        </w:rPr>
        <w:t>https://lscpbirmingham.org.uk/wp-content/uploads/2023/10/BSCP-2020-21-02-Child-A-CSPR.pdf</w:t>
      </w:r>
      <w:r w:rsidR="009D727B" w:rsidRPr="009D727B">
        <w:rPr>
          <w:rFonts w:asciiTheme="majorHAnsi" w:hAnsiTheme="majorHAnsi" w:cstheme="majorHAnsi"/>
          <w:color w:val="0000FF"/>
        </w:rPr>
        <w:t xml:space="preserve"> </w:t>
      </w:r>
      <w:r w:rsidR="009D727B" w:rsidRPr="009856C0">
        <w:rPr>
          <w:rFonts w:asciiTheme="majorHAnsi" w:hAnsiTheme="majorHAnsi" w:cstheme="majorHAnsi"/>
        </w:rPr>
        <w:t>(Accessed: 12 October 2026).</w:t>
      </w:r>
    </w:p>
    <w:p w14:paraId="7D00E6CE" w14:textId="77777777" w:rsidR="00F967CE" w:rsidRPr="009856C0" w:rsidRDefault="00F967CE" w:rsidP="00F967CE">
      <w:pPr>
        <w:keepLines/>
        <w:spacing w:after="200"/>
        <w:ind w:left="360" w:hanging="360"/>
        <w:jc w:val="both"/>
        <w:rPr>
          <w:rFonts w:asciiTheme="majorHAnsi" w:hAnsiTheme="majorHAnsi" w:cstheme="majorHAnsi"/>
        </w:rPr>
      </w:pPr>
      <w:r w:rsidRPr="009856C0">
        <w:rPr>
          <w:rFonts w:asciiTheme="majorHAnsi" w:hAnsiTheme="majorHAnsi" w:cstheme="majorHAnsi"/>
        </w:rPr>
        <w:t xml:space="preserve">United Nations (1989) Convention on the Rights of the Child. New York: United Nations. Available at: </w:t>
      </w:r>
      <w:r w:rsidRPr="009D727B">
        <w:rPr>
          <w:rFonts w:asciiTheme="majorHAnsi" w:hAnsiTheme="majorHAnsi" w:cstheme="majorHAnsi"/>
          <w:color w:val="0000FF"/>
        </w:rPr>
        <w:t xml:space="preserve">https://www.unicef.org/child-rights-convention/convention-text </w:t>
      </w:r>
      <w:r w:rsidRPr="009856C0">
        <w:rPr>
          <w:rFonts w:asciiTheme="majorHAnsi" w:hAnsiTheme="majorHAnsi" w:cstheme="majorHAnsi"/>
        </w:rPr>
        <w:t>(Accessed: 12 October 2026).</w:t>
      </w:r>
    </w:p>
    <w:p w14:paraId="26A36B18" w14:textId="77777777" w:rsidR="00134C98" w:rsidRDefault="00134C98"/>
    <w:sectPr w:rsidR="00134C98" w:rsidSect="00B238F5">
      <w:footerReference w:type="default" r:id="rId7"/>
      <w:pgSz w:w="11909" w:h="16834"/>
      <w:pgMar w:top="1152" w:right="1224" w:bottom="1152" w:left="1224" w:header="720" w:footer="720" w:gutter="0"/>
      <w:pgBorders w:offsetFrom="page">
        <w:top w:val="thinThickSmallGap" w:sz="24" w:space="24" w:color="auto" w:shadow="1"/>
        <w:left w:val="thinThickSmallGap" w:sz="24" w:space="24" w:color="auto" w:shadow="1"/>
        <w:bottom w:val="thinThickSmallGap" w:sz="24" w:space="24" w:color="auto" w:shadow="1"/>
        <w:right w:val="thinThickSmallGap" w:sz="24" w:space="24" w:color="auto" w:shadow="1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5E6288" w14:textId="77777777" w:rsidR="00184457" w:rsidRDefault="00184457" w:rsidP="00B238F5">
      <w:pPr>
        <w:spacing w:after="0" w:line="240" w:lineRule="auto"/>
      </w:pPr>
      <w:r>
        <w:separator/>
      </w:r>
    </w:p>
  </w:endnote>
  <w:endnote w:type="continuationSeparator" w:id="0">
    <w:p w14:paraId="7055D373" w14:textId="77777777" w:rsidR="00184457" w:rsidRDefault="00184457" w:rsidP="00B238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203154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5C94C6" w14:textId="77777777" w:rsidR="00B238F5" w:rsidRDefault="00B238F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C42701" w14:textId="77777777" w:rsidR="00000000" w:rsidRDefault="00000000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4A6645" w14:textId="77777777" w:rsidR="00184457" w:rsidRDefault="00184457" w:rsidP="00B238F5">
      <w:pPr>
        <w:spacing w:after="0" w:line="240" w:lineRule="auto"/>
      </w:pPr>
      <w:r>
        <w:separator/>
      </w:r>
    </w:p>
  </w:footnote>
  <w:footnote w:type="continuationSeparator" w:id="0">
    <w:p w14:paraId="422A8FE3" w14:textId="77777777" w:rsidR="00184457" w:rsidRDefault="00184457" w:rsidP="00B238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7CE"/>
    <w:rsid w:val="00134C98"/>
    <w:rsid w:val="001810BE"/>
    <w:rsid w:val="00184457"/>
    <w:rsid w:val="006E7592"/>
    <w:rsid w:val="00851394"/>
    <w:rsid w:val="00867C19"/>
    <w:rsid w:val="00913DF6"/>
    <w:rsid w:val="009D727B"/>
    <w:rsid w:val="00B238F5"/>
    <w:rsid w:val="00BD1BB4"/>
    <w:rsid w:val="00D72641"/>
    <w:rsid w:val="00F310CD"/>
    <w:rsid w:val="00F96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C7051"/>
  <w15:chartTrackingRefBased/>
  <w15:docId w15:val="{BB5AEF14-FE8D-482C-ADA2-84C562DE8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67CE"/>
    <w:pPr>
      <w:spacing w:line="276" w:lineRule="auto"/>
    </w:pPr>
    <w:rPr>
      <w:rFonts w:ascii="Arial" w:eastAsiaTheme="minorEastAsia" w:hAnsi="Arial"/>
      <w:color w:val="00000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51394"/>
    <w:pPr>
      <w:keepNext/>
      <w:keepLines/>
      <w:pageBreakBefore/>
      <w:spacing w:before="480" w:after="0"/>
      <w:jc w:val="center"/>
      <w:outlineLvl w:val="0"/>
    </w:pPr>
    <w:rPr>
      <w:rFonts w:eastAsiaTheme="majorEastAsia" w:cstheme="majorBidi"/>
      <w:b/>
      <w:bCs/>
      <w:color w:val="000000" w:themeColor="text1"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1394"/>
    <w:rPr>
      <w:rFonts w:ascii="Arial" w:eastAsiaTheme="majorEastAsia" w:hAnsi="Arial" w:cstheme="majorBidi"/>
      <w:b/>
      <w:bCs/>
      <w:color w:val="000000" w:themeColor="text1"/>
      <w:sz w:val="32"/>
      <w:szCs w:val="28"/>
    </w:rPr>
  </w:style>
  <w:style w:type="paragraph" w:styleId="Footer">
    <w:name w:val="footer"/>
    <w:basedOn w:val="Normal"/>
    <w:link w:val="FooterChar"/>
    <w:uiPriority w:val="99"/>
    <w:unhideWhenUsed/>
    <w:rsid w:val="00F967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67CE"/>
    <w:rPr>
      <w:rFonts w:ascii="Arial" w:eastAsiaTheme="minorEastAsia" w:hAnsi="Arial"/>
      <w:color w:val="000000"/>
    </w:rPr>
  </w:style>
  <w:style w:type="paragraph" w:styleId="Title">
    <w:name w:val="Title"/>
    <w:basedOn w:val="Normal"/>
    <w:next w:val="Normal"/>
    <w:link w:val="TitleChar"/>
    <w:uiPriority w:val="10"/>
    <w:qFormat/>
    <w:rsid w:val="00F967CE"/>
    <w:pPr>
      <w:spacing w:after="140" w:line="240" w:lineRule="auto"/>
      <w:contextualSpacing/>
    </w:pPr>
    <w:rPr>
      <w:rFonts w:asciiTheme="majorHAnsi" w:eastAsiaTheme="majorEastAsia" w:hAnsiTheme="majorHAnsi" w:cstheme="majorBidi"/>
      <w:spacing w:val="5"/>
      <w:kern w:val="28"/>
      <w:sz w:val="4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967CE"/>
    <w:rPr>
      <w:rFonts w:asciiTheme="majorHAnsi" w:eastAsiaTheme="majorEastAsia" w:hAnsiTheme="majorHAnsi" w:cstheme="majorBidi"/>
      <w:color w:val="000000"/>
      <w:spacing w:val="5"/>
      <w:kern w:val="28"/>
      <w:sz w:val="4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67CE"/>
    <w:pPr>
      <w:numPr>
        <w:ilvl w:val="1"/>
      </w:numPr>
    </w:pPr>
    <w:rPr>
      <w:rFonts w:asciiTheme="majorHAnsi" w:eastAsiaTheme="majorEastAsia" w:hAnsiTheme="majorHAnsi" w:cstheme="majorBidi"/>
      <w:i/>
      <w:iCs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967CE"/>
    <w:rPr>
      <w:rFonts w:asciiTheme="majorHAnsi" w:eastAsiaTheme="majorEastAsia" w:hAnsiTheme="majorHAnsi" w:cstheme="majorBidi"/>
      <w:i/>
      <w:iCs/>
      <w:color w:val="000000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238F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8F5"/>
    <w:rPr>
      <w:rFonts w:ascii="Arial" w:eastAsiaTheme="minorEastAsia" w:hAnsi="Arial"/>
      <w:color w:val="000000"/>
    </w:rPr>
  </w:style>
  <w:style w:type="character" w:styleId="Hyperlink">
    <w:name w:val="Hyperlink"/>
    <w:basedOn w:val="DefaultParagraphFont"/>
    <w:uiPriority w:val="99"/>
    <w:unhideWhenUsed/>
    <w:rsid w:val="001810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0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raani</dc:creator>
  <cp:keywords/>
  <dc:description/>
  <cp:lastModifiedBy>shazia shaban</cp:lastModifiedBy>
  <cp:revision>2</cp:revision>
  <dcterms:created xsi:type="dcterms:W3CDTF">2026-10-18T12:01:00Z</dcterms:created>
  <dcterms:modified xsi:type="dcterms:W3CDTF">2026-10-18T12:01:00Z</dcterms:modified>
</cp:coreProperties>
</file>