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45391559"/>
        <w:docPartObj>
          <w:docPartGallery w:val="Cover Pages"/>
          <w:docPartUnique/>
        </w:docPartObj>
      </w:sdtPr>
      <w:sdtEndPr>
        <w:rPr>
          <w:color w:val="7F7F7F" w:themeColor="text1" w:themeTint="80"/>
        </w:rPr>
      </w:sdtEndPr>
      <w:sdtContent>
        <w:p w14:paraId="439A4177" w14:textId="6FDB0234" w:rsidR="003340BC" w:rsidRDefault="003340BC">
          <w:r>
            <w:rPr>
              <w:noProof/>
            </w:rPr>
            <mc:AlternateContent>
              <mc:Choice Requires="wpg">
                <w:drawing>
                  <wp:anchor distT="0" distB="0" distL="114300" distR="114300" simplePos="0" relativeHeight="251659264" behindDoc="1" locked="0" layoutInCell="1" allowOverlap="1" wp14:anchorId="0FCE458E" wp14:editId="774F0B76">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73858BD" w14:textId="7CF7259F" w:rsidR="003340BC" w:rsidRDefault="003340BC">
                                      <w:pPr>
                                        <w:pStyle w:val="NoSpacing"/>
                                        <w:spacing w:before="120"/>
                                        <w:jc w:val="center"/>
                                        <w:rPr>
                                          <w:color w:val="FFFFFF" w:themeColor="background1"/>
                                        </w:rPr>
                                      </w:pPr>
                                      <w:r>
                                        <w:rPr>
                                          <w:color w:val="FFFFFF" w:themeColor="background1"/>
                                        </w:rPr>
                                        <w:t>Marina-Georgiana Hogea (2131351)</w:t>
                                      </w:r>
                                    </w:p>
                                  </w:sdtContent>
                                </w:sdt>
                                <w:p w14:paraId="07B11E0F" w14:textId="589BE3BA" w:rsidR="003340BC" w:rsidRDefault="003340BC">
                                  <w:pPr>
                                    <w:pStyle w:val="NoSpacing"/>
                                    <w:spacing w:before="120"/>
                                    <w:jc w:val="center"/>
                                    <w:rPr>
                                      <w:color w:val="FFFFFF" w:themeColor="background1"/>
                                    </w:rPr>
                                  </w:pPr>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7B522C7" w14:textId="24C28ED7" w:rsidR="003340BC" w:rsidRDefault="003340B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Financial Management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FCE458E"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73858BD" w14:textId="7CF7259F" w:rsidR="003340BC" w:rsidRDefault="003340BC">
                                <w:pPr>
                                  <w:pStyle w:val="NoSpacing"/>
                                  <w:spacing w:before="120"/>
                                  <w:jc w:val="center"/>
                                  <w:rPr>
                                    <w:color w:val="FFFFFF" w:themeColor="background1"/>
                                  </w:rPr>
                                </w:pPr>
                                <w:r>
                                  <w:rPr>
                                    <w:color w:val="FFFFFF" w:themeColor="background1"/>
                                  </w:rPr>
                                  <w:t>Marina-Georgiana Hogea (2131351)</w:t>
                                </w:r>
                              </w:p>
                            </w:sdtContent>
                          </w:sdt>
                          <w:p w14:paraId="07B11E0F" w14:textId="589BE3BA" w:rsidR="003340BC" w:rsidRDefault="003340BC">
                            <w:pPr>
                              <w:pStyle w:val="NoSpacing"/>
                              <w:spacing w:before="120"/>
                              <w:jc w:val="center"/>
                              <w:rPr>
                                <w:color w:val="FFFFFF" w:themeColor="background1"/>
                              </w:rPr>
                            </w:pPr>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7B522C7" w14:textId="24C28ED7" w:rsidR="003340BC" w:rsidRDefault="003340B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Financial Management</w:t>
                                </w:r>
                              </w:p>
                            </w:sdtContent>
                          </w:sdt>
                        </w:txbxContent>
                      </v:textbox>
                    </v:shape>
                    <w10:wrap anchorx="page" anchory="page"/>
                  </v:group>
                </w:pict>
              </mc:Fallback>
            </mc:AlternateContent>
          </w:r>
        </w:p>
        <w:p w14:paraId="7BDC0033" w14:textId="36F1A887" w:rsidR="003340BC" w:rsidRDefault="003340BC">
          <w:pPr>
            <w:rPr>
              <w:color w:val="7F7F7F" w:themeColor="text1" w:themeTint="80"/>
            </w:rPr>
          </w:pPr>
          <w:r>
            <w:rPr>
              <w:color w:val="7F7F7F" w:themeColor="text1" w:themeTint="80"/>
            </w:rPr>
            <w:br w:type="page"/>
          </w:r>
        </w:p>
      </w:sdtContent>
    </w:sdt>
    <w:p w14:paraId="1A623854" w14:textId="77777777" w:rsidR="3AFE0DE7" w:rsidRDefault="3AFE0DE7" w:rsidP="3AFE0DE7">
      <w:pPr>
        <w:pStyle w:val="Title"/>
        <w:tabs>
          <w:tab w:val="right" w:leader="dot" w:pos="9015"/>
        </w:tabs>
        <w:jc w:val="both"/>
        <w:rPr>
          <w:rFonts w:ascii="Arial" w:eastAsia="Arial" w:hAnsi="Arial" w:cs="Arial"/>
          <w:b/>
          <w:bCs/>
          <w:color w:val="000000" w:themeColor="text1"/>
          <w:sz w:val="32"/>
          <w:szCs w:val="32"/>
          <w:lang w:val="en-GB"/>
        </w:rPr>
      </w:pPr>
    </w:p>
    <w:p w14:paraId="02F6A629" w14:textId="02529FBB" w:rsidR="3AFE0DE7" w:rsidRDefault="3AFE0DE7" w:rsidP="3AFE0DE7">
      <w:pPr>
        <w:pStyle w:val="Title"/>
        <w:tabs>
          <w:tab w:val="right" w:leader="dot" w:pos="9015"/>
        </w:tabs>
        <w:rPr>
          <w:rFonts w:ascii="Arial" w:eastAsia="Arial" w:hAnsi="Arial" w:cs="Arial"/>
          <w:b/>
          <w:bCs/>
          <w:color w:val="000000" w:themeColor="text1"/>
          <w:sz w:val="32"/>
          <w:szCs w:val="32"/>
          <w:lang w:val="en-GB"/>
        </w:rPr>
      </w:pPr>
    </w:p>
    <w:p w14:paraId="501EA8EE" w14:textId="61580D39" w:rsidR="3AFE0DE7" w:rsidRDefault="3AFE0DE7" w:rsidP="3AFE0DE7">
      <w:pPr>
        <w:tabs>
          <w:tab w:val="right" w:leader="dot" w:pos="9015"/>
        </w:tabs>
        <w:rPr>
          <w:lang w:val="en-GB"/>
        </w:rPr>
      </w:pPr>
    </w:p>
    <w:p w14:paraId="5CB947EB" w14:textId="0711867B" w:rsidR="3AFE0DE7" w:rsidRDefault="3AFE0DE7" w:rsidP="3AFE0DE7">
      <w:pPr>
        <w:tabs>
          <w:tab w:val="right" w:leader="dot" w:pos="9015"/>
        </w:tabs>
        <w:rPr>
          <w:lang w:val="en-GB"/>
        </w:rPr>
      </w:pPr>
    </w:p>
    <w:p w14:paraId="0D83772B" w14:textId="6D24928F" w:rsidR="3AFE0DE7" w:rsidRDefault="3AFE0DE7" w:rsidP="3AFE0DE7">
      <w:pPr>
        <w:tabs>
          <w:tab w:val="right" w:leader="dot" w:pos="9015"/>
        </w:tabs>
        <w:rPr>
          <w:lang w:val="en-GB"/>
        </w:rPr>
      </w:pPr>
    </w:p>
    <w:p w14:paraId="45EB8274" w14:textId="2E620B5E" w:rsidR="3AFE0DE7" w:rsidRDefault="3AFE0DE7" w:rsidP="3AFE0DE7">
      <w:pPr>
        <w:tabs>
          <w:tab w:val="right" w:leader="dot" w:pos="9015"/>
        </w:tabs>
        <w:rPr>
          <w:lang w:val="en-GB"/>
        </w:rPr>
      </w:pPr>
    </w:p>
    <w:p w14:paraId="4F6A71DD" w14:textId="3EDEC73F" w:rsidR="3AFE0DE7" w:rsidRDefault="3AFE0DE7" w:rsidP="3AFE0DE7">
      <w:pPr>
        <w:tabs>
          <w:tab w:val="right" w:leader="dot" w:pos="9015"/>
        </w:tabs>
        <w:rPr>
          <w:lang w:val="en-GB"/>
        </w:rPr>
      </w:pPr>
    </w:p>
    <w:p w14:paraId="0B6206DE" w14:textId="2CD5F706" w:rsidR="3AFE0DE7" w:rsidRDefault="3AFE0DE7" w:rsidP="3AFE0DE7">
      <w:pPr>
        <w:tabs>
          <w:tab w:val="right" w:leader="dot" w:pos="9015"/>
        </w:tabs>
        <w:rPr>
          <w:lang w:val="en-GB"/>
        </w:rPr>
      </w:pPr>
    </w:p>
    <w:p w14:paraId="7F5F2AB3" w14:textId="25E78EAF" w:rsidR="47AD9DFE" w:rsidRDefault="47AD9DFE" w:rsidP="3AFE0DE7">
      <w:pPr>
        <w:pStyle w:val="Title"/>
        <w:tabs>
          <w:tab w:val="right" w:leader="dot" w:pos="9015"/>
        </w:tabs>
        <w:ind w:left="708" w:firstLine="708"/>
        <w:rPr>
          <w:rFonts w:ascii="Arial" w:eastAsia="Arial" w:hAnsi="Arial" w:cs="Arial"/>
          <w:i/>
          <w:iCs/>
          <w:color w:val="000000" w:themeColor="text1"/>
          <w:sz w:val="32"/>
          <w:szCs w:val="32"/>
        </w:rPr>
      </w:pPr>
      <w:r w:rsidRPr="3AFE0DE7">
        <w:rPr>
          <w:rFonts w:ascii="Arial" w:eastAsia="Arial" w:hAnsi="Arial" w:cs="Arial"/>
          <w:b/>
          <w:bCs/>
          <w:i/>
          <w:iCs/>
          <w:color w:val="000000" w:themeColor="text1"/>
          <w:sz w:val="32"/>
          <w:szCs w:val="32"/>
          <w:lang w:val="en-GB"/>
        </w:rPr>
        <w:t>Report Case Study: The Seaview Resort</w:t>
      </w:r>
    </w:p>
    <w:p w14:paraId="4E397B7A" w14:textId="507997ED" w:rsidR="3AFE0DE7" w:rsidRDefault="3AFE0DE7" w:rsidP="3AFE0DE7">
      <w:pPr>
        <w:keepNext/>
        <w:keepLines/>
        <w:spacing w:before="240" w:after="0"/>
        <w:rPr>
          <w:rFonts w:ascii="Arial" w:eastAsia="Arial" w:hAnsi="Arial" w:cs="Arial"/>
          <w:color w:val="2F5496" w:themeColor="accent1" w:themeShade="BF"/>
          <w:sz w:val="24"/>
          <w:szCs w:val="24"/>
        </w:rPr>
      </w:pPr>
    </w:p>
    <w:p w14:paraId="0F35CF7E" w14:textId="760ED602" w:rsidR="3AFE0DE7" w:rsidRDefault="3AFE0DE7" w:rsidP="3AFE0DE7">
      <w:pPr>
        <w:keepNext/>
        <w:keepLines/>
        <w:spacing w:before="240" w:after="0" w:line="360" w:lineRule="auto"/>
        <w:jc w:val="both"/>
        <w:rPr>
          <w:rFonts w:ascii="Times New Roman" w:eastAsia="Times New Roman" w:hAnsi="Times New Roman" w:cs="Times New Roman"/>
          <w:color w:val="000000" w:themeColor="text1"/>
        </w:rPr>
      </w:pPr>
    </w:p>
    <w:p w14:paraId="331365B7" w14:textId="35E969FC" w:rsidR="3AFE0DE7" w:rsidRDefault="3AFE0DE7" w:rsidP="3AFE0DE7">
      <w:pPr>
        <w:keepNext/>
        <w:keepLines/>
        <w:spacing w:before="240" w:after="0" w:line="360" w:lineRule="auto"/>
        <w:jc w:val="both"/>
        <w:rPr>
          <w:rFonts w:ascii="Times New Roman" w:eastAsia="Times New Roman" w:hAnsi="Times New Roman" w:cs="Times New Roman"/>
          <w:color w:val="000000" w:themeColor="text1"/>
        </w:rPr>
      </w:pPr>
    </w:p>
    <w:p w14:paraId="7DDC6AA3" w14:textId="3B799C1F" w:rsidR="3AFE0DE7" w:rsidRDefault="3AFE0DE7" w:rsidP="3AFE0DE7">
      <w:pPr>
        <w:keepNext/>
        <w:keepLines/>
        <w:spacing w:before="240" w:after="0" w:line="360" w:lineRule="auto"/>
        <w:jc w:val="both"/>
        <w:rPr>
          <w:rFonts w:ascii="Times New Roman" w:eastAsia="Times New Roman" w:hAnsi="Times New Roman" w:cs="Times New Roman"/>
          <w:color w:val="000000" w:themeColor="text1"/>
        </w:rPr>
      </w:pPr>
    </w:p>
    <w:p w14:paraId="6868FBB6" w14:textId="3C0D9B88" w:rsidR="3AFE0DE7" w:rsidRDefault="3AFE0DE7" w:rsidP="3AFE0DE7">
      <w:pPr>
        <w:keepNext/>
        <w:keepLines/>
        <w:spacing w:before="240" w:after="0" w:line="360" w:lineRule="auto"/>
        <w:jc w:val="both"/>
        <w:rPr>
          <w:rFonts w:ascii="Times New Roman" w:eastAsia="Times New Roman" w:hAnsi="Times New Roman" w:cs="Times New Roman"/>
          <w:color w:val="000000" w:themeColor="text1"/>
        </w:rPr>
      </w:pPr>
    </w:p>
    <w:p w14:paraId="508156B5" w14:textId="764C71BD" w:rsidR="3AFE0DE7" w:rsidRDefault="3AFE0DE7" w:rsidP="3AFE0DE7">
      <w:pPr>
        <w:keepNext/>
        <w:keepLines/>
        <w:spacing w:before="240" w:after="0" w:line="360" w:lineRule="auto"/>
        <w:jc w:val="both"/>
        <w:rPr>
          <w:rFonts w:ascii="Times New Roman" w:eastAsia="Times New Roman" w:hAnsi="Times New Roman" w:cs="Times New Roman"/>
          <w:color w:val="000000" w:themeColor="text1"/>
        </w:rPr>
      </w:pPr>
    </w:p>
    <w:p w14:paraId="084D4591" w14:textId="5A1D1F23" w:rsidR="3AFE0DE7" w:rsidRDefault="3AFE0DE7" w:rsidP="3AFE0DE7">
      <w:pPr>
        <w:keepNext/>
        <w:keepLines/>
        <w:spacing w:before="240" w:after="0" w:line="360" w:lineRule="auto"/>
        <w:jc w:val="both"/>
        <w:rPr>
          <w:rFonts w:ascii="Times New Roman" w:eastAsia="Times New Roman" w:hAnsi="Times New Roman" w:cs="Times New Roman"/>
          <w:color w:val="000000" w:themeColor="text1"/>
        </w:rPr>
      </w:pPr>
    </w:p>
    <w:p w14:paraId="7240A067" w14:textId="769ECA21" w:rsidR="3AFE0DE7" w:rsidRDefault="3AFE0DE7" w:rsidP="3AFE0DE7">
      <w:pPr>
        <w:keepNext/>
        <w:keepLines/>
        <w:spacing w:before="240" w:after="0" w:line="360" w:lineRule="auto"/>
        <w:jc w:val="both"/>
        <w:rPr>
          <w:rFonts w:ascii="Times New Roman" w:eastAsia="Times New Roman" w:hAnsi="Times New Roman" w:cs="Times New Roman"/>
          <w:color w:val="000000" w:themeColor="text1"/>
        </w:rPr>
      </w:pPr>
    </w:p>
    <w:p w14:paraId="2BF776C9" w14:textId="4B68F28B" w:rsidR="3AFE0DE7" w:rsidRDefault="3AFE0DE7" w:rsidP="3AFE0DE7">
      <w:pPr>
        <w:keepNext/>
        <w:keepLines/>
        <w:spacing w:before="240" w:after="0" w:line="360" w:lineRule="auto"/>
        <w:jc w:val="both"/>
        <w:rPr>
          <w:rFonts w:ascii="Times New Roman" w:eastAsia="Times New Roman" w:hAnsi="Times New Roman" w:cs="Times New Roman"/>
          <w:color w:val="000000" w:themeColor="text1"/>
        </w:rPr>
      </w:pPr>
    </w:p>
    <w:p w14:paraId="698D1DF0" w14:textId="563E3BE3" w:rsidR="3AFE0DE7" w:rsidRDefault="3AFE0DE7" w:rsidP="6539B490">
      <w:pPr>
        <w:keepNext/>
        <w:keepLines/>
        <w:spacing w:before="240" w:after="0" w:line="360" w:lineRule="auto"/>
        <w:jc w:val="both"/>
        <w:rPr>
          <w:rFonts w:ascii="Times New Roman" w:eastAsia="Times New Roman" w:hAnsi="Times New Roman" w:cs="Times New Roman"/>
          <w:color w:val="000000" w:themeColor="text1"/>
        </w:rPr>
      </w:pPr>
    </w:p>
    <w:p w14:paraId="59623F82" w14:textId="0244F880" w:rsidR="47AD9DFE" w:rsidRDefault="47AD9DFE" w:rsidP="3AFE0DE7">
      <w:pPr>
        <w:keepNext/>
        <w:keepLines/>
        <w:spacing w:before="240" w:after="0" w:line="360" w:lineRule="auto"/>
        <w:rPr>
          <w:rFonts w:ascii="Arial" w:eastAsia="Arial" w:hAnsi="Arial" w:cs="Arial"/>
          <w:color w:val="000000" w:themeColor="text1"/>
          <w:sz w:val="24"/>
          <w:szCs w:val="24"/>
        </w:rPr>
      </w:pPr>
      <w:r w:rsidRPr="3AFE0DE7">
        <w:rPr>
          <w:rFonts w:ascii="Arial" w:eastAsia="Arial" w:hAnsi="Arial" w:cs="Arial"/>
          <w:b/>
          <w:bCs/>
          <w:color w:val="000000" w:themeColor="text1"/>
          <w:sz w:val="24"/>
          <w:szCs w:val="24"/>
          <w:lang w:val="en-GB"/>
        </w:rPr>
        <w:t>Student Name</w:t>
      </w:r>
      <w:r w:rsidRPr="3AFE0DE7">
        <w:rPr>
          <w:rFonts w:ascii="Arial" w:eastAsia="Arial" w:hAnsi="Arial" w:cs="Arial"/>
          <w:color w:val="000000" w:themeColor="text1"/>
          <w:sz w:val="24"/>
          <w:szCs w:val="24"/>
          <w:lang w:val="en-GB"/>
        </w:rPr>
        <w:t>: Marina Georgiana Hogea</w:t>
      </w:r>
    </w:p>
    <w:p w14:paraId="1CCF804C" w14:textId="4199BE54" w:rsidR="47AD9DFE" w:rsidRDefault="47AD9DFE" w:rsidP="3AFE0DE7">
      <w:pPr>
        <w:keepNext/>
        <w:keepLines/>
        <w:spacing w:before="240" w:after="0" w:line="360" w:lineRule="auto"/>
        <w:rPr>
          <w:rFonts w:ascii="Arial" w:eastAsia="Arial" w:hAnsi="Arial" w:cs="Arial"/>
          <w:color w:val="000000" w:themeColor="text1"/>
          <w:sz w:val="24"/>
          <w:szCs w:val="24"/>
        </w:rPr>
      </w:pPr>
      <w:r w:rsidRPr="3AFE0DE7">
        <w:rPr>
          <w:rFonts w:ascii="Arial" w:eastAsia="Arial" w:hAnsi="Arial" w:cs="Arial"/>
          <w:b/>
          <w:bCs/>
          <w:color w:val="000000" w:themeColor="text1"/>
          <w:sz w:val="24"/>
          <w:szCs w:val="24"/>
          <w:lang w:val="en-GB"/>
        </w:rPr>
        <w:t>Student ID</w:t>
      </w:r>
      <w:r w:rsidRPr="3AFE0DE7">
        <w:rPr>
          <w:rFonts w:ascii="Arial" w:eastAsia="Arial" w:hAnsi="Arial" w:cs="Arial"/>
          <w:color w:val="000000" w:themeColor="text1"/>
          <w:sz w:val="24"/>
          <w:szCs w:val="24"/>
          <w:lang w:val="en-GB"/>
        </w:rPr>
        <w:t>: 2131351</w:t>
      </w:r>
    </w:p>
    <w:p w14:paraId="6F0C31A8" w14:textId="10909073" w:rsidR="47AD9DFE" w:rsidRDefault="47AD9DFE" w:rsidP="3AFE0DE7">
      <w:pPr>
        <w:keepNext/>
        <w:keepLines/>
        <w:spacing w:before="240" w:after="0" w:line="360" w:lineRule="auto"/>
        <w:rPr>
          <w:rFonts w:ascii="Arial" w:eastAsia="Arial" w:hAnsi="Arial" w:cs="Arial"/>
          <w:color w:val="000000" w:themeColor="text1"/>
          <w:sz w:val="24"/>
          <w:szCs w:val="24"/>
        </w:rPr>
      </w:pPr>
      <w:r w:rsidRPr="3AFE0DE7">
        <w:rPr>
          <w:rFonts w:ascii="Arial" w:eastAsia="Arial" w:hAnsi="Arial" w:cs="Arial"/>
          <w:b/>
          <w:bCs/>
          <w:color w:val="000000" w:themeColor="text1"/>
          <w:sz w:val="24"/>
          <w:szCs w:val="24"/>
          <w:lang w:val="en-GB"/>
        </w:rPr>
        <w:t>Module</w:t>
      </w:r>
      <w:r w:rsidRPr="3AFE0DE7">
        <w:rPr>
          <w:rFonts w:ascii="Arial" w:eastAsia="Arial" w:hAnsi="Arial" w:cs="Arial"/>
          <w:color w:val="000000" w:themeColor="text1"/>
          <w:sz w:val="24"/>
          <w:szCs w:val="24"/>
          <w:lang w:val="en-GB"/>
        </w:rPr>
        <w:t>: Financial Management for the Hotel Industry</w:t>
      </w:r>
    </w:p>
    <w:p w14:paraId="2735D9A3" w14:textId="6703C281" w:rsidR="47AD9DFE" w:rsidRDefault="47AD9DFE" w:rsidP="3AFE0DE7">
      <w:pPr>
        <w:keepNext/>
        <w:keepLines/>
        <w:spacing w:before="240" w:after="0" w:line="360" w:lineRule="auto"/>
        <w:rPr>
          <w:rFonts w:ascii="Arial" w:eastAsia="Arial" w:hAnsi="Arial" w:cs="Arial"/>
          <w:color w:val="000000" w:themeColor="text1"/>
          <w:sz w:val="24"/>
          <w:szCs w:val="24"/>
        </w:rPr>
      </w:pPr>
      <w:r w:rsidRPr="3AFE0DE7">
        <w:rPr>
          <w:rFonts w:ascii="Arial" w:eastAsia="Arial" w:hAnsi="Arial" w:cs="Arial"/>
          <w:b/>
          <w:bCs/>
          <w:color w:val="000000" w:themeColor="text1"/>
          <w:sz w:val="24"/>
          <w:szCs w:val="24"/>
          <w:lang w:val="en-GB"/>
        </w:rPr>
        <w:t>Module code</w:t>
      </w:r>
      <w:r w:rsidRPr="3AFE0DE7">
        <w:rPr>
          <w:rFonts w:ascii="Arial" w:eastAsia="Arial" w:hAnsi="Arial" w:cs="Arial"/>
          <w:color w:val="000000" w:themeColor="text1"/>
          <w:sz w:val="24"/>
          <w:szCs w:val="24"/>
          <w:lang w:val="en-GB"/>
        </w:rPr>
        <w:t>: BMIH5007</w:t>
      </w:r>
    </w:p>
    <w:p w14:paraId="2FE821CC" w14:textId="779B06B9" w:rsidR="47AD9DFE" w:rsidRDefault="47AD9DFE" w:rsidP="3AFE0DE7">
      <w:pPr>
        <w:keepNext/>
        <w:keepLines/>
        <w:spacing w:before="240" w:after="0" w:line="360" w:lineRule="auto"/>
        <w:rPr>
          <w:rFonts w:ascii="Arial" w:eastAsia="Arial" w:hAnsi="Arial" w:cs="Arial"/>
          <w:color w:val="000000" w:themeColor="text1"/>
          <w:sz w:val="24"/>
          <w:szCs w:val="24"/>
        </w:rPr>
      </w:pPr>
      <w:r w:rsidRPr="3AFE0DE7">
        <w:rPr>
          <w:rFonts w:ascii="Arial" w:eastAsia="Arial" w:hAnsi="Arial" w:cs="Arial"/>
          <w:b/>
          <w:bCs/>
          <w:color w:val="000000" w:themeColor="text1"/>
          <w:sz w:val="24"/>
          <w:szCs w:val="24"/>
          <w:lang w:val="en-GB"/>
        </w:rPr>
        <w:t>Lecturer</w:t>
      </w:r>
      <w:r w:rsidRPr="3AFE0DE7">
        <w:rPr>
          <w:rFonts w:ascii="Arial" w:eastAsia="Arial" w:hAnsi="Arial" w:cs="Arial"/>
          <w:color w:val="000000" w:themeColor="text1"/>
          <w:sz w:val="24"/>
          <w:szCs w:val="24"/>
          <w:lang w:val="en-GB"/>
        </w:rPr>
        <w:t>: Tristan Hawkins</w:t>
      </w:r>
    </w:p>
    <w:p w14:paraId="6DB5484A" w14:textId="1D9BB343" w:rsidR="3AFE0DE7" w:rsidRDefault="3AFE0DE7" w:rsidP="3AFE0DE7">
      <w:pPr>
        <w:tabs>
          <w:tab w:val="right" w:leader="dot" w:pos="9015"/>
        </w:tabs>
      </w:pPr>
    </w:p>
    <w:p w14:paraId="01BAC6F4" w14:textId="155A255C" w:rsidR="3C038063" w:rsidRDefault="3C038063" w:rsidP="6539B490">
      <w:pPr>
        <w:pStyle w:val="Heading1"/>
        <w:spacing w:after="160"/>
        <w:ind w:firstLine="360"/>
        <w:rPr>
          <w:rFonts w:ascii="Arial" w:eastAsia="Arial" w:hAnsi="Arial" w:cs="Arial"/>
          <w:b/>
          <w:bCs/>
          <w:color w:val="000000" w:themeColor="text1"/>
          <w:sz w:val="24"/>
          <w:szCs w:val="24"/>
        </w:rPr>
      </w:pPr>
      <w:bookmarkStart w:id="0" w:name="_Toc1271215823"/>
      <w:r w:rsidRPr="6539B490">
        <w:rPr>
          <w:rFonts w:ascii="Arial" w:eastAsia="Arial" w:hAnsi="Arial" w:cs="Arial"/>
          <w:b/>
          <w:bCs/>
          <w:color w:val="000000" w:themeColor="text1"/>
          <w:sz w:val="24"/>
          <w:szCs w:val="24"/>
          <w:lang w:val="en-GB"/>
        </w:rPr>
        <w:lastRenderedPageBreak/>
        <w:t>Executive Summary</w:t>
      </w:r>
      <w:bookmarkEnd w:id="0"/>
    </w:p>
    <w:p w14:paraId="20E5793B" w14:textId="32BA7AD3" w:rsidR="3C038063" w:rsidRDefault="3C038063" w:rsidP="3AFE0DE7">
      <w:pPr>
        <w:spacing w:after="0" w:line="360" w:lineRule="auto"/>
        <w:ind w:left="360"/>
        <w:jc w:val="both"/>
        <w:rPr>
          <w:rFonts w:ascii="Arial" w:eastAsia="Arial" w:hAnsi="Arial" w:cs="Arial"/>
          <w:color w:val="000000" w:themeColor="text1"/>
          <w:sz w:val="24"/>
          <w:szCs w:val="24"/>
        </w:rPr>
      </w:pPr>
      <w:r w:rsidRPr="3AFE0DE7">
        <w:rPr>
          <w:rFonts w:ascii="Arial" w:eastAsia="Arial" w:hAnsi="Arial" w:cs="Arial"/>
          <w:color w:val="000000" w:themeColor="text1"/>
          <w:sz w:val="24"/>
          <w:szCs w:val="24"/>
          <w:lang w:val="en-GB"/>
        </w:rPr>
        <w:t xml:space="preserve">The purpose of this study is to assess the financial challenges faced by The Seaview Resort and to propose a course of action to improve the resort’s profitability and position in the market. There has been a significant drop in income, occupancy, and customer happiness, even if the region is aesthetically pleasing. The facility’s owner, James Henderson, used his expertise to analyse the business’s financial performance, identify the key factors that caused the decline, and provide workable solutions. </w:t>
      </w:r>
      <w:proofErr w:type="gramStart"/>
      <w:r w:rsidRPr="3AFE0DE7">
        <w:rPr>
          <w:rFonts w:ascii="Arial" w:eastAsia="Arial" w:hAnsi="Arial" w:cs="Arial"/>
          <w:color w:val="000000" w:themeColor="text1"/>
          <w:sz w:val="24"/>
          <w:szCs w:val="24"/>
          <w:lang w:val="en-GB"/>
        </w:rPr>
        <w:t>In order to</w:t>
      </w:r>
      <w:proofErr w:type="gramEnd"/>
      <w:r w:rsidRPr="3AFE0DE7">
        <w:rPr>
          <w:rFonts w:ascii="Arial" w:eastAsia="Arial" w:hAnsi="Arial" w:cs="Arial"/>
          <w:color w:val="000000" w:themeColor="text1"/>
          <w:sz w:val="24"/>
          <w:szCs w:val="24"/>
          <w:lang w:val="en-GB"/>
        </w:rPr>
        <w:t xml:space="preserve"> revitalise the hotel business in region, this report provides a thorough introduction to Seaview Resort. Board recommendations, market analyses, and budget summaries are all part of it.</w:t>
      </w:r>
    </w:p>
    <w:p w14:paraId="0BF4CBC6" w14:textId="6D61C978" w:rsidR="3AFE0DE7" w:rsidRDefault="3AFE0DE7" w:rsidP="3AFE0DE7">
      <w:pPr>
        <w:tabs>
          <w:tab w:val="right" w:leader="dot" w:pos="9015"/>
        </w:tabs>
      </w:pPr>
    </w:p>
    <w:p w14:paraId="34E26AFA" w14:textId="0E12D5E7" w:rsidR="3AFE0DE7" w:rsidRDefault="3AFE0DE7" w:rsidP="3AFE0DE7">
      <w:pPr>
        <w:pStyle w:val="TOC1"/>
        <w:tabs>
          <w:tab w:val="right" w:leader="dot" w:pos="9015"/>
        </w:tabs>
      </w:pPr>
    </w:p>
    <w:p w14:paraId="1BFD3486" w14:textId="6BFF1D44" w:rsidR="3AFE0DE7" w:rsidRDefault="3AFE0DE7" w:rsidP="3AFE0DE7">
      <w:pPr>
        <w:pStyle w:val="TOC1"/>
        <w:tabs>
          <w:tab w:val="right" w:leader="dot" w:pos="9015"/>
        </w:tabs>
      </w:pPr>
    </w:p>
    <w:p w14:paraId="12F621F6" w14:textId="2DB653BA" w:rsidR="3AFE0DE7" w:rsidRDefault="3AFE0DE7" w:rsidP="3AFE0DE7">
      <w:pPr>
        <w:pStyle w:val="TOC1"/>
        <w:tabs>
          <w:tab w:val="right" w:leader="dot" w:pos="9015"/>
        </w:tabs>
      </w:pPr>
    </w:p>
    <w:p w14:paraId="2C00B307" w14:textId="66C22B5C" w:rsidR="3AFE0DE7" w:rsidRDefault="3AFE0DE7" w:rsidP="3AFE0DE7">
      <w:pPr>
        <w:pStyle w:val="TOC1"/>
        <w:tabs>
          <w:tab w:val="right" w:leader="dot" w:pos="9015"/>
        </w:tabs>
      </w:pPr>
    </w:p>
    <w:p w14:paraId="241CD9F9" w14:textId="09EB0759" w:rsidR="3AFE0DE7" w:rsidRDefault="3AFE0DE7" w:rsidP="3AFE0DE7">
      <w:pPr>
        <w:pStyle w:val="TOC1"/>
        <w:tabs>
          <w:tab w:val="right" w:leader="dot" w:pos="9015"/>
        </w:tabs>
      </w:pPr>
    </w:p>
    <w:p w14:paraId="7DD1F5C3" w14:textId="4442EC22" w:rsidR="3AFE0DE7" w:rsidRDefault="3AFE0DE7" w:rsidP="3AFE0DE7">
      <w:pPr>
        <w:pStyle w:val="TOC1"/>
        <w:tabs>
          <w:tab w:val="right" w:leader="dot" w:pos="9015"/>
        </w:tabs>
      </w:pPr>
    </w:p>
    <w:p w14:paraId="12035578" w14:textId="28B33BD5" w:rsidR="3AFE0DE7" w:rsidRDefault="3AFE0DE7" w:rsidP="3AFE0DE7">
      <w:pPr>
        <w:pStyle w:val="TOC1"/>
        <w:tabs>
          <w:tab w:val="right" w:leader="dot" w:pos="9015"/>
        </w:tabs>
      </w:pPr>
    </w:p>
    <w:p w14:paraId="4E0E162A" w14:textId="1194A3DA" w:rsidR="3AFE0DE7" w:rsidRDefault="3AFE0DE7" w:rsidP="3AFE0DE7">
      <w:pPr>
        <w:pStyle w:val="TOC1"/>
        <w:tabs>
          <w:tab w:val="right" w:leader="dot" w:pos="9015"/>
        </w:tabs>
      </w:pPr>
    </w:p>
    <w:p w14:paraId="3EF9500B" w14:textId="0808A050" w:rsidR="3AFE0DE7" w:rsidRDefault="3AFE0DE7" w:rsidP="3AFE0DE7">
      <w:pPr>
        <w:pStyle w:val="TOC1"/>
        <w:tabs>
          <w:tab w:val="right" w:leader="dot" w:pos="9015"/>
        </w:tabs>
      </w:pPr>
    </w:p>
    <w:p w14:paraId="60028045" w14:textId="19017A6D" w:rsidR="3AFE0DE7" w:rsidRDefault="3AFE0DE7" w:rsidP="3AFE0DE7">
      <w:pPr>
        <w:pStyle w:val="TOC1"/>
        <w:tabs>
          <w:tab w:val="right" w:leader="dot" w:pos="9015"/>
        </w:tabs>
      </w:pPr>
    </w:p>
    <w:p w14:paraId="1AA096D5" w14:textId="7ADF36F6" w:rsidR="3AFE0DE7" w:rsidRDefault="3AFE0DE7" w:rsidP="3AFE0DE7">
      <w:pPr>
        <w:pStyle w:val="TOC1"/>
        <w:tabs>
          <w:tab w:val="right" w:leader="dot" w:pos="9015"/>
        </w:tabs>
      </w:pPr>
    </w:p>
    <w:p w14:paraId="0AA5285A" w14:textId="39BA3A6A" w:rsidR="3AFE0DE7" w:rsidRDefault="3AFE0DE7" w:rsidP="3AFE0DE7">
      <w:pPr>
        <w:pStyle w:val="TOC1"/>
        <w:tabs>
          <w:tab w:val="right" w:leader="dot" w:pos="9015"/>
        </w:tabs>
      </w:pPr>
    </w:p>
    <w:p w14:paraId="6C831297" w14:textId="3BB8F3AD" w:rsidR="3AFE0DE7" w:rsidRDefault="3AFE0DE7" w:rsidP="3AFE0DE7">
      <w:pPr>
        <w:pStyle w:val="TOC1"/>
        <w:tabs>
          <w:tab w:val="right" w:leader="dot" w:pos="9015"/>
        </w:tabs>
      </w:pPr>
    </w:p>
    <w:p w14:paraId="64243A6D" w14:textId="7F3D6597" w:rsidR="3AFE0DE7" w:rsidRDefault="3AFE0DE7" w:rsidP="3AFE0DE7">
      <w:pPr>
        <w:pStyle w:val="TOC1"/>
        <w:tabs>
          <w:tab w:val="right" w:leader="dot" w:pos="9015"/>
        </w:tabs>
      </w:pPr>
    </w:p>
    <w:p w14:paraId="00DF795C" w14:textId="5120CB18" w:rsidR="3AFE0DE7" w:rsidRDefault="3AFE0DE7" w:rsidP="3AFE0DE7">
      <w:pPr>
        <w:pStyle w:val="TOC1"/>
        <w:tabs>
          <w:tab w:val="right" w:leader="dot" w:pos="9015"/>
        </w:tabs>
      </w:pPr>
    </w:p>
    <w:p w14:paraId="27300019" w14:textId="6E7412B4" w:rsidR="3AFE0DE7" w:rsidRDefault="3AFE0DE7" w:rsidP="3AFE0DE7">
      <w:pPr>
        <w:pStyle w:val="TOC1"/>
        <w:tabs>
          <w:tab w:val="right" w:leader="dot" w:pos="9015"/>
        </w:tabs>
      </w:pPr>
    </w:p>
    <w:p w14:paraId="40D9A9C5" w14:textId="011E4BEE" w:rsidR="3AFE0DE7" w:rsidRDefault="3AFE0DE7" w:rsidP="3AFE0DE7">
      <w:pPr>
        <w:pStyle w:val="TOC1"/>
        <w:tabs>
          <w:tab w:val="right" w:leader="dot" w:pos="9015"/>
        </w:tabs>
      </w:pPr>
    </w:p>
    <w:p w14:paraId="6D96D150" w14:textId="175B35E1" w:rsidR="3AFE0DE7" w:rsidRDefault="3AFE0DE7" w:rsidP="3AFE0DE7">
      <w:pPr>
        <w:pStyle w:val="TOC1"/>
        <w:tabs>
          <w:tab w:val="right" w:leader="dot" w:pos="9015"/>
        </w:tabs>
      </w:pPr>
    </w:p>
    <w:p w14:paraId="093B8231" w14:textId="64C287E8" w:rsidR="3AFE0DE7" w:rsidRDefault="3AFE0DE7" w:rsidP="3AFE0DE7">
      <w:pPr>
        <w:pStyle w:val="TOC1"/>
        <w:tabs>
          <w:tab w:val="right" w:leader="dot" w:pos="9015"/>
        </w:tabs>
      </w:pPr>
    </w:p>
    <w:p w14:paraId="4D4F6F09" w14:textId="524D80FD" w:rsidR="3AFE0DE7" w:rsidRDefault="3AFE0DE7" w:rsidP="3AFE0DE7">
      <w:pPr>
        <w:pStyle w:val="TOC1"/>
        <w:tabs>
          <w:tab w:val="right" w:leader="dot" w:pos="9015"/>
        </w:tabs>
      </w:pPr>
    </w:p>
    <w:p w14:paraId="0C9D772B" w14:textId="527A6705" w:rsidR="3AFE0DE7" w:rsidRDefault="3AFE0DE7" w:rsidP="3AFE0DE7">
      <w:pPr>
        <w:pStyle w:val="TOC1"/>
        <w:tabs>
          <w:tab w:val="right" w:leader="dot" w:pos="9015"/>
        </w:tabs>
      </w:pPr>
    </w:p>
    <w:p w14:paraId="7B086899" w14:textId="5847D4F7" w:rsidR="3AFE0DE7" w:rsidRDefault="3AFE0DE7" w:rsidP="3AFE0DE7">
      <w:pPr>
        <w:pStyle w:val="TOC1"/>
        <w:tabs>
          <w:tab w:val="right" w:leader="dot" w:pos="9015"/>
        </w:tabs>
      </w:pPr>
    </w:p>
    <w:p w14:paraId="47F65570" w14:textId="012F8F29" w:rsidR="3AFE0DE7" w:rsidRDefault="3AFE0DE7" w:rsidP="3AFE0DE7">
      <w:pPr>
        <w:pStyle w:val="TOC1"/>
        <w:tabs>
          <w:tab w:val="right" w:leader="dot" w:pos="9015"/>
        </w:tabs>
      </w:pPr>
    </w:p>
    <w:p w14:paraId="61E042A6" w14:textId="1B390A35" w:rsidR="3AFE0DE7" w:rsidRDefault="3AFE0DE7" w:rsidP="3AFE0DE7">
      <w:pPr>
        <w:pStyle w:val="TOC1"/>
        <w:tabs>
          <w:tab w:val="right" w:leader="dot" w:pos="9015"/>
        </w:tabs>
      </w:pPr>
    </w:p>
    <w:p w14:paraId="296699D5" w14:textId="7F2DC3A3" w:rsidR="1F452FAE" w:rsidRDefault="1F452FAE" w:rsidP="3AFE0DE7">
      <w:pPr>
        <w:tabs>
          <w:tab w:val="right" w:leader="dot" w:pos="9015"/>
        </w:tabs>
        <w:ind w:left="2832" w:firstLine="708"/>
        <w:rPr>
          <w:rFonts w:ascii="Arial" w:eastAsia="Arial" w:hAnsi="Arial" w:cs="Arial"/>
          <w:b/>
          <w:bCs/>
          <w:i/>
          <w:iCs/>
          <w:sz w:val="24"/>
          <w:szCs w:val="24"/>
        </w:rPr>
      </w:pPr>
      <w:r w:rsidRPr="3AFE0DE7">
        <w:rPr>
          <w:rFonts w:ascii="Arial" w:eastAsia="Arial" w:hAnsi="Arial" w:cs="Arial"/>
          <w:b/>
          <w:bCs/>
          <w:i/>
          <w:iCs/>
          <w:sz w:val="24"/>
          <w:szCs w:val="24"/>
        </w:rPr>
        <w:lastRenderedPageBreak/>
        <w:t>Contents</w:t>
      </w:r>
    </w:p>
    <w:p w14:paraId="71966686" w14:textId="170AEA49" w:rsidR="3AFE0DE7" w:rsidRDefault="3AFE0DE7" w:rsidP="3AFE0DE7">
      <w:pPr>
        <w:pStyle w:val="TOC1"/>
        <w:tabs>
          <w:tab w:val="right" w:leader="dot" w:pos="9015"/>
        </w:tabs>
      </w:pPr>
    </w:p>
    <w:sdt>
      <w:sdtPr>
        <w:id w:val="1846728996"/>
        <w:docPartObj>
          <w:docPartGallery w:val="Table of Contents"/>
          <w:docPartUnique/>
        </w:docPartObj>
      </w:sdtPr>
      <w:sdtContent>
        <w:p w14:paraId="7B8D20F6" w14:textId="24751C7A" w:rsidR="3AFE0DE7" w:rsidRDefault="6539B490" w:rsidP="3AFE0DE7">
          <w:pPr>
            <w:pStyle w:val="TOC1"/>
            <w:tabs>
              <w:tab w:val="right" w:leader="dot" w:pos="9015"/>
            </w:tabs>
            <w:rPr>
              <w:rStyle w:val="Hyperlink"/>
              <w:noProof/>
            </w:rPr>
          </w:pPr>
          <w:r>
            <w:fldChar w:fldCharType="begin"/>
          </w:r>
          <w:r w:rsidR="3AFE0DE7">
            <w:instrText>TOC \o \z \u \h</w:instrText>
          </w:r>
          <w:r>
            <w:fldChar w:fldCharType="separate"/>
          </w:r>
          <w:hyperlink w:anchor="_Toc1271215823">
            <w:r w:rsidRPr="6539B490">
              <w:rPr>
                <w:rStyle w:val="Hyperlink"/>
                <w:noProof/>
              </w:rPr>
              <w:t>Executive Summary</w:t>
            </w:r>
            <w:r w:rsidR="3AFE0DE7">
              <w:rPr>
                <w:noProof/>
              </w:rPr>
              <w:tab/>
            </w:r>
            <w:r w:rsidR="3AFE0DE7">
              <w:rPr>
                <w:noProof/>
              </w:rPr>
              <w:fldChar w:fldCharType="begin"/>
            </w:r>
            <w:r w:rsidR="3AFE0DE7">
              <w:rPr>
                <w:noProof/>
              </w:rPr>
              <w:instrText>PAGEREF _Toc1271215823 \h</w:instrText>
            </w:r>
            <w:r w:rsidR="3AFE0DE7">
              <w:rPr>
                <w:noProof/>
              </w:rPr>
            </w:r>
            <w:r w:rsidR="3AFE0DE7">
              <w:rPr>
                <w:noProof/>
              </w:rPr>
              <w:fldChar w:fldCharType="separate"/>
            </w:r>
            <w:r w:rsidR="001649CE">
              <w:rPr>
                <w:noProof/>
              </w:rPr>
              <w:t>2</w:t>
            </w:r>
            <w:r w:rsidR="3AFE0DE7">
              <w:rPr>
                <w:noProof/>
              </w:rPr>
              <w:fldChar w:fldCharType="end"/>
            </w:r>
          </w:hyperlink>
        </w:p>
        <w:p w14:paraId="2B710088" w14:textId="0AEB50A7" w:rsidR="3AFE0DE7" w:rsidRDefault="00000000" w:rsidP="3AFE0DE7">
          <w:pPr>
            <w:pStyle w:val="TOC1"/>
            <w:tabs>
              <w:tab w:val="right" w:leader="dot" w:pos="9015"/>
            </w:tabs>
            <w:rPr>
              <w:rStyle w:val="Hyperlink"/>
              <w:noProof/>
            </w:rPr>
          </w:pPr>
          <w:hyperlink w:anchor="_Toc578670211">
            <w:r w:rsidR="6539B490" w:rsidRPr="6539B490">
              <w:rPr>
                <w:rStyle w:val="Hyperlink"/>
                <w:noProof/>
              </w:rPr>
              <w:t>Purpose of the Study</w:t>
            </w:r>
            <w:r w:rsidR="3AFE0DE7">
              <w:rPr>
                <w:noProof/>
              </w:rPr>
              <w:tab/>
            </w:r>
            <w:r w:rsidR="3AFE0DE7">
              <w:rPr>
                <w:noProof/>
              </w:rPr>
              <w:fldChar w:fldCharType="begin"/>
            </w:r>
            <w:r w:rsidR="3AFE0DE7">
              <w:rPr>
                <w:noProof/>
              </w:rPr>
              <w:instrText>PAGEREF _Toc578670211 \h</w:instrText>
            </w:r>
            <w:r w:rsidR="3AFE0DE7">
              <w:rPr>
                <w:noProof/>
              </w:rPr>
            </w:r>
            <w:r w:rsidR="3AFE0DE7">
              <w:rPr>
                <w:noProof/>
              </w:rPr>
              <w:fldChar w:fldCharType="separate"/>
            </w:r>
            <w:r w:rsidR="001649CE">
              <w:rPr>
                <w:noProof/>
              </w:rPr>
              <w:t>4</w:t>
            </w:r>
            <w:r w:rsidR="3AFE0DE7">
              <w:rPr>
                <w:noProof/>
              </w:rPr>
              <w:fldChar w:fldCharType="end"/>
            </w:r>
          </w:hyperlink>
        </w:p>
        <w:p w14:paraId="36BA3BC3" w14:textId="0DF861D5" w:rsidR="3AFE0DE7" w:rsidRDefault="00000000" w:rsidP="3AFE0DE7">
          <w:pPr>
            <w:pStyle w:val="TOC1"/>
            <w:tabs>
              <w:tab w:val="right" w:leader="dot" w:pos="9015"/>
            </w:tabs>
            <w:rPr>
              <w:rStyle w:val="Hyperlink"/>
              <w:noProof/>
            </w:rPr>
          </w:pPr>
          <w:hyperlink w:anchor="_Toc1344554586">
            <w:r w:rsidR="6539B490" w:rsidRPr="6539B490">
              <w:rPr>
                <w:rStyle w:val="Hyperlink"/>
                <w:noProof/>
              </w:rPr>
              <w:t>Introduction</w:t>
            </w:r>
            <w:r w:rsidR="3AFE0DE7">
              <w:rPr>
                <w:noProof/>
              </w:rPr>
              <w:tab/>
            </w:r>
            <w:r w:rsidR="3AFE0DE7">
              <w:rPr>
                <w:noProof/>
              </w:rPr>
              <w:fldChar w:fldCharType="begin"/>
            </w:r>
            <w:r w:rsidR="3AFE0DE7">
              <w:rPr>
                <w:noProof/>
              </w:rPr>
              <w:instrText>PAGEREF _Toc1344554586 \h</w:instrText>
            </w:r>
            <w:r w:rsidR="3AFE0DE7">
              <w:rPr>
                <w:noProof/>
              </w:rPr>
            </w:r>
            <w:r w:rsidR="3AFE0DE7">
              <w:rPr>
                <w:noProof/>
              </w:rPr>
              <w:fldChar w:fldCharType="separate"/>
            </w:r>
            <w:r w:rsidR="001649CE">
              <w:rPr>
                <w:noProof/>
              </w:rPr>
              <w:t>5</w:t>
            </w:r>
            <w:r w:rsidR="3AFE0DE7">
              <w:rPr>
                <w:noProof/>
              </w:rPr>
              <w:fldChar w:fldCharType="end"/>
            </w:r>
          </w:hyperlink>
        </w:p>
        <w:p w14:paraId="4C6BAD21" w14:textId="51DF8D91" w:rsidR="3AFE0DE7" w:rsidRDefault="00000000" w:rsidP="3AFE0DE7">
          <w:pPr>
            <w:pStyle w:val="TOC1"/>
            <w:tabs>
              <w:tab w:val="right" w:leader="dot" w:pos="9015"/>
            </w:tabs>
            <w:rPr>
              <w:rStyle w:val="Hyperlink"/>
              <w:noProof/>
            </w:rPr>
          </w:pPr>
          <w:hyperlink w:anchor="_Toc1903590004">
            <w:r w:rsidR="6539B490" w:rsidRPr="6539B490">
              <w:rPr>
                <w:rStyle w:val="Hyperlink"/>
                <w:noProof/>
              </w:rPr>
              <w:t>Scope and Objective</w:t>
            </w:r>
            <w:r w:rsidR="3AFE0DE7">
              <w:rPr>
                <w:noProof/>
              </w:rPr>
              <w:tab/>
            </w:r>
            <w:r w:rsidR="3AFE0DE7">
              <w:rPr>
                <w:noProof/>
              </w:rPr>
              <w:fldChar w:fldCharType="begin"/>
            </w:r>
            <w:r w:rsidR="3AFE0DE7">
              <w:rPr>
                <w:noProof/>
              </w:rPr>
              <w:instrText>PAGEREF _Toc1903590004 \h</w:instrText>
            </w:r>
            <w:r w:rsidR="3AFE0DE7">
              <w:rPr>
                <w:noProof/>
              </w:rPr>
            </w:r>
            <w:r w:rsidR="3AFE0DE7">
              <w:rPr>
                <w:noProof/>
              </w:rPr>
              <w:fldChar w:fldCharType="separate"/>
            </w:r>
            <w:r w:rsidR="001649CE">
              <w:rPr>
                <w:noProof/>
              </w:rPr>
              <w:t>5</w:t>
            </w:r>
            <w:r w:rsidR="3AFE0DE7">
              <w:rPr>
                <w:noProof/>
              </w:rPr>
              <w:fldChar w:fldCharType="end"/>
            </w:r>
          </w:hyperlink>
        </w:p>
        <w:p w14:paraId="330185E3" w14:textId="1EF24668" w:rsidR="3AFE0DE7" w:rsidRDefault="00000000" w:rsidP="3AFE0DE7">
          <w:pPr>
            <w:pStyle w:val="TOC1"/>
            <w:tabs>
              <w:tab w:val="right" w:leader="dot" w:pos="9015"/>
            </w:tabs>
            <w:rPr>
              <w:rStyle w:val="Hyperlink"/>
              <w:noProof/>
            </w:rPr>
          </w:pPr>
          <w:hyperlink w:anchor="_Toc1317136166">
            <w:r w:rsidR="6539B490" w:rsidRPr="6539B490">
              <w:rPr>
                <w:rStyle w:val="Hyperlink"/>
                <w:noProof/>
              </w:rPr>
              <w:t>Financial Performance Analysis of The Seaview Resort (2020-2022)</w:t>
            </w:r>
            <w:r w:rsidR="3AFE0DE7">
              <w:rPr>
                <w:noProof/>
              </w:rPr>
              <w:tab/>
            </w:r>
            <w:r w:rsidR="3AFE0DE7">
              <w:rPr>
                <w:noProof/>
              </w:rPr>
              <w:fldChar w:fldCharType="begin"/>
            </w:r>
            <w:r w:rsidR="3AFE0DE7">
              <w:rPr>
                <w:noProof/>
              </w:rPr>
              <w:instrText>PAGEREF _Toc1317136166 \h</w:instrText>
            </w:r>
            <w:r w:rsidR="3AFE0DE7">
              <w:rPr>
                <w:noProof/>
              </w:rPr>
            </w:r>
            <w:r w:rsidR="3AFE0DE7">
              <w:rPr>
                <w:noProof/>
              </w:rPr>
              <w:fldChar w:fldCharType="separate"/>
            </w:r>
            <w:r w:rsidR="001649CE">
              <w:rPr>
                <w:noProof/>
              </w:rPr>
              <w:t>5</w:t>
            </w:r>
            <w:r w:rsidR="3AFE0DE7">
              <w:rPr>
                <w:noProof/>
              </w:rPr>
              <w:fldChar w:fldCharType="end"/>
            </w:r>
          </w:hyperlink>
        </w:p>
        <w:p w14:paraId="16C29253" w14:textId="0B7BEC41" w:rsidR="3AFE0DE7" w:rsidRDefault="00000000" w:rsidP="3AFE0DE7">
          <w:pPr>
            <w:pStyle w:val="TOC1"/>
            <w:tabs>
              <w:tab w:val="right" w:leader="dot" w:pos="9015"/>
            </w:tabs>
            <w:rPr>
              <w:rStyle w:val="Hyperlink"/>
              <w:noProof/>
            </w:rPr>
          </w:pPr>
          <w:hyperlink w:anchor="_Toc194442391">
            <w:r w:rsidR="6539B490" w:rsidRPr="6539B490">
              <w:rPr>
                <w:rStyle w:val="Hyperlink"/>
                <w:noProof/>
              </w:rPr>
              <w:t>Income Statement Analysis:</w:t>
            </w:r>
            <w:r w:rsidR="3AFE0DE7">
              <w:rPr>
                <w:noProof/>
              </w:rPr>
              <w:tab/>
            </w:r>
            <w:r w:rsidR="3AFE0DE7">
              <w:rPr>
                <w:noProof/>
              </w:rPr>
              <w:fldChar w:fldCharType="begin"/>
            </w:r>
            <w:r w:rsidR="3AFE0DE7">
              <w:rPr>
                <w:noProof/>
              </w:rPr>
              <w:instrText>PAGEREF _Toc194442391 \h</w:instrText>
            </w:r>
            <w:r w:rsidR="3AFE0DE7">
              <w:rPr>
                <w:noProof/>
              </w:rPr>
            </w:r>
            <w:r w:rsidR="3AFE0DE7">
              <w:rPr>
                <w:noProof/>
              </w:rPr>
              <w:fldChar w:fldCharType="separate"/>
            </w:r>
            <w:r w:rsidR="001649CE">
              <w:rPr>
                <w:noProof/>
              </w:rPr>
              <w:t>6</w:t>
            </w:r>
            <w:r w:rsidR="3AFE0DE7">
              <w:rPr>
                <w:noProof/>
              </w:rPr>
              <w:fldChar w:fldCharType="end"/>
            </w:r>
          </w:hyperlink>
        </w:p>
        <w:p w14:paraId="34131EFC" w14:textId="5E7406C8" w:rsidR="3AFE0DE7" w:rsidRDefault="00000000" w:rsidP="3AFE0DE7">
          <w:pPr>
            <w:pStyle w:val="TOC1"/>
            <w:tabs>
              <w:tab w:val="right" w:leader="dot" w:pos="9015"/>
            </w:tabs>
            <w:rPr>
              <w:rStyle w:val="Hyperlink"/>
              <w:noProof/>
            </w:rPr>
          </w:pPr>
          <w:hyperlink w:anchor="_Toc1145275418">
            <w:r w:rsidR="6539B490" w:rsidRPr="6539B490">
              <w:rPr>
                <w:rStyle w:val="Hyperlink"/>
                <w:noProof/>
              </w:rPr>
              <w:t>Balance Sheet Analysis (End of 2022):</w:t>
            </w:r>
            <w:r w:rsidR="3AFE0DE7">
              <w:rPr>
                <w:noProof/>
              </w:rPr>
              <w:tab/>
            </w:r>
            <w:r w:rsidR="3AFE0DE7">
              <w:rPr>
                <w:noProof/>
              </w:rPr>
              <w:fldChar w:fldCharType="begin"/>
            </w:r>
            <w:r w:rsidR="3AFE0DE7">
              <w:rPr>
                <w:noProof/>
              </w:rPr>
              <w:instrText>PAGEREF _Toc1145275418 \h</w:instrText>
            </w:r>
            <w:r w:rsidR="3AFE0DE7">
              <w:rPr>
                <w:noProof/>
              </w:rPr>
            </w:r>
            <w:r w:rsidR="3AFE0DE7">
              <w:rPr>
                <w:noProof/>
              </w:rPr>
              <w:fldChar w:fldCharType="separate"/>
            </w:r>
            <w:r w:rsidR="001649CE">
              <w:rPr>
                <w:noProof/>
              </w:rPr>
              <w:t>6</w:t>
            </w:r>
            <w:r w:rsidR="3AFE0DE7">
              <w:rPr>
                <w:noProof/>
              </w:rPr>
              <w:fldChar w:fldCharType="end"/>
            </w:r>
          </w:hyperlink>
        </w:p>
        <w:p w14:paraId="1976B3CA" w14:textId="2351F7ED" w:rsidR="3AFE0DE7" w:rsidRDefault="00000000" w:rsidP="3AFE0DE7">
          <w:pPr>
            <w:pStyle w:val="TOC1"/>
            <w:tabs>
              <w:tab w:val="right" w:leader="dot" w:pos="9015"/>
            </w:tabs>
            <w:rPr>
              <w:rStyle w:val="Hyperlink"/>
              <w:noProof/>
            </w:rPr>
          </w:pPr>
          <w:hyperlink w:anchor="_Toc871518307">
            <w:r w:rsidR="6539B490" w:rsidRPr="6539B490">
              <w:rPr>
                <w:rStyle w:val="Hyperlink"/>
                <w:noProof/>
              </w:rPr>
              <w:t>Cash Flow Analysis (2021):</w:t>
            </w:r>
            <w:r w:rsidR="3AFE0DE7">
              <w:rPr>
                <w:noProof/>
              </w:rPr>
              <w:tab/>
            </w:r>
            <w:r w:rsidR="3AFE0DE7">
              <w:rPr>
                <w:noProof/>
              </w:rPr>
              <w:fldChar w:fldCharType="begin"/>
            </w:r>
            <w:r w:rsidR="3AFE0DE7">
              <w:rPr>
                <w:noProof/>
              </w:rPr>
              <w:instrText>PAGEREF _Toc871518307 \h</w:instrText>
            </w:r>
            <w:r w:rsidR="3AFE0DE7">
              <w:rPr>
                <w:noProof/>
              </w:rPr>
            </w:r>
            <w:r w:rsidR="3AFE0DE7">
              <w:rPr>
                <w:noProof/>
              </w:rPr>
              <w:fldChar w:fldCharType="separate"/>
            </w:r>
            <w:r w:rsidR="001649CE">
              <w:rPr>
                <w:noProof/>
              </w:rPr>
              <w:t>7</w:t>
            </w:r>
            <w:r w:rsidR="3AFE0DE7">
              <w:rPr>
                <w:noProof/>
              </w:rPr>
              <w:fldChar w:fldCharType="end"/>
            </w:r>
          </w:hyperlink>
        </w:p>
        <w:p w14:paraId="3BD62720" w14:textId="30608B35" w:rsidR="3AFE0DE7" w:rsidRDefault="00000000" w:rsidP="3AFE0DE7">
          <w:pPr>
            <w:pStyle w:val="TOC1"/>
            <w:tabs>
              <w:tab w:val="right" w:leader="dot" w:pos="9015"/>
            </w:tabs>
            <w:rPr>
              <w:rStyle w:val="Hyperlink"/>
              <w:noProof/>
            </w:rPr>
          </w:pPr>
          <w:hyperlink w:anchor="_Toc1219724402">
            <w:r w:rsidR="6539B490" w:rsidRPr="6539B490">
              <w:rPr>
                <w:rStyle w:val="Hyperlink"/>
                <w:noProof/>
              </w:rPr>
              <w:t>Additional information</w:t>
            </w:r>
            <w:r w:rsidR="3AFE0DE7">
              <w:rPr>
                <w:noProof/>
              </w:rPr>
              <w:tab/>
            </w:r>
            <w:r w:rsidR="3AFE0DE7">
              <w:rPr>
                <w:noProof/>
              </w:rPr>
              <w:fldChar w:fldCharType="begin"/>
            </w:r>
            <w:r w:rsidR="3AFE0DE7">
              <w:rPr>
                <w:noProof/>
              </w:rPr>
              <w:instrText>PAGEREF _Toc1219724402 \h</w:instrText>
            </w:r>
            <w:r w:rsidR="3AFE0DE7">
              <w:rPr>
                <w:noProof/>
              </w:rPr>
            </w:r>
            <w:r w:rsidR="3AFE0DE7">
              <w:rPr>
                <w:noProof/>
              </w:rPr>
              <w:fldChar w:fldCharType="separate"/>
            </w:r>
            <w:r w:rsidR="001649CE">
              <w:rPr>
                <w:noProof/>
              </w:rPr>
              <w:t>8</w:t>
            </w:r>
            <w:r w:rsidR="3AFE0DE7">
              <w:rPr>
                <w:noProof/>
              </w:rPr>
              <w:fldChar w:fldCharType="end"/>
            </w:r>
          </w:hyperlink>
        </w:p>
        <w:p w14:paraId="6DD88605" w14:textId="7CC52810" w:rsidR="3AFE0DE7" w:rsidRDefault="00000000" w:rsidP="3AFE0DE7">
          <w:pPr>
            <w:pStyle w:val="TOC1"/>
            <w:tabs>
              <w:tab w:val="right" w:leader="dot" w:pos="9015"/>
            </w:tabs>
            <w:rPr>
              <w:rStyle w:val="Hyperlink"/>
              <w:noProof/>
            </w:rPr>
          </w:pPr>
          <w:hyperlink w:anchor="_Toc1501690912">
            <w:r w:rsidR="6539B490" w:rsidRPr="6539B490">
              <w:rPr>
                <w:rStyle w:val="Hyperlink"/>
                <w:noProof/>
              </w:rPr>
              <w:t>Swot Analysis</w:t>
            </w:r>
            <w:r w:rsidR="3AFE0DE7">
              <w:rPr>
                <w:noProof/>
              </w:rPr>
              <w:tab/>
            </w:r>
            <w:r w:rsidR="3AFE0DE7">
              <w:rPr>
                <w:noProof/>
              </w:rPr>
              <w:fldChar w:fldCharType="begin"/>
            </w:r>
            <w:r w:rsidR="3AFE0DE7">
              <w:rPr>
                <w:noProof/>
              </w:rPr>
              <w:instrText>PAGEREF _Toc1501690912 \h</w:instrText>
            </w:r>
            <w:r w:rsidR="3AFE0DE7">
              <w:rPr>
                <w:noProof/>
              </w:rPr>
            </w:r>
            <w:r w:rsidR="3AFE0DE7">
              <w:rPr>
                <w:noProof/>
              </w:rPr>
              <w:fldChar w:fldCharType="separate"/>
            </w:r>
            <w:r w:rsidR="001649CE">
              <w:rPr>
                <w:noProof/>
              </w:rPr>
              <w:t>9</w:t>
            </w:r>
            <w:r w:rsidR="3AFE0DE7">
              <w:rPr>
                <w:noProof/>
              </w:rPr>
              <w:fldChar w:fldCharType="end"/>
            </w:r>
          </w:hyperlink>
        </w:p>
        <w:p w14:paraId="16685075" w14:textId="15FB79AF" w:rsidR="3AFE0DE7" w:rsidRDefault="00000000" w:rsidP="3AFE0DE7">
          <w:pPr>
            <w:pStyle w:val="TOC1"/>
            <w:tabs>
              <w:tab w:val="right" w:leader="dot" w:pos="9015"/>
            </w:tabs>
            <w:rPr>
              <w:rStyle w:val="Hyperlink"/>
              <w:noProof/>
            </w:rPr>
          </w:pPr>
          <w:hyperlink w:anchor="_Toc1460159365">
            <w:r w:rsidR="6539B490" w:rsidRPr="6539B490">
              <w:rPr>
                <w:rStyle w:val="Hyperlink"/>
                <w:noProof/>
              </w:rPr>
              <w:t>Key Reasons Behind the Decline in Profitability.</w:t>
            </w:r>
            <w:r w:rsidR="3AFE0DE7">
              <w:rPr>
                <w:noProof/>
              </w:rPr>
              <w:tab/>
            </w:r>
            <w:r w:rsidR="3AFE0DE7">
              <w:rPr>
                <w:noProof/>
              </w:rPr>
              <w:fldChar w:fldCharType="begin"/>
            </w:r>
            <w:r w:rsidR="3AFE0DE7">
              <w:rPr>
                <w:noProof/>
              </w:rPr>
              <w:instrText>PAGEREF _Toc1460159365 \h</w:instrText>
            </w:r>
            <w:r w:rsidR="3AFE0DE7">
              <w:rPr>
                <w:noProof/>
              </w:rPr>
            </w:r>
            <w:r w:rsidR="3AFE0DE7">
              <w:rPr>
                <w:noProof/>
              </w:rPr>
              <w:fldChar w:fldCharType="separate"/>
            </w:r>
            <w:r w:rsidR="001649CE">
              <w:rPr>
                <w:noProof/>
              </w:rPr>
              <w:t>9</w:t>
            </w:r>
            <w:r w:rsidR="3AFE0DE7">
              <w:rPr>
                <w:noProof/>
              </w:rPr>
              <w:fldChar w:fldCharType="end"/>
            </w:r>
          </w:hyperlink>
        </w:p>
        <w:p w14:paraId="3594DA0C" w14:textId="71643BAD" w:rsidR="3AFE0DE7" w:rsidRDefault="00000000" w:rsidP="3AFE0DE7">
          <w:pPr>
            <w:pStyle w:val="TOC1"/>
            <w:tabs>
              <w:tab w:val="right" w:leader="dot" w:pos="9015"/>
            </w:tabs>
            <w:rPr>
              <w:rStyle w:val="Hyperlink"/>
              <w:noProof/>
            </w:rPr>
          </w:pPr>
          <w:hyperlink w:anchor="_Toc1055532009">
            <w:r w:rsidR="6539B490" w:rsidRPr="6539B490">
              <w:rPr>
                <w:rStyle w:val="Hyperlink"/>
                <w:noProof/>
              </w:rPr>
              <w:t>Comprehensive Turnaround Strategy for The Seaview Resort: Restoring Financial Health and Reclaiming Premier Vacation Status</w:t>
            </w:r>
            <w:r w:rsidR="3AFE0DE7">
              <w:rPr>
                <w:noProof/>
              </w:rPr>
              <w:tab/>
            </w:r>
            <w:r w:rsidR="3AFE0DE7">
              <w:rPr>
                <w:noProof/>
              </w:rPr>
              <w:fldChar w:fldCharType="begin"/>
            </w:r>
            <w:r w:rsidR="3AFE0DE7">
              <w:rPr>
                <w:noProof/>
              </w:rPr>
              <w:instrText>PAGEREF _Toc1055532009 \h</w:instrText>
            </w:r>
            <w:r w:rsidR="3AFE0DE7">
              <w:rPr>
                <w:noProof/>
              </w:rPr>
            </w:r>
            <w:r w:rsidR="3AFE0DE7">
              <w:rPr>
                <w:noProof/>
              </w:rPr>
              <w:fldChar w:fldCharType="separate"/>
            </w:r>
            <w:r w:rsidR="001649CE">
              <w:rPr>
                <w:noProof/>
              </w:rPr>
              <w:t>11</w:t>
            </w:r>
            <w:r w:rsidR="3AFE0DE7">
              <w:rPr>
                <w:noProof/>
              </w:rPr>
              <w:fldChar w:fldCharType="end"/>
            </w:r>
          </w:hyperlink>
        </w:p>
        <w:p w14:paraId="52403B87" w14:textId="4A1B420F" w:rsidR="3AFE0DE7" w:rsidRDefault="00000000" w:rsidP="3AFE0DE7">
          <w:pPr>
            <w:pStyle w:val="TOC1"/>
            <w:tabs>
              <w:tab w:val="right" w:leader="dot" w:pos="9015"/>
            </w:tabs>
            <w:rPr>
              <w:rStyle w:val="Hyperlink"/>
              <w:noProof/>
            </w:rPr>
          </w:pPr>
          <w:hyperlink w:anchor="_Toc129400941">
            <w:r w:rsidR="6539B490" w:rsidRPr="6539B490">
              <w:rPr>
                <w:rStyle w:val="Hyperlink"/>
                <w:noProof/>
              </w:rPr>
              <w:t>Conclusion</w:t>
            </w:r>
            <w:r w:rsidR="3AFE0DE7">
              <w:rPr>
                <w:noProof/>
              </w:rPr>
              <w:tab/>
            </w:r>
            <w:r w:rsidR="3AFE0DE7">
              <w:rPr>
                <w:noProof/>
              </w:rPr>
              <w:fldChar w:fldCharType="begin"/>
            </w:r>
            <w:r w:rsidR="3AFE0DE7">
              <w:rPr>
                <w:noProof/>
              </w:rPr>
              <w:instrText>PAGEREF _Toc129400941 \h</w:instrText>
            </w:r>
            <w:r w:rsidR="3AFE0DE7">
              <w:rPr>
                <w:noProof/>
              </w:rPr>
            </w:r>
            <w:r w:rsidR="3AFE0DE7">
              <w:rPr>
                <w:noProof/>
              </w:rPr>
              <w:fldChar w:fldCharType="separate"/>
            </w:r>
            <w:r w:rsidR="001649CE">
              <w:rPr>
                <w:noProof/>
              </w:rPr>
              <w:t>12</w:t>
            </w:r>
            <w:r w:rsidR="3AFE0DE7">
              <w:rPr>
                <w:noProof/>
              </w:rPr>
              <w:fldChar w:fldCharType="end"/>
            </w:r>
          </w:hyperlink>
        </w:p>
        <w:p w14:paraId="67242614" w14:textId="3925FE2B" w:rsidR="6539B490" w:rsidRDefault="00000000" w:rsidP="6539B490">
          <w:pPr>
            <w:pStyle w:val="TOC1"/>
            <w:tabs>
              <w:tab w:val="right" w:leader="dot" w:pos="9015"/>
            </w:tabs>
            <w:rPr>
              <w:rStyle w:val="Hyperlink"/>
            </w:rPr>
          </w:pPr>
          <w:hyperlink w:anchor="_Toc494304780">
            <w:r w:rsidR="6539B490" w:rsidRPr="6539B490">
              <w:rPr>
                <w:rStyle w:val="Hyperlink"/>
                <w:noProof/>
              </w:rPr>
              <w:t>References</w:t>
            </w:r>
            <w:r w:rsidR="6539B490">
              <w:rPr>
                <w:noProof/>
              </w:rPr>
              <w:tab/>
            </w:r>
            <w:r w:rsidR="6539B490">
              <w:rPr>
                <w:noProof/>
              </w:rPr>
              <w:fldChar w:fldCharType="begin"/>
            </w:r>
            <w:r w:rsidR="6539B490">
              <w:rPr>
                <w:noProof/>
              </w:rPr>
              <w:instrText>PAGEREF _Toc494304780 \h</w:instrText>
            </w:r>
            <w:r w:rsidR="6539B490">
              <w:rPr>
                <w:noProof/>
              </w:rPr>
            </w:r>
            <w:r w:rsidR="6539B490">
              <w:rPr>
                <w:noProof/>
              </w:rPr>
              <w:fldChar w:fldCharType="separate"/>
            </w:r>
            <w:r w:rsidR="001649CE">
              <w:rPr>
                <w:noProof/>
              </w:rPr>
              <w:t>14</w:t>
            </w:r>
            <w:r w:rsidR="6539B490">
              <w:rPr>
                <w:noProof/>
              </w:rPr>
              <w:fldChar w:fldCharType="end"/>
            </w:r>
          </w:hyperlink>
          <w:r w:rsidR="6539B490">
            <w:fldChar w:fldCharType="end"/>
          </w:r>
        </w:p>
      </w:sdtContent>
    </w:sdt>
    <w:p w14:paraId="109DDDBD" w14:textId="27E8A96E" w:rsidR="3AFE0DE7" w:rsidRDefault="3AFE0DE7" w:rsidP="3AFE0DE7">
      <w:pPr>
        <w:rPr>
          <w:lang w:val="en-GB"/>
        </w:rPr>
      </w:pPr>
    </w:p>
    <w:p w14:paraId="376B5249" w14:textId="1C72FC7E" w:rsidR="3AFE0DE7" w:rsidRDefault="3AFE0DE7" w:rsidP="3AFE0DE7">
      <w:pPr>
        <w:rPr>
          <w:lang w:val="en-GB"/>
        </w:rPr>
      </w:pPr>
    </w:p>
    <w:p w14:paraId="1DD7E323" w14:textId="141C92BE" w:rsidR="3AFE0DE7" w:rsidRDefault="3AFE0DE7" w:rsidP="3AFE0DE7">
      <w:pPr>
        <w:rPr>
          <w:lang w:val="en-GB"/>
        </w:rPr>
      </w:pPr>
    </w:p>
    <w:p w14:paraId="12DE4D75" w14:textId="2C04B5A5" w:rsidR="3AFE0DE7" w:rsidRDefault="3AFE0DE7" w:rsidP="3AFE0DE7">
      <w:pPr>
        <w:rPr>
          <w:lang w:val="en-GB"/>
        </w:rPr>
      </w:pPr>
    </w:p>
    <w:p w14:paraId="4A8DA118" w14:textId="19F2E155" w:rsidR="3AFE0DE7" w:rsidRDefault="3AFE0DE7" w:rsidP="3AFE0DE7">
      <w:pPr>
        <w:rPr>
          <w:lang w:val="en-GB"/>
        </w:rPr>
      </w:pPr>
    </w:p>
    <w:p w14:paraId="7A1E3961" w14:textId="05B0651F" w:rsidR="3AFE0DE7" w:rsidRDefault="3AFE0DE7" w:rsidP="3AFE0DE7">
      <w:pPr>
        <w:rPr>
          <w:lang w:val="en-GB"/>
        </w:rPr>
      </w:pPr>
    </w:p>
    <w:p w14:paraId="7604D9A1" w14:textId="31225507" w:rsidR="3AFE0DE7" w:rsidRDefault="3AFE0DE7" w:rsidP="3AFE0DE7">
      <w:pPr>
        <w:rPr>
          <w:lang w:val="en-GB"/>
        </w:rPr>
      </w:pPr>
    </w:p>
    <w:p w14:paraId="1F58A6A6" w14:textId="511C2D62" w:rsidR="3AFE0DE7" w:rsidRDefault="3AFE0DE7" w:rsidP="3AFE0DE7">
      <w:pPr>
        <w:rPr>
          <w:lang w:val="en-GB"/>
        </w:rPr>
      </w:pPr>
    </w:p>
    <w:p w14:paraId="6D9D8D60" w14:textId="76112184" w:rsidR="3AFE0DE7" w:rsidRDefault="3AFE0DE7" w:rsidP="3AFE0DE7">
      <w:pPr>
        <w:rPr>
          <w:lang w:val="en-GB"/>
        </w:rPr>
      </w:pPr>
    </w:p>
    <w:p w14:paraId="6E84909C" w14:textId="01C8239C" w:rsidR="3AFE0DE7" w:rsidRDefault="3AFE0DE7" w:rsidP="3AFE0DE7">
      <w:pPr>
        <w:rPr>
          <w:lang w:val="en-GB"/>
        </w:rPr>
      </w:pPr>
    </w:p>
    <w:p w14:paraId="10960DC1" w14:textId="7231881F" w:rsidR="3AFE0DE7" w:rsidRDefault="3AFE0DE7" w:rsidP="3AFE0DE7">
      <w:pPr>
        <w:rPr>
          <w:lang w:val="en-GB"/>
        </w:rPr>
      </w:pPr>
    </w:p>
    <w:p w14:paraId="74D6DE44" w14:textId="0FCAFB3E" w:rsidR="3AFE0DE7" w:rsidRDefault="3AFE0DE7" w:rsidP="3AFE0DE7">
      <w:pPr>
        <w:rPr>
          <w:lang w:val="en-GB"/>
        </w:rPr>
      </w:pPr>
    </w:p>
    <w:p w14:paraId="58DC92ED" w14:textId="2D9DEB8A" w:rsidR="3AFE0DE7" w:rsidRDefault="3AFE0DE7" w:rsidP="3AFE0DE7">
      <w:pPr>
        <w:rPr>
          <w:lang w:val="en-GB"/>
        </w:rPr>
      </w:pPr>
    </w:p>
    <w:p w14:paraId="4878DE9D" w14:textId="1B45179E" w:rsidR="3AFE0DE7" w:rsidRDefault="3AFE0DE7" w:rsidP="3AFE0DE7">
      <w:pPr>
        <w:rPr>
          <w:lang w:val="en-GB"/>
        </w:rPr>
      </w:pPr>
    </w:p>
    <w:p w14:paraId="117B8C69" w14:textId="7C2F276F" w:rsidR="3AFE0DE7" w:rsidRDefault="3AFE0DE7" w:rsidP="3AFE0DE7">
      <w:pPr>
        <w:rPr>
          <w:lang w:val="en-GB"/>
        </w:rPr>
      </w:pPr>
    </w:p>
    <w:p w14:paraId="6B7FECBC" w14:textId="003F56FF" w:rsidR="3AFE0DE7" w:rsidRDefault="3AFE0DE7" w:rsidP="3AFE0DE7">
      <w:pPr>
        <w:rPr>
          <w:lang w:val="en-GB"/>
        </w:rPr>
      </w:pPr>
    </w:p>
    <w:p w14:paraId="3CF27C9D" w14:textId="32D4257C" w:rsidR="3AFE0DE7" w:rsidRDefault="3AFE0DE7" w:rsidP="3AFE0DE7">
      <w:pPr>
        <w:rPr>
          <w:lang w:val="en-GB"/>
        </w:rPr>
      </w:pPr>
    </w:p>
    <w:p w14:paraId="11EBF77A" w14:textId="6AF54524" w:rsidR="707B7107" w:rsidRDefault="707B7107" w:rsidP="6539B490">
      <w:pPr>
        <w:pStyle w:val="Heading1"/>
        <w:rPr>
          <w:rFonts w:ascii="Arial" w:eastAsia="Arial" w:hAnsi="Arial" w:cs="Arial"/>
          <w:b/>
          <w:bCs/>
          <w:i/>
          <w:iCs/>
          <w:color w:val="auto"/>
          <w:sz w:val="24"/>
          <w:szCs w:val="24"/>
          <w:lang w:val="en-GB"/>
        </w:rPr>
      </w:pPr>
      <w:bookmarkStart w:id="1" w:name="_Toc578670211"/>
      <w:r w:rsidRPr="6539B490">
        <w:rPr>
          <w:rFonts w:ascii="Arial" w:eastAsia="Arial" w:hAnsi="Arial" w:cs="Arial"/>
          <w:b/>
          <w:bCs/>
          <w:i/>
          <w:iCs/>
          <w:color w:val="auto"/>
          <w:sz w:val="24"/>
          <w:szCs w:val="24"/>
          <w:lang w:val="en-GB"/>
        </w:rPr>
        <w:t>Purpose of the Study</w:t>
      </w:r>
      <w:bookmarkEnd w:id="1"/>
    </w:p>
    <w:p w14:paraId="5B9E98E6" w14:textId="62524C27" w:rsidR="707B7107" w:rsidRDefault="707B7107" w:rsidP="3AFE0DE7">
      <w:pPr>
        <w:spacing w:after="0" w:line="360" w:lineRule="auto"/>
        <w:ind w:firstLine="360"/>
        <w:jc w:val="both"/>
        <w:rPr>
          <w:rFonts w:ascii="Arial" w:eastAsia="Arial" w:hAnsi="Arial" w:cs="Arial"/>
          <w:color w:val="000000" w:themeColor="text1"/>
          <w:sz w:val="24"/>
          <w:szCs w:val="24"/>
          <w:lang w:val="en-GB"/>
        </w:rPr>
      </w:pPr>
      <w:proofErr w:type="gramStart"/>
      <w:r w:rsidRPr="3AFE0DE7">
        <w:rPr>
          <w:rFonts w:ascii="Arial" w:eastAsia="Arial" w:hAnsi="Arial" w:cs="Arial"/>
          <w:color w:val="000000" w:themeColor="text1"/>
          <w:sz w:val="24"/>
          <w:szCs w:val="24"/>
          <w:lang w:val="en-GB"/>
        </w:rPr>
        <w:t>In order to</w:t>
      </w:r>
      <w:proofErr w:type="gramEnd"/>
      <w:r w:rsidRPr="3AFE0DE7">
        <w:rPr>
          <w:rFonts w:ascii="Arial" w:eastAsia="Arial" w:hAnsi="Arial" w:cs="Arial"/>
          <w:color w:val="000000" w:themeColor="text1"/>
          <w:sz w:val="24"/>
          <w:szCs w:val="24"/>
          <w:lang w:val="en-GB"/>
        </w:rPr>
        <w:t xml:space="preserve"> help the Seaview Resort, recover from its financial difficulties, this study will examine those difficulties in depth and then come up with a strategy to overcome them. The renowned vacation spots had a drop-in population, business, and tourists. The assessment seeks to reveal the causes of the economic downturn by examining financial accounts and market dynamics. </w:t>
      </w:r>
      <w:proofErr w:type="gramStart"/>
      <w:r w:rsidRPr="3AFE0DE7">
        <w:rPr>
          <w:rFonts w:ascii="Arial" w:eastAsia="Arial" w:hAnsi="Arial" w:cs="Arial"/>
          <w:color w:val="000000" w:themeColor="text1"/>
          <w:sz w:val="24"/>
          <w:szCs w:val="24"/>
          <w:lang w:val="en-GB"/>
        </w:rPr>
        <w:t>In order to</w:t>
      </w:r>
      <w:proofErr w:type="gramEnd"/>
      <w:r w:rsidRPr="3AFE0DE7">
        <w:rPr>
          <w:rFonts w:ascii="Arial" w:eastAsia="Arial" w:hAnsi="Arial" w:cs="Arial"/>
          <w:color w:val="000000" w:themeColor="text1"/>
          <w:sz w:val="24"/>
          <w:szCs w:val="24"/>
          <w:lang w:val="en-GB"/>
        </w:rPr>
        <w:t xml:space="preserve"> developing a comprehensive plan for transformation was the overarching goal of this study. This strategy should have included tactics for rebranding, cost reduction, revenue diversification, better customer experiences, and further cost reduction. Maintaining Seaview Resort’s viability and financial success in the face of intense competition is the major objective (Goodson, &amp; Greenberg, 2022).</w:t>
      </w:r>
    </w:p>
    <w:p w14:paraId="6A46F967" w14:textId="4195E1C9" w:rsidR="3AFE0DE7" w:rsidRDefault="3AFE0DE7" w:rsidP="3AFE0DE7">
      <w:pPr>
        <w:rPr>
          <w:lang w:val="en-GB"/>
        </w:rPr>
      </w:pPr>
    </w:p>
    <w:p w14:paraId="3583B76A" w14:textId="3A40E830" w:rsidR="3AFE0DE7" w:rsidRDefault="3AFE0DE7" w:rsidP="3AFE0DE7">
      <w:pPr>
        <w:rPr>
          <w:lang w:val="en-GB"/>
        </w:rPr>
      </w:pPr>
    </w:p>
    <w:p w14:paraId="5C82635F" w14:textId="7349D4BC" w:rsidR="3AFE0DE7" w:rsidRDefault="3AFE0DE7" w:rsidP="3AFE0DE7">
      <w:pPr>
        <w:rPr>
          <w:lang w:val="en-GB"/>
        </w:rPr>
      </w:pPr>
    </w:p>
    <w:p w14:paraId="675FE7BA" w14:textId="74A84294" w:rsidR="3AFE0DE7" w:rsidRDefault="3AFE0DE7" w:rsidP="3AFE0DE7">
      <w:pPr>
        <w:rPr>
          <w:lang w:val="en-GB"/>
        </w:rPr>
      </w:pPr>
    </w:p>
    <w:p w14:paraId="430BB494" w14:textId="06095A74" w:rsidR="3AFE0DE7" w:rsidRDefault="3AFE0DE7" w:rsidP="3AFE0DE7">
      <w:pPr>
        <w:rPr>
          <w:lang w:val="en-GB"/>
        </w:rPr>
      </w:pPr>
    </w:p>
    <w:p w14:paraId="600EF752" w14:textId="7F2B3072" w:rsidR="3AFE0DE7" w:rsidRDefault="3AFE0DE7" w:rsidP="3AFE0DE7">
      <w:pPr>
        <w:rPr>
          <w:lang w:val="en-GB"/>
        </w:rPr>
      </w:pPr>
    </w:p>
    <w:p w14:paraId="53221DDB" w14:textId="5D6CF0BC" w:rsidR="3AFE0DE7" w:rsidRDefault="3AFE0DE7" w:rsidP="3AFE0DE7">
      <w:pPr>
        <w:rPr>
          <w:lang w:val="en-GB"/>
        </w:rPr>
      </w:pPr>
    </w:p>
    <w:p w14:paraId="1ADF6722" w14:textId="3D74D5E6" w:rsidR="3AFE0DE7" w:rsidRDefault="3AFE0DE7" w:rsidP="3AFE0DE7">
      <w:pPr>
        <w:rPr>
          <w:lang w:val="en-GB"/>
        </w:rPr>
      </w:pPr>
    </w:p>
    <w:p w14:paraId="4482BB46" w14:textId="20A364BF" w:rsidR="3AFE0DE7" w:rsidRDefault="3AFE0DE7" w:rsidP="3AFE0DE7">
      <w:pPr>
        <w:rPr>
          <w:lang w:val="en-GB"/>
        </w:rPr>
      </w:pPr>
    </w:p>
    <w:p w14:paraId="6090D0E3" w14:textId="5BA0FE37" w:rsidR="3AFE0DE7" w:rsidRDefault="3AFE0DE7" w:rsidP="3AFE0DE7">
      <w:pPr>
        <w:rPr>
          <w:lang w:val="en-GB"/>
        </w:rPr>
      </w:pPr>
    </w:p>
    <w:p w14:paraId="5848E931" w14:textId="4EA4046C" w:rsidR="3AFE0DE7" w:rsidRDefault="3AFE0DE7" w:rsidP="3AFE0DE7">
      <w:pPr>
        <w:rPr>
          <w:lang w:val="en-GB"/>
        </w:rPr>
      </w:pPr>
    </w:p>
    <w:p w14:paraId="4FA391DC" w14:textId="58018DC9" w:rsidR="3AFE0DE7" w:rsidRDefault="3AFE0DE7" w:rsidP="3AFE0DE7">
      <w:pPr>
        <w:rPr>
          <w:lang w:val="en-GB"/>
        </w:rPr>
      </w:pPr>
    </w:p>
    <w:p w14:paraId="528C09FF" w14:textId="00F19E29" w:rsidR="3AFE0DE7" w:rsidRDefault="3AFE0DE7" w:rsidP="3AFE0DE7">
      <w:pPr>
        <w:rPr>
          <w:lang w:val="en-GB"/>
        </w:rPr>
      </w:pPr>
    </w:p>
    <w:p w14:paraId="050F9391" w14:textId="54C2E4E0" w:rsidR="3AFE0DE7" w:rsidRDefault="3AFE0DE7" w:rsidP="3AFE0DE7">
      <w:pPr>
        <w:rPr>
          <w:lang w:val="en-GB"/>
        </w:rPr>
      </w:pPr>
    </w:p>
    <w:p w14:paraId="0EDF9DD1" w14:textId="50313777" w:rsidR="3AFE0DE7" w:rsidRDefault="3AFE0DE7" w:rsidP="3AFE0DE7">
      <w:pPr>
        <w:rPr>
          <w:lang w:val="en-GB"/>
        </w:rPr>
      </w:pPr>
    </w:p>
    <w:p w14:paraId="6F160D7F" w14:textId="210BA131" w:rsidR="3AFE0DE7" w:rsidRDefault="3AFE0DE7" w:rsidP="3AFE0DE7">
      <w:pPr>
        <w:rPr>
          <w:lang w:val="en-GB"/>
        </w:rPr>
      </w:pPr>
    </w:p>
    <w:p w14:paraId="4C84F010" w14:textId="543E939F" w:rsidR="3AFE0DE7" w:rsidRDefault="3AFE0DE7" w:rsidP="3AFE0DE7">
      <w:pPr>
        <w:rPr>
          <w:lang w:val="en-GB"/>
        </w:rPr>
      </w:pPr>
    </w:p>
    <w:p w14:paraId="25E9F95F" w14:textId="3F4380EB" w:rsidR="3AFE0DE7" w:rsidRDefault="3AFE0DE7" w:rsidP="3AFE0DE7">
      <w:pPr>
        <w:rPr>
          <w:lang w:val="en-GB"/>
        </w:rPr>
      </w:pPr>
    </w:p>
    <w:p w14:paraId="4B8499D3" w14:textId="7493DE7E" w:rsidR="3AFE0DE7" w:rsidRDefault="3AFE0DE7" w:rsidP="3AFE0DE7">
      <w:pPr>
        <w:rPr>
          <w:lang w:val="en-GB"/>
        </w:rPr>
      </w:pPr>
    </w:p>
    <w:p w14:paraId="675964C7" w14:textId="03C47E2E" w:rsidR="3AFE0DE7" w:rsidRDefault="3AFE0DE7" w:rsidP="3AFE0DE7">
      <w:pPr>
        <w:rPr>
          <w:lang w:val="en-GB"/>
        </w:rPr>
      </w:pPr>
    </w:p>
    <w:p w14:paraId="78E08199" w14:textId="50DC2E23" w:rsidR="3C579E24" w:rsidRDefault="3C579E24" w:rsidP="6539B490">
      <w:pPr>
        <w:pStyle w:val="Heading1"/>
        <w:rPr>
          <w:rFonts w:ascii="Arial" w:eastAsia="Arial" w:hAnsi="Arial" w:cs="Arial"/>
          <w:b/>
          <w:bCs/>
          <w:i/>
          <w:iCs/>
          <w:color w:val="auto"/>
          <w:sz w:val="24"/>
          <w:szCs w:val="24"/>
          <w:lang w:val="en-GB"/>
        </w:rPr>
      </w:pPr>
      <w:bookmarkStart w:id="2" w:name="_Toc1344554586"/>
      <w:r w:rsidRPr="6539B490">
        <w:rPr>
          <w:rFonts w:ascii="Arial" w:eastAsia="Arial" w:hAnsi="Arial" w:cs="Arial"/>
          <w:b/>
          <w:bCs/>
          <w:i/>
          <w:iCs/>
          <w:color w:val="auto"/>
          <w:sz w:val="24"/>
          <w:szCs w:val="24"/>
          <w:lang w:val="en-GB"/>
        </w:rPr>
        <w:lastRenderedPageBreak/>
        <w:t>Introduction</w:t>
      </w:r>
      <w:bookmarkEnd w:id="2"/>
    </w:p>
    <w:p w14:paraId="07DD229C" w14:textId="7BD19044" w:rsidR="3C579E24" w:rsidRDefault="3C579E24" w:rsidP="3AFE0DE7">
      <w:pPr>
        <w:spacing w:after="0" w:line="360" w:lineRule="auto"/>
        <w:ind w:firstLine="720"/>
        <w:jc w:val="both"/>
        <w:rPr>
          <w:rFonts w:ascii="Arial" w:eastAsia="Arial" w:hAnsi="Arial" w:cs="Arial"/>
          <w:color w:val="000000" w:themeColor="text1"/>
          <w:sz w:val="24"/>
          <w:szCs w:val="24"/>
          <w:lang w:val="en-GB"/>
        </w:rPr>
      </w:pPr>
      <w:r w:rsidRPr="3AFE0DE7">
        <w:rPr>
          <w:rFonts w:ascii="Arial" w:eastAsia="Arial" w:hAnsi="Arial" w:cs="Arial"/>
          <w:color w:val="000000" w:themeColor="text1"/>
          <w:sz w:val="24"/>
          <w:szCs w:val="24"/>
          <w:lang w:val="en-GB"/>
        </w:rPr>
        <w:t xml:space="preserve">This report aims to assess the financial problems now facing The Seaview Resort and propose a detailed recovery plan.  The sales, occupancy and customer happiness have sunk at the resort, which is located on a lovely beach. The stress on the structure required its owner, James Henderson, to consult an outside planner for advice on how to strengthen it and come up with a workable plan (Olayinka, 2022). A thorough assessment of the resort’s financial results, market trends and management parameters </w:t>
      </w:r>
      <w:proofErr w:type="gramStart"/>
      <w:r w:rsidRPr="3AFE0DE7">
        <w:rPr>
          <w:rFonts w:ascii="Arial" w:eastAsia="Arial" w:hAnsi="Arial" w:cs="Arial"/>
          <w:color w:val="000000" w:themeColor="text1"/>
          <w:sz w:val="24"/>
          <w:szCs w:val="24"/>
          <w:lang w:val="en-GB"/>
        </w:rPr>
        <w:t>is</w:t>
      </w:r>
      <w:proofErr w:type="gramEnd"/>
      <w:r w:rsidRPr="3AFE0DE7">
        <w:rPr>
          <w:rFonts w:ascii="Arial" w:eastAsia="Arial" w:hAnsi="Arial" w:cs="Arial"/>
          <w:color w:val="000000" w:themeColor="text1"/>
          <w:sz w:val="24"/>
          <w:szCs w:val="24"/>
          <w:lang w:val="en-GB"/>
        </w:rPr>
        <w:t xml:space="preserve"> presented in this introductory section. The purpose of this paper is to establish a detailed plan for the rehabilitation of The Seaview Resort so that it can revive its company and become a formidable player in the hospitality sector. This will be achieved by identifying the core issues that caused its downfall and proposing appropriate remedies.</w:t>
      </w:r>
    </w:p>
    <w:p w14:paraId="3C00D0B0" w14:textId="0E5CBF89" w:rsidR="3AFE0DE7" w:rsidRDefault="3AFE0DE7" w:rsidP="3AFE0DE7">
      <w:pPr>
        <w:rPr>
          <w:lang w:val="en-GB"/>
        </w:rPr>
      </w:pPr>
    </w:p>
    <w:p w14:paraId="651B20DD" w14:textId="3C6B0967" w:rsidR="3C579E24" w:rsidRDefault="3C579E24" w:rsidP="6539B490">
      <w:pPr>
        <w:pStyle w:val="Heading1"/>
        <w:rPr>
          <w:rFonts w:ascii="Arial" w:eastAsia="Arial" w:hAnsi="Arial" w:cs="Arial"/>
          <w:b/>
          <w:bCs/>
          <w:i/>
          <w:iCs/>
          <w:color w:val="auto"/>
          <w:sz w:val="24"/>
          <w:szCs w:val="24"/>
          <w:lang w:val="en-GB"/>
        </w:rPr>
      </w:pPr>
      <w:bookmarkStart w:id="3" w:name="_Toc1903590004"/>
      <w:r w:rsidRPr="6539B490">
        <w:rPr>
          <w:rFonts w:ascii="Arial" w:eastAsia="Arial" w:hAnsi="Arial" w:cs="Arial"/>
          <w:b/>
          <w:bCs/>
          <w:i/>
          <w:iCs/>
          <w:color w:val="auto"/>
          <w:sz w:val="24"/>
          <w:szCs w:val="24"/>
          <w:lang w:val="en-GB"/>
        </w:rPr>
        <w:t>Scope and Objective</w:t>
      </w:r>
      <w:bookmarkEnd w:id="3"/>
      <w:r w:rsidRPr="6539B490">
        <w:rPr>
          <w:rFonts w:ascii="Arial" w:eastAsia="Arial" w:hAnsi="Arial" w:cs="Arial"/>
          <w:b/>
          <w:bCs/>
          <w:color w:val="auto"/>
          <w:sz w:val="24"/>
          <w:szCs w:val="24"/>
          <w:lang w:val="en-GB"/>
        </w:rPr>
        <w:t xml:space="preserve"> </w:t>
      </w:r>
    </w:p>
    <w:p w14:paraId="42F9ACC5" w14:textId="49743CBB" w:rsidR="3C579E24" w:rsidRDefault="3C579E24" w:rsidP="3AFE0DE7">
      <w:pPr>
        <w:spacing w:after="0" w:line="360" w:lineRule="auto"/>
        <w:ind w:firstLine="720"/>
        <w:jc w:val="both"/>
        <w:rPr>
          <w:rFonts w:ascii="Arial" w:eastAsia="Arial" w:hAnsi="Arial" w:cs="Arial"/>
          <w:color w:val="000000" w:themeColor="text1"/>
          <w:sz w:val="24"/>
          <w:szCs w:val="24"/>
          <w:lang w:val="en-GB"/>
        </w:rPr>
      </w:pPr>
      <w:r w:rsidRPr="3AFE0DE7">
        <w:rPr>
          <w:rFonts w:ascii="Arial" w:eastAsia="Arial" w:hAnsi="Arial" w:cs="Arial"/>
          <w:color w:val="000000" w:themeColor="text1"/>
          <w:sz w:val="24"/>
          <w:szCs w:val="24"/>
          <w:lang w:val="en-GB"/>
        </w:rPr>
        <w:t>The Seaview Resort is the focus of this research; it is a seaside resort that has recently seen a decline in revenue, occupancy, and guest happiness. Income, balance, and cash flow statements, as well as an evaluation of financial and residential performance over the last several years, are all part of the research (</w:t>
      </w:r>
      <w:proofErr w:type="spellStart"/>
      <w:r w:rsidRPr="3AFE0DE7">
        <w:rPr>
          <w:rFonts w:ascii="Arial" w:eastAsia="Arial" w:hAnsi="Arial" w:cs="Arial"/>
          <w:color w:val="000000" w:themeColor="text1"/>
          <w:sz w:val="24"/>
          <w:szCs w:val="24"/>
          <w:lang w:val="en-GB"/>
        </w:rPr>
        <w:t>Etcuban</w:t>
      </w:r>
      <w:proofErr w:type="spellEnd"/>
      <w:r w:rsidRPr="3AFE0DE7">
        <w:rPr>
          <w:rFonts w:ascii="Arial" w:eastAsia="Arial" w:hAnsi="Arial" w:cs="Arial"/>
          <w:color w:val="000000" w:themeColor="text1"/>
          <w:sz w:val="24"/>
          <w:szCs w:val="24"/>
          <w:lang w:val="en-GB"/>
        </w:rPr>
        <w:t xml:space="preserve">, 2019). For a better understanding of the impending difficulties, this report also looks at market dynamics, customer preferences, and performance metrics. </w:t>
      </w:r>
    </w:p>
    <w:p w14:paraId="0016E462" w14:textId="346FCB55" w:rsidR="3C579E24" w:rsidRDefault="3C579E24" w:rsidP="3AFE0DE7">
      <w:pPr>
        <w:spacing w:after="0" w:line="360" w:lineRule="auto"/>
        <w:jc w:val="both"/>
        <w:rPr>
          <w:rFonts w:ascii="Arial" w:eastAsia="Arial" w:hAnsi="Arial" w:cs="Arial"/>
          <w:color w:val="000000" w:themeColor="text1"/>
          <w:sz w:val="24"/>
          <w:szCs w:val="24"/>
          <w:lang w:val="en-GB"/>
        </w:rPr>
      </w:pPr>
      <w:r w:rsidRPr="3AFE0DE7">
        <w:rPr>
          <w:rFonts w:ascii="Arial" w:eastAsia="Arial" w:hAnsi="Arial" w:cs="Arial"/>
          <w:color w:val="000000" w:themeColor="text1"/>
          <w:sz w:val="24"/>
          <w:szCs w:val="24"/>
          <w:lang w:val="en-GB"/>
        </w:rPr>
        <w:t xml:space="preserve">The purpose of this analysis is to have a better understanding of the company’s financial health by comparing the income statement, balance sheet, and operating expenses from 2020 to 2022 (PLC, 2020). </w:t>
      </w:r>
    </w:p>
    <w:p w14:paraId="465EC17D" w14:textId="7D988B95" w:rsidR="3C579E24" w:rsidRDefault="3C579E24" w:rsidP="3AFE0DE7">
      <w:pPr>
        <w:pStyle w:val="ListParagraph"/>
        <w:numPr>
          <w:ilvl w:val="0"/>
          <w:numId w:val="7"/>
        </w:numPr>
        <w:spacing w:after="0" w:line="360" w:lineRule="auto"/>
        <w:jc w:val="both"/>
        <w:rPr>
          <w:rFonts w:ascii="Arial" w:eastAsia="Arial" w:hAnsi="Arial" w:cs="Arial"/>
          <w:color w:val="000000" w:themeColor="text1"/>
          <w:sz w:val="24"/>
          <w:szCs w:val="24"/>
          <w:lang w:val="en-GB"/>
        </w:rPr>
      </w:pPr>
      <w:proofErr w:type="gramStart"/>
      <w:r w:rsidRPr="3AFE0DE7">
        <w:rPr>
          <w:rFonts w:ascii="Arial" w:eastAsia="Arial" w:hAnsi="Arial" w:cs="Arial"/>
          <w:color w:val="000000" w:themeColor="text1"/>
          <w:sz w:val="24"/>
          <w:szCs w:val="24"/>
          <w:lang w:val="en-GB"/>
        </w:rPr>
        <w:t>In order to</w:t>
      </w:r>
      <w:proofErr w:type="gramEnd"/>
      <w:r w:rsidRPr="3AFE0DE7">
        <w:rPr>
          <w:rFonts w:ascii="Arial" w:eastAsia="Arial" w:hAnsi="Arial" w:cs="Arial"/>
          <w:color w:val="000000" w:themeColor="text1"/>
          <w:sz w:val="24"/>
          <w:szCs w:val="24"/>
          <w:lang w:val="en-GB"/>
        </w:rPr>
        <w:t xml:space="preserve"> evaluate customer needs and the competitive environment, will be looking closely at ecosystem activities and experiences. </w:t>
      </w:r>
    </w:p>
    <w:p w14:paraId="3F6E0892" w14:textId="3F17489E" w:rsidR="3C579E24" w:rsidRDefault="3C579E24" w:rsidP="3AFE0DE7">
      <w:pPr>
        <w:pStyle w:val="ListParagraph"/>
        <w:numPr>
          <w:ilvl w:val="0"/>
          <w:numId w:val="7"/>
        </w:numPr>
        <w:spacing w:after="0" w:line="360" w:lineRule="auto"/>
        <w:jc w:val="both"/>
        <w:rPr>
          <w:rFonts w:ascii="Arial" w:eastAsia="Arial" w:hAnsi="Arial" w:cs="Arial"/>
          <w:color w:val="000000" w:themeColor="text1"/>
          <w:sz w:val="24"/>
          <w:szCs w:val="24"/>
          <w:lang w:val="en-GB"/>
        </w:rPr>
      </w:pPr>
      <w:r w:rsidRPr="3AFE0DE7">
        <w:rPr>
          <w:rFonts w:ascii="Arial" w:eastAsia="Arial" w:hAnsi="Arial" w:cs="Arial"/>
          <w:color w:val="000000" w:themeColor="text1"/>
          <w:sz w:val="24"/>
          <w:szCs w:val="24"/>
          <w:lang w:val="en-GB"/>
        </w:rPr>
        <w:t xml:space="preserve">As stated by </w:t>
      </w:r>
      <w:proofErr w:type="spellStart"/>
      <w:r w:rsidRPr="3AFE0DE7">
        <w:rPr>
          <w:rFonts w:ascii="Arial" w:eastAsia="Arial" w:hAnsi="Arial" w:cs="Arial"/>
          <w:color w:val="000000" w:themeColor="text1"/>
          <w:sz w:val="24"/>
          <w:szCs w:val="24"/>
          <w:lang w:val="en-GB"/>
        </w:rPr>
        <w:t>Etcuban</w:t>
      </w:r>
      <w:proofErr w:type="spellEnd"/>
      <w:r w:rsidRPr="3AFE0DE7">
        <w:rPr>
          <w:rFonts w:ascii="Arial" w:eastAsia="Arial" w:hAnsi="Arial" w:cs="Arial"/>
          <w:color w:val="000000" w:themeColor="text1"/>
          <w:sz w:val="24"/>
          <w:szCs w:val="24"/>
          <w:lang w:val="en-GB"/>
        </w:rPr>
        <w:t xml:space="preserve"> (2019), the main objective is to determine what is causing The Seaview Resort’s income, occupancy, and guest happiness to fall. </w:t>
      </w:r>
    </w:p>
    <w:p w14:paraId="5B4394FC" w14:textId="02198015" w:rsidR="3C579E24" w:rsidRDefault="3C579E24" w:rsidP="3AFE0DE7">
      <w:pPr>
        <w:pStyle w:val="ListParagraph"/>
        <w:numPr>
          <w:ilvl w:val="0"/>
          <w:numId w:val="7"/>
        </w:numPr>
        <w:spacing w:after="0" w:line="360" w:lineRule="auto"/>
        <w:jc w:val="both"/>
        <w:rPr>
          <w:rFonts w:ascii="Arial" w:eastAsia="Arial" w:hAnsi="Arial" w:cs="Arial"/>
          <w:color w:val="000000" w:themeColor="text1"/>
          <w:sz w:val="24"/>
          <w:szCs w:val="24"/>
          <w:lang w:val="en-GB"/>
        </w:rPr>
      </w:pPr>
      <w:r w:rsidRPr="3AFE0DE7">
        <w:rPr>
          <w:rFonts w:ascii="Arial" w:eastAsia="Arial" w:hAnsi="Arial" w:cs="Arial"/>
          <w:color w:val="000000" w:themeColor="text1"/>
          <w:sz w:val="24"/>
          <w:szCs w:val="24"/>
          <w:lang w:val="en-GB"/>
        </w:rPr>
        <w:t xml:space="preserve">Offer a comprehensive framework that incorporates financial planning, cost reduction, branding, and the improvement of the customer experience </w:t>
      </w:r>
      <w:proofErr w:type="gramStart"/>
      <w:r w:rsidRPr="3AFE0DE7">
        <w:rPr>
          <w:rFonts w:ascii="Arial" w:eastAsia="Arial" w:hAnsi="Arial" w:cs="Arial"/>
          <w:color w:val="000000" w:themeColor="text1"/>
          <w:sz w:val="24"/>
          <w:szCs w:val="24"/>
          <w:lang w:val="en-GB"/>
        </w:rPr>
        <w:t>in order to</w:t>
      </w:r>
      <w:proofErr w:type="gramEnd"/>
      <w:r w:rsidRPr="3AFE0DE7">
        <w:rPr>
          <w:rFonts w:ascii="Arial" w:eastAsia="Arial" w:hAnsi="Arial" w:cs="Arial"/>
          <w:color w:val="000000" w:themeColor="text1"/>
          <w:sz w:val="24"/>
          <w:szCs w:val="24"/>
          <w:lang w:val="en-GB"/>
        </w:rPr>
        <w:t xml:space="preserve"> revitalise the residential and commercial sectors.</w:t>
      </w:r>
    </w:p>
    <w:p w14:paraId="1306A8DF" w14:textId="1AAF8E8E" w:rsidR="5A4EF5EE" w:rsidRDefault="5A4EF5EE" w:rsidP="6539B490">
      <w:pPr>
        <w:pStyle w:val="Heading1"/>
        <w:rPr>
          <w:rFonts w:ascii="Arial" w:eastAsia="Arial" w:hAnsi="Arial" w:cs="Arial"/>
          <w:b/>
          <w:bCs/>
          <w:i/>
          <w:iCs/>
          <w:color w:val="auto"/>
          <w:sz w:val="24"/>
          <w:szCs w:val="24"/>
          <w:lang w:val="en-GB"/>
        </w:rPr>
      </w:pPr>
      <w:bookmarkStart w:id="4" w:name="_Toc1317136166"/>
      <w:r w:rsidRPr="6539B490">
        <w:rPr>
          <w:rFonts w:ascii="Arial" w:eastAsia="Arial" w:hAnsi="Arial" w:cs="Arial"/>
          <w:b/>
          <w:bCs/>
          <w:i/>
          <w:iCs/>
          <w:color w:val="auto"/>
          <w:sz w:val="24"/>
          <w:szCs w:val="24"/>
          <w:lang w:val="en-GB"/>
        </w:rPr>
        <w:t>Financial Performance Analysis of The Seaview Resort (2020-2022)</w:t>
      </w:r>
      <w:bookmarkEnd w:id="4"/>
    </w:p>
    <w:p w14:paraId="35A0C6DC" w14:textId="1D34236E" w:rsidR="5A4EF5EE" w:rsidRDefault="5A4EF5EE" w:rsidP="3AFE0DE7">
      <w:pPr>
        <w:spacing w:after="0" w:line="360" w:lineRule="auto"/>
        <w:ind w:firstLine="720"/>
        <w:jc w:val="both"/>
        <w:rPr>
          <w:rFonts w:ascii="Arial" w:eastAsia="Arial" w:hAnsi="Arial" w:cs="Arial"/>
          <w:color w:val="000000" w:themeColor="text1"/>
          <w:sz w:val="24"/>
          <w:szCs w:val="24"/>
          <w:lang w:val="en-GB"/>
        </w:rPr>
      </w:pPr>
      <w:r w:rsidRPr="3AFE0DE7">
        <w:rPr>
          <w:rFonts w:ascii="Arial" w:eastAsia="Arial" w:hAnsi="Arial" w:cs="Arial"/>
          <w:color w:val="000000" w:themeColor="text1"/>
          <w:sz w:val="24"/>
          <w:szCs w:val="24"/>
          <w:lang w:val="en-GB"/>
        </w:rPr>
        <w:t xml:space="preserve">Seaview Resort’s financial accounts show a worrying decline in critical financial indicators throughout the last three years. According to Setiawan and Rosa, this </w:t>
      </w:r>
      <w:r w:rsidRPr="3AFE0DE7">
        <w:rPr>
          <w:rFonts w:ascii="Arial" w:eastAsia="Arial" w:hAnsi="Arial" w:cs="Arial"/>
          <w:color w:val="000000" w:themeColor="text1"/>
          <w:sz w:val="24"/>
          <w:szCs w:val="24"/>
          <w:lang w:val="en-GB"/>
        </w:rPr>
        <w:lastRenderedPageBreak/>
        <w:t>evaluation is centred on the household’s income statement, financial records, and other important financial indicators (Setiawan and Rosa, 2023).</w:t>
      </w:r>
    </w:p>
    <w:p w14:paraId="7BAE0CFC" w14:textId="603B6390" w:rsidR="3AFE0DE7" w:rsidRDefault="3AFE0DE7" w:rsidP="3AFE0DE7">
      <w:pPr>
        <w:spacing w:after="0" w:line="360" w:lineRule="auto"/>
        <w:jc w:val="both"/>
        <w:rPr>
          <w:rFonts w:ascii="Arial" w:eastAsia="Arial" w:hAnsi="Arial" w:cs="Arial"/>
          <w:color w:val="000000" w:themeColor="text1"/>
          <w:lang w:val="en-GB"/>
        </w:rPr>
      </w:pPr>
    </w:p>
    <w:p w14:paraId="2FE28B17" w14:textId="4516E044" w:rsidR="5A4EF5EE" w:rsidRDefault="5A4EF5EE" w:rsidP="6539B490">
      <w:pPr>
        <w:pStyle w:val="Heading1"/>
        <w:ind w:firstLine="708"/>
        <w:rPr>
          <w:rFonts w:ascii="Arial" w:eastAsia="Arial" w:hAnsi="Arial" w:cs="Arial"/>
          <w:b/>
          <w:bCs/>
          <w:i/>
          <w:iCs/>
          <w:color w:val="auto"/>
          <w:sz w:val="24"/>
          <w:szCs w:val="24"/>
          <w:lang w:val="en-GB"/>
        </w:rPr>
      </w:pPr>
      <w:bookmarkStart w:id="5" w:name="_Toc194442391"/>
      <w:r w:rsidRPr="6539B490">
        <w:rPr>
          <w:rFonts w:ascii="Arial" w:eastAsia="Arial" w:hAnsi="Arial" w:cs="Arial"/>
          <w:b/>
          <w:bCs/>
          <w:i/>
          <w:iCs/>
          <w:color w:val="auto"/>
          <w:sz w:val="24"/>
          <w:szCs w:val="24"/>
          <w:lang w:val="en-GB"/>
        </w:rPr>
        <w:t>Income Statement Analysis:</w:t>
      </w:r>
      <w:bookmarkEnd w:id="5"/>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20"/>
        <w:gridCol w:w="2355"/>
        <w:gridCol w:w="2205"/>
        <w:gridCol w:w="2205"/>
      </w:tblGrid>
      <w:tr w:rsidR="3AFE0DE7" w14:paraId="4EF53C90" w14:textId="77777777" w:rsidTr="3AFE0DE7">
        <w:trPr>
          <w:trHeight w:val="300"/>
        </w:trPr>
        <w:tc>
          <w:tcPr>
            <w:tcW w:w="2220" w:type="dxa"/>
            <w:tcMar>
              <w:left w:w="105" w:type="dxa"/>
              <w:right w:w="105" w:type="dxa"/>
            </w:tcMar>
          </w:tcPr>
          <w:p w14:paraId="193EF2B9" w14:textId="5F110E90" w:rsidR="3AFE0DE7" w:rsidRDefault="3AFE0DE7" w:rsidP="3AFE0DE7">
            <w:pPr>
              <w:pStyle w:val="TableParagraph"/>
              <w:spacing w:before="103" w:line="360" w:lineRule="auto"/>
              <w:ind w:left="360"/>
              <w:rPr>
                <w:rFonts w:ascii="Arial" w:eastAsia="Arial" w:hAnsi="Arial" w:cs="Arial"/>
                <w:sz w:val="24"/>
                <w:szCs w:val="24"/>
              </w:rPr>
            </w:pPr>
            <w:r w:rsidRPr="3AFE0DE7">
              <w:rPr>
                <w:rFonts w:ascii="Arial" w:eastAsia="Arial" w:hAnsi="Arial" w:cs="Arial"/>
                <w:b/>
                <w:bCs/>
                <w:sz w:val="24"/>
                <w:szCs w:val="24"/>
              </w:rPr>
              <w:t>Item</w:t>
            </w:r>
          </w:p>
        </w:tc>
        <w:tc>
          <w:tcPr>
            <w:tcW w:w="2355" w:type="dxa"/>
            <w:tcMar>
              <w:left w:w="105" w:type="dxa"/>
              <w:right w:w="105" w:type="dxa"/>
            </w:tcMar>
          </w:tcPr>
          <w:p w14:paraId="612A9DBF" w14:textId="0D2F8856" w:rsidR="3AFE0DE7" w:rsidRDefault="3AFE0DE7" w:rsidP="3AFE0DE7">
            <w:pPr>
              <w:pStyle w:val="TableParagraph"/>
              <w:spacing w:before="103" w:line="360" w:lineRule="auto"/>
              <w:ind w:left="921"/>
              <w:rPr>
                <w:rFonts w:ascii="Arial" w:eastAsia="Arial" w:hAnsi="Arial" w:cs="Arial"/>
                <w:sz w:val="24"/>
                <w:szCs w:val="24"/>
              </w:rPr>
            </w:pPr>
            <w:r w:rsidRPr="3AFE0DE7">
              <w:rPr>
                <w:rFonts w:ascii="Arial" w:eastAsia="Arial" w:hAnsi="Arial" w:cs="Arial"/>
                <w:b/>
                <w:bCs/>
                <w:sz w:val="24"/>
                <w:szCs w:val="24"/>
              </w:rPr>
              <w:t>2020</w:t>
            </w:r>
          </w:p>
        </w:tc>
        <w:tc>
          <w:tcPr>
            <w:tcW w:w="2205" w:type="dxa"/>
            <w:tcMar>
              <w:left w:w="105" w:type="dxa"/>
              <w:right w:w="105" w:type="dxa"/>
            </w:tcMar>
          </w:tcPr>
          <w:p w14:paraId="4B0B10DB" w14:textId="5118B52B" w:rsidR="3AFE0DE7" w:rsidRDefault="3AFE0DE7" w:rsidP="3AFE0DE7">
            <w:pPr>
              <w:pStyle w:val="TableParagraph"/>
              <w:spacing w:before="103" w:line="360" w:lineRule="auto"/>
              <w:ind w:left="459"/>
              <w:rPr>
                <w:rFonts w:ascii="Arial" w:eastAsia="Arial" w:hAnsi="Arial" w:cs="Arial"/>
                <w:sz w:val="24"/>
                <w:szCs w:val="24"/>
              </w:rPr>
            </w:pPr>
            <w:r w:rsidRPr="3AFE0DE7">
              <w:rPr>
                <w:rFonts w:ascii="Arial" w:eastAsia="Arial" w:hAnsi="Arial" w:cs="Arial"/>
                <w:b/>
                <w:bCs/>
                <w:sz w:val="24"/>
                <w:szCs w:val="24"/>
              </w:rPr>
              <w:t>2021</w:t>
            </w:r>
          </w:p>
        </w:tc>
        <w:tc>
          <w:tcPr>
            <w:tcW w:w="2205" w:type="dxa"/>
            <w:tcMar>
              <w:left w:w="105" w:type="dxa"/>
              <w:right w:w="105" w:type="dxa"/>
            </w:tcMar>
          </w:tcPr>
          <w:p w14:paraId="7CD03CE3" w14:textId="656D3094" w:rsidR="3AFE0DE7" w:rsidRDefault="3AFE0DE7" w:rsidP="3AFE0DE7">
            <w:pPr>
              <w:pStyle w:val="TableParagraph"/>
              <w:spacing w:before="103" w:line="360" w:lineRule="auto"/>
              <w:ind w:left="459"/>
              <w:rPr>
                <w:rFonts w:ascii="Arial" w:eastAsia="Arial" w:hAnsi="Arial" w:cs="Arial"/>
                <w:sz w:val="24"/>
                <w:szCs w:val="24"/>
              </w:rPr>
            </w:pPr>
            <w:r w:rsidRPr="3AFE0DE7">
              <w:rPr>
                <w:rFonts w:ascii="Arial" w:eastAsia="Arial" w:hAnsi="Arial" w:cs="Arial"/>
                <w:b/>
                <w:bCs/>
                <w:sz w:val="24"/>
                <w:szCs w:val="24"/>
              </w:rPr>
              <w:t>2022</w:t>
            </w:r>
          </w:p>
        </w:tc>
      </w:tr>
      <w:tr w:rsidR="3AFE0DE7" w14:paraId="3662D7F6" w14:textId="77777777" w:rsidTr="3AFE0DE7">
        <w:trPr>
          <w:trHeight w:val="300"/>
        </w:trPr>
        <w:tc>
          <w:tcPr>
            <w:tcW w:w="2220" w:type="dxa"/>
            <w:tcMar>
              <w:left w:w="105" w:type="dxa"/>
              <w:right w:w="105" w:type="dxa"/>
            </w:tcMar>
          </w:tcPr>
          <w:p w14:paraId="00513F0A" w14:textId="4F799004" w:rsidR="3AFE0DE7" w:rsidRDefault="3AFE0DE7" w:rsidP="3AFE0DE7">
            <w:pPr>
              <w:spacing w:line="360" w:lineRule="auto"/>
              <w:jc w:val="both"/>
              <w:rPr>
                <w:rFonts w:ascii="Arial" w:eastAsia="Arial" w:hAnsi="Arial" w:cs="Arial"/>
                <w:sz w:val="24"/>
                <w:szCs w:val="24"/>
              </w:rPr>
            </w:pPr>
            <w:r w:rsidRPr="3AFE0DE7">
              <w:rPr>
                <w:rFonts w:ascii="Arial" w:eastAsia="Arial" w:hAnsi="Arial" w:cs="Arial"/>
                <w:sz w:val="24"/>
                <w:szCs w:val="24"/>
                <w:lang w:val="en-GB"/>
              </w:rPr>
              <w:t>Total Revenue</w:t>
            </w:r>
          </w:p>
        </w:tc>
        <w:tc>
          <w:tcPr>
            <w:tcW w:w="2355" w:type="dxa"/>
            <w:tcMar>
              <w:left w:w="105" w:type="dxa"/>
              <w:right w:w="105" w:type="dxa"/>
            </w:tcMar>
          </w:tcPr>
          <w:p w14:paraId="7EBA8E86" w14:textId="3940F1B6" w:rsidR="3AFE0DE7" w:rsidRDefault="3AFE0DE7" w:rsidP="3AFE0DE7">
            <w:pPr>
              <w:spacing w:line="360" w:lineRule="auto"/>
              <w:jc w:val="both"/>
              <w:rPr>
                <w:rFonts w:ascii="Arial" w:eastAsia="Arial" w:hAnsi="Arial" w:cs="Arial"/>
                <w:sz w:val="24"/>
                <w:szCs w:val="24"/>
              </w:rPr>
            </w:pPr>
            <w:r w:rsidRPr="3AFE0DE7">
              <w:rPr>
                <w:rFonts w:ascii="Arial" w:eastAsia="Arial" w:hAnsi="Arial" w:cs="Arial"/>
                <w:sz w:val="24"/>
                <w:szCs w:val="24"/>
                <w:lang w:val="en-GB"/>
              </w:rPr>
              <w:t>£520,000</w:t>
            </w:r>
          </w:p>
        </w:tc>
        <w:tc>
          <w:tcPr>
            <w:tcW w:w="2205" w:type="dxa"/>
            <w:tcMar>
              <w:left w:w="105" w:type="dxa"/>
              <w:right w:w="105" w:type="dxa"/>
            </w:tcMar>
          </w:tcPr>
          <w:p w14:paraId="216573D8" w14:textId="165D476A" w:rsidR="3AFE0DE7" w:rsidRDefault="3AFE0DE7" w:rsidP="3AFE0DE7">
            <w:pPr>
              <w:spacing w:line="360" w:lineRule="auto"/>
              <w:jc w:val="both"/>
              <w:rPr>
                <w:rFonts w:ascii="Arial" w:eastAsia="Arial" w:hAnsi="Arial" w:cs="Arial"/>
                <w:sz w:val="24"/>
                <w:szCs w:val="24"/>
              </w:rPr>
            </w:pPr>
            <w:r w:rsidRPr="3AFE0DE7">
              <w:rPr>
                <w:rFonts w:ascii="Arial" w:eastAsia="Arial" w:hAnsi="Arial" w:cs="Arial"/>
                <w:sz w:val="24"/>
                <w:szCs w:val="24"/>
                <w:lang w:val="en-GB"/>
              </w:rPr>
              <w:t>£480,000</w:t>
            </w:r>
          </w:p>
        </w:tc>
        <w:tc>
          <w:tcPr>
            <w:tcW w:w="2205" w:type="dxa"/>
            <w:tcMar>
              <w:left w:w="105" w:type="dxa"/>
              <w:right w:w="105" w:type="dxa"/>
            </w:tcMar>
          </w:tcPr>
          <w:p w14:paraId="244AB2A2" w14:textId="09F6AE93" w:rsidR="3AFE0DE7" w:rsidRDefault="3AFE0DE7" w:rsidP="3AFE0DE7">
            <w:pPr>
              <w:spacing w:line="360" w:lineRule="auto"/>
              <w:jc w:val="both"/>
              <w:rPr>
                <w:rFonts w:ascii="Arial" w:eastAsia="Arial" w:hAnsi="Arial" w:cs="Arial"/>
                <w:sz w:val="24"/>
                <w:szCs w:val="24"/>
              </w:rPr>
            </w:pPr>
            <w:r w:rsidRPr="3AFE0DE7">
              <w:rPr>
                <w:rFonts w:ascii="Arial" w:eastAsia="Arial" w:hAnsi="Arial" w:cs="Arial"/>
                <w:sz w:val="24"/>
                <w:szCs w:val="24"/>
                <w:lang w:val="en-GB"/>
              </w:rPr>
              <w:t>£430,000</w:t>
            </w:r>
          </w:p>
        </w:tc>
      </w:tr>
      <w:tr w:rsidR="3AFE0DE7" w14:paraId="298CEBA2" w14:textId="77777777" w:rsidTr="3AFE0DE7">
        <w:trPr>
          <w:trHeight w:val="300"/>
        </w:trPr>
        <w:tc>
          <w:tcPr>
            <w:tcW w:w="2220" w:type="dxa"/>
            <w:tcMar>
              <w:left w:w="105" w:type="dxa"/>
              <w:right w:w="105" w:type="dxa"/>
            </w:tcMar>
          </w:tcPr>
          <w:p w14:paraId="56025D88" w14:textId="56D7B6A5" w:rsidR="3AFE0DE7" w:rsidRDefault="3AFE0DE7" w:rsidP="3AFE0DE7">
            <w:pPr>
              <w:spacing w:line="360" w:lineRule="auto"/>
              <w:jc w:val="both"/>
              <w:rPr>
                <w:rFonts w:ascii="Arial" w:eastAsia="Arial" w:hAnsi="Arial" w:cs="Arial"/>
                <w:sz w:val="24"/>
                <w:szCs w:val="24"/>
              </w:rPr>
            </w:pPr>
            <w:r w:rsidRPr="3AFE0DE7">
              <w:rPr>
                <w:rFonts w:ascii="Arial" w:eastAsia="Arial" w:hAnsi="Arial" w:cs="Arial"/>
                <w:sz w:val="24"/>
                <w:szCs w:val="24"/>
                <w:lang w:val="en-GB"/>
              </w:rPr>
              <w:t>Operating Expenses</w:t>
            </w:r>
          </w:p>
        </w:tc>
        <w:tc>
          <w:tcPr>
            <w:tcW w:w="2355" w:type="dxa"/>
            <w:tcMar>
              <w:left w:w="105" w:type="dxa"/>
              <w:right w:w="105" w:type="dxa"/>
            </w:tcMar>
          </w:tcPr>
          <w:p w14:paraId="754A2DC5" w14:textId="0CE32196" w:rsidR="3AFE0DE7" w:rsidRDefault="3AFE0DE7" w:rsidP="3AFE0DE7">
            <w:pPr>
              <w:spacing w:line="360" w:lineRule="auto"/>
              <w:jc w:val="both"/>
              <w:rPr>
                <w:rFonts w:ascii="Arial" w:eastAsia="Arial" w:hAnsi="Arial" w:cs="Arial"/>
                <w:sz w:val="24"/>
                <w:szCs w:val="24"/>
              </w:rPr>
            </w:pPr>
            <w:r w:rsidRPr="3AFE0DE7">
              <w:rPr>
                <w:rFonts w:ascii="Arial" w:eastAsia="Arial" w:hAnsi="Arial" w:cs="Arial"/>
                <w:sz w:val="24"/>
                <w:szCs w:val="24"/>
                <w:lang w:val="en-GB"/>
              </w:rPr>
              <w:t>£390,000</w:t>
            </w:r>
          </w:p>
        </w:tc>
        <w:tc>
          <w:tcPr>
            <w:tcW w:w="2205" w:type="dxa"/>
            <w:tcMar>
              <w:left w:w="105" w:type="dxa"/>
              <w:right w:w="105" w:type="dxa"/>
            </w:tcMar>
          </w:tcPr>
          <w:p w14:paraId="3AF3F694" w14:textId="75CD0634" w:rsidR="3AFE0DE7" w:rsidRDefault="3AFE0DE7" w:rsidP="3AFE0DE7">
            <w:pPr>
              <w:spacing w:line="360" w:lineRule="auto"/>
              <w:jc w:val="both"/>
              <w:rPr>
                <w:rFonts w:ascii="Arial" w:eastAsia="Arial" w:hAnsi="Arial" w:cs="Arial"/>
                <w:sz w:val="24"/>
                <w:szCs w:val="24"/>
              </w:rPr>
            </w:pPr>
            <w:r w:rsidRPr="3AFE0DE7">
              <w:rPr>
                <w:rFonts w:ascii="Arial" w:eastAsia="Arial" w:hAnsi="Arial" w:cs="Arial"/>
                <w:sz w:val="24"/>
                <w:szCs w:val="24"/>
                <w:lang w:val="en-GB"/>
              </w:rPr>
              <w:t>£400,000</w:t>
            </w:r>
          </w:p>
        </w:tc>
        <w:tc>
          <w:tcPr>
            <w:tcW w:w="2205" w:type="dxa"/>
            <w:tcMar>
              <w:left w:w="105" w:type="dxa"/>
              <w:right w:w="105" w:type="dxa"/>
            </w:tcMar>
          </w:tcPr>
          <w:p w14:paraId="154D737D" w14:textId="5A03E229" w:rsidR="3AFE0DE7" w:rsidRDefault="3AFE0DE7" w:rsidP="3AFE0DE7">
            <w:pPr>
              <w:spacing w:line="360" w:lineRule="auto"/>
              <w:jc w:val="both"/>
              <w:rPr>
                <w:rFonts w:ascii="Arial" w:eastAsia="Arial" w:hAnsi="Arial" w:cs="Arial"/>
                <w:sz w:val="24"/>
                <w:szCs w:val="24"/>
              </w:rPr>
            </w:pPr>
            <w:r w:rsidRPr="3AFE0DE7">
              <w:rPr>
                <w:rFonts w:ascii="Arial" w:eastAsia="Arial" w:hAnsi="Arial" w:cs="Arial"/>
                <w:sz w:val="24"/>
                <w:szCs w:val="24"/>
                <w:lang w:val="en-GB"/>
              </w:rPr>
              <w:t>£450,000</w:t>
            </w:r>
          </w:p>
        </w:tc>
      </w:tr>
      <w:tr w:rsidR="3AFE0DE7" w14:paraId="0EB95123" w14:textId="77777777" w:rsidTr="3AFE0DE7">
        <w:trPr>
          <w:trHeight w:val="300"/>
        </w:trPr>
        <w:tc>
          <w:tcPr>
            <w:tcW w:w="2220" w:type="dxa"/>
            <w:tcMar>
              <w:left w:w="105" w:type="dxa"/>
              <w:right w:w="105" w:type="dxa"/>
            </w:tcMar>
          </w:tcPr>
          <w:p w14:paraId="4C2C5197" w14:textId="4ED06A59" w:rsidR="3AFE0DE7" w:rsidRDefault="3AFE0DE7" w:rsidP="3AFE0DE7">
            <w:pPr>
              <w:spacing w:line="360" w:lineRule="auto"/>
              <w:jc w:val="both"/>
              <w:rPr>
                <w:rFonts w:ascii="Arial" w:eastAsia="Arial" w:hAnsi="Arial" w:cs="Arial"/>
                <w:sz w:val="24"/>
                <w:szCs w:val="24"/>
              </w:rPr>
            </w:pPr>
            <w:r w:rsidRPr="3AFE0DE7">
              <w:rPr>
                <w:rFonts w:ascii="Arial" w:eastAsia="Arial" w:hAnsi="Arial" w:cs="Arial"/>
                <w:sz w:val="24"/>
                <w:szCs w:val="24"/>
                <w:lang w:val="en-GB"/>
              </w:rPr>
              <w:t>Gross Profit</w:t>
            </w:r>
          </w:p>
        </w:tc>
        <w:tc>
          <w:tcPr>
            <w:tcW w:w="2355" w:type="dxa"/>
            <w:tcMar>
              <w:left w:w="105" w:type="dxa"/>
              <w:right w:w="105" w:type="dxa"/>
            </w:tcMar>
          </w:tcPr>
          <w:p w14:paraId="0EF258D1" w14:textId="2E9D9E29" w:rsidR="3AFE0DE7" w:rsidRDefault="3AFE0DE7" w:rsidP="3AFE0DE7">
            <w:pPr>
              <w:spacing w:line="360" w:lineRule="auto"/>
              <w:jc w:val="both"/>
              <w:rPr>
                <w:rFonts w:ascii="Arial" w:eastAsia="Arial" w:hAnsi="Arial" w:cs="Arial"/>
                <w:sz w:val="24"/>
                <w:szCs w:val="24"/>
              </w:rPr>
            </w:pPr>
            <w:r w:rsidRPr="3AFE0DE7">
              <w:rPr>
                <w:rFonts w:ascii="Arial" w:eastAsia="Arial" w:hAnsi="Arial" w:cs="Arial"/>
                <w:sz w:val="24"/>
                <w:szCs w:val="24"/>
                <w:lang w:val="en-GB"/>
              </w:rPr>
              <w:t>£130,000</w:t>
            </w:r>
          </w:p>
        </w:tc>
        <w:tc>
          <w:tcPr>
            <w:tcW w:w="2205" w:type="dxa"/>
            <w:tcMar>
              <w:left w:w="105" w:type="dxa"/>
              <w:right w:w="105" w:type="dxa"/>
            </w:tcMar>
          </w:tcPr>
          <w:p w14:paraId="6F196D49" w14:textId="46A88209" w:rsidR="3AFE0DE7" w:rsidRDefault="3AFE0DE7" w:rsidP="3AFE0DE7">
            <w:pPr>
              <w:spacing w:line="360" w:lineRule="auto"/>
              <w:jc w:val="both"/>
              <w:rPr>
                <w:rFonts w:ascii="Arial" w:eastAsia="Arial" w:hAnsi="Arial" w:cs="Arial"/>
                <w:sz w:val="24"/>
                <w:szCs w:val="24"/>
              </w:rPr>
            </w:pPr>
            <w:r w:rsidRPr="3AFE0DE7">
              <w:rPr>
                <w:rFonts w:ascii="Arial" w:eastAsia="Arial" w:hAnsi="Arial" w:cs="Arial"/>
                <w:sz w:val="24"/>
                <w:szCs w:val="24"/>
                <w:lang w:val="en-GB"/>
              </w:rPr>
              <w:t>£80,000</w:t>
            </w:r>
          </w:p>
        </w:tc>
        <w:tc>
          <w:tcPr>
            <w:tcW w:w="2205" w:type="dxa"/>
            <w:tcMar>
              <w:left w:w="105" w:type="dxa"/>
              <w:right w:w="105" w:type="dxa"/>
            </w:tcMar>
          </w:tcPr>
          <w:p w14:paraId="4FF11DF2" w14:textId="2D48E206" w:rsidR="3AFE0DE7" w:rsidRDefault="3AFE0DE7" w:rsidP="3AFE0DE7">
            <w:pPr>
              <w:spacing w:line="360" w:lineRule="auto"/>
              <w:jc w:val="both"/>
              <w:rPr>
                <w:rFonts w:ascii="Arial" w:eastAsia="Arial" w:hAnsi="Arial" w:cs="Arial"/>
                <w:sz w:val="24"/>
                <w:szCs w:val="24"/>
              </w:rPr>
            </w:pPr>
            <w:r w:rsidRPr="3AFE0DE7">
              <w:rPr>
                <w:rFonts w:ascii="Arial" w:eastAsia="Arial" w:hAnsi="Arial" w:cs="Arial"/>
                <w:sz w:val="24"/>
                <w:szCs w:val="24"/>
                <w:lang w:val="en-GB"/>
              </w:rPr>
              <w:t>£80,000</w:t>
            </w:r>
          </w:p>
        </w:tc>
      </w:tr>
      <w:tr w:rsidR="3AFE0DE7" w14:paraId="0E86BB54" w14:textId="77777777" w:rsidTr="3AFE0DE7">
        <w:trPr>
          <w:trHeight w:val="300"/>
        </w:trPr>
        <w:tc>
          <w:tcPr>
            <w:tcW w:w="2220" w:type="dxa"/>
            <w:tcMar>
              <w:left w:w="105" w:type="dxa"/>
              <w:right w:w="105" w:type="dxa"/>
            </w:tcMar>
          </w:tcPr>
          <w:p w14:paraId="45295B1E" w14:textId="549F889E" w:rsidR="3AFE0DE7" w:rsidRDefault="3AFE0DE7" w:rsidP="3AFE0DE7">
            <w:pPr>
              <w:spacing w:line="360" w:lineRule="auto"/>
              <w:jc w:val="both"/>
              <w:rPr>
                <w:rFonts w:ascii="Arial" w:eastAsia="Arial" w:hAnsi="Arial" w:cs="Arial"/>
                <w:sz w:val="24"/>
                <w:szCs w:val="24"/>
              </w:rPr>
            </w:pPr>
            <w:r w:rsidRPr="3AFE0DE7">
              <w:rPr>
                <w:rFonts w:ascii="Arial" w:eastAsia="Arial" w:hAnsi="Arial" w:cs="Arial"/>
                <w:sz w:val="24"/>
                <w:szCs w:val="24"/>
                <w:lang w:val="en-GB"/>
              </w:rPr>
              <w:t>Net Profit (Loss)</w:t>
            </w:r>
          </w:p>
        </w:tc>
        <w:tc>
          <w:tcPr>
            <w:tcW w:w="2355" w:type="dxa"/>
            <w:tcMar>
              <w:left w:w="105" w:type="dxa"/>
              <w:right w:w="105" w:type="dxa"/>
            </w:tcMar>
          </w:tcPr>
          <w:p w14:paraId="7D5B2DBE" w14:textId="42BD2BB9" w:rsidR="3AFE0DE7" w:rsidRDefault="3AFE0DE7" w:rsidP="3AFE0DE7">
            <w:pPr>
              <w:spacing w:line="360" w:lineRule="auto"/>
              <w:jc w:val="both"/>
              <w:rPr>
                <w:rFonts w:ascii="Arial" w:eastAsia="Arial" w:hAnsi="Arial" w:cs="Arial"/>
                <w:sz w:val="24"/>
                <w:szCs w:val="24"/>
              </w:rPr>
            </w:pPr>
            <w:r w:rsidRPr="3AFE0DE7">
              <w:rPr>
                <w:rFonts w:ascii="Arial" w:eastAsia="Arial" w:hAnsi="Arial" w:cs="Arial"/>
                <w:sz w:val="24"/>
                <w:szCs w:val="24"/>
                <w:lang w:val="en-GB"/>
              </w:rPr>
              <w:t>£78,000</w:t>
            </w:r>
          </w:p>
        </w:tc>
        <w:tc>
          <w:tcPr>
            <w:tcW w:w="2205" w:type="dxa"/>
            <w:tcMar>
              <w:left w:w="105" w:type="dxa"/>
              <w:right w:w="105" w:type="dxa"/>
            </w:tcMar>
          </w:tcPr>
          <w:p w14:paraId="1669A3CF" w14:textId="5675134C" w:rsidR="3AFE0DE7" w:rsidRDefault="3AFE0DE7" w:rsidP="3AFE0DE7">
            <w:pPr>
              <w:spacing w:line="360" w:lineRule="auto"/>
              <w:jc w:val="both"/>
              <w:rPr>
                <w:rFonts w:ascii="Arial" w:eastAsia="Arial" w:hAnsi="Arial" w:cs="Arial"/>
                <w:sz w:val="24"/>
                <w:szCs w:val="24"/>
              </w:rPr>
            </w:pPr>
            <w:r w:rsidRPr="3AFE0DE7">
              <w:rPr>
                <w:rFonts w:ascii="Arial" w:eastAsia="Arial" w:hAnsi="Arial" w:cs="Arial"/>
                <w:sz w:val="24"/>
                <w:szCs w:val="24"/>
                <w:lang w:val="en-GB"/>
              </w:rPr>
              <w:t>£40,000</w:t>
            </w:r>
          </w:p>
        </w:tc>
        <w:tc>
          <w:tcPr>
            <w:tcW w:w="2205" w:type="dxa"/>
            <w:tcMar>
              <w:left w:w="105" w:type="dxa"/>
              <w:right w:w="105" w:type="dxa"/>
            </w:tcMar>
          </w:tcPr>
          <w:p w14:paraId="4B951DBE" w14:textId="0278F781" w:rsidR="3AFE0DE7" w:rsidRDefault="3AFE0DE7" w:rsidP="3AFE0DE7">
            <w:pPr>
              <w:spacing w:line="360" w:lineRule="auto"/>
              <w:jc w:val="both"/>
              <w:rPr>
                <w:rFonts w:ascii="Arial" w:eastAsia="Arial" w:hAnsi="Arial" w:cs="Arial"/>
                <w:sz w:val="24"/>
                <w:szCs w:val="24"/>
              </w:rPr>
            </w:pPr>
            <w:r w:rsidRPr="3AFE0DE7">
              <w:rPr>
                <w:rFonts w:ascii="Arial" w:eastAsia="Arial" w:hAnsi="Arial" w:cs="Arial"/>
                <w:sz w:val="24"/>
                <w:szCs w:val="24"/>
                <w:lang w:val="en-GB"/>
              </w:rPr>
              <w:t>£17,500</w:t>
            </w:r>
          </w:p>
        </w:tc>
      </w:tr>
      <w:tr w:rsidR="3AFE0DE7" w14:paraId="514216A3" w14:textId="77777777" w:rsidTr="3AFE0DE7">
        <w:trPr>
          <w:trHeight w:val="300"/>
        </w:trPr>
        <w:tc>
          <w:tcPr>
            <w:tcW w:w="2220" w:type="dxa"/>
            <w:tcMar>
              <w:left w:w="105" w:type="dxa"/>
              <w:right w:w="105" w:type="dxa"/>
            </w:tcMar>
          </w:tcPr>
          <w:p w14:paraId="2F1A928C" w14:textId="7B88C4E7" w:rsidR="3AFE0DE7" w:rsidRDefault="3AFE0DE7" w:rsidP="3AFE0DE7">
            <w:pPr>
              <w:spacing w:line="360" w:lineRule="auto"/>
              <w:jc w:val="both"/>
              <w:rPr>
                <w:rFonts w:ascii="Arial" w:eastAsia="Arial" w:hAnsi="Arial" w:cs="Arial"/>
                <w:sz w:val="24"/>
                <w:szCs w:val="24"/>
              </w:rPr>
            </w:pPr>
            <w:r w:rsidRPr="3AFE0DE7">
              <w:rPr>
                <w:rFonts w:ascii="Arial" w:eastAsia="Arial" w:hAnsi="Arial" w:cs="Arial"/>
                <w:sz w:val="24"/>
                <w:szCs w:val="24"/>
                <w:lang w:val="en-GB"/>
              </w:rPr>
              <w:t>Net Profit Margin</w:t>
            </w:r>
          </w:p>
        </w:tc>
        <w:tc>
          <w:tcPr>
            <w:tcW w:w="2355" w:type="dxa"/>
            <w:tcMar>
              <w:left w:w="105" w:type="dxa"/>
              <w:right w:w="105" w:type="dxa"/>
            </w:tcMar>
          </w:tcPr>
          <w:p w14:paraId="545EC959" w14:textId="56D929D8" w:rsidR="3AFE0DE7" w:rsidRDefault="3AFE0DE7" w:rsidP="3AFE0DE7">
            <w:pPr>
              <w:spacing w:line="360" w:lineRule="auto"/>
              <w:jc w:val="both"/>
              <w:rPr>
                <w:rFonts w:ascii="Arial" w:eastAsia="Arial" w:hAnsi="Arial" w:cs="Arial"/>
                <w:sz w:val="24"/>
                <w:szCs w:val="24"/>
              </w:rPr>
            </w:pPr>
            <w:r w:rsidRPr="3AFE0DE7">
              <w:rPr>
                <w:rFonts w:ascii="Arial" w:eastAsia="Arial" w:hAnsi="Arial" w:cs="Arial"/>
                <w:sz w:val="24"/>
                <w:szCs w:val="24"/>
                <w:lang w:val="en-GB"/>
              </w:rPr>
              <w:t>15%</w:t>
            </w:r>
          </w:p>
        </w:tc>
        <w:tc>
          <w:tcPr>
            <w:tcW w:w="2205" w:type="dxa"/>
            <w:tcMar>
              <w:left w:w="105" w:type="dxa"/>
              <w:right w:w="105" w:type="dxa"/>
            </w:tcMar>
          </w:tcPr>
          <w:p w14:paraId="67126F81" w14:textId="5BF814EC" w:rsidR="3AFE0DE7" w:rsidRDefault="3AFE0DE7" w:rsidP="3AFE0DE7">
            <w:pPr>
              <w:spacing w:line="360" w:lineRule="auto"/>
              <w:jc w:val="both"/>
              <w:rPr>
                <w:rFonts w:ascii="Arial" w:eastAsia="Arial" w:hAnsi="Arial" w:cs="Arial"/>
                <w:sz w:val="24"/>
                <w:szCs w:val="24"/>
              </w:rPr>
            </w:pPr>
            <w:r w:rsidRPr="3AFE0DE7">
              <w:rPr>
                <w:rFonts w:ascii="Arial" w:eastAsia="Arial" w:hAnsi="Arial" w:cs="Arial"/>
                <w:sz w:val="24"/>
                <w:szCs w:val="24"/>
                <w:lang w:val="en-GB"/>
              </w:rPr>
              <w:t>8%</w:t>
            </w:r>
          </w:p>
        </w:tc>
        <w:tc>
          <w:tcPr>
            <w:tcW w:w="2205" w:type="dxa"/>
            <w:tcMar>
              <w:left w:w="105" w:type="dxa"/>
              <w:right w:w="105" w:type="dxa"/>
            </w:tcMar>
          </w:tcPr>
          <w:p w14:paraId="2DF473F2" w14:textId="253A862F" w:rsidR="3AFE0DE7" w:rsidRDefault="3AFE0DE7" w:rsidP="3AFE0DE7">
            <w:pPr>
              <w:spacing w:line="360" w:lineRule="auto"/>
              <w:jc w:val="both"/>
              <w:rPr>
                <w:rFonts w:ascii="Arial" w:eastAsia="Arial" w:hAnsi="Arial" w:cs="Arial"/>
                <w:sz w:val="24"/>
                <w:szCs w:val="24"/>
              </w:rPr>
            </w:pPr>
            <w:r w:rsidRPr="3AFE0DE7">
              <w:rPr>
                <w:rFonts w:ascii="Arial" w:eastAsia="Arial" w:hAnsi="Arial" w:cs="Arial"/>
                <w:sz w:val="24"/>
                <w:szCs w:val="24"/>
                <w:lang w:val="en-GB"/>
              </w:rPr>
              <w:t>4%</w:t>
            </w:r>
          </w:p>
        </w:tc>
      </w:tr>
    </w:tbl>
    <w:p w14:paraId="6A9199C1" w14:textId="2BF18B2E" w:rsidR="3AFE0DE7" w:rsidRDefault="3AFE0DE7" w:rsidP="3AFE0DE7">
      <w:pPr>
        <w:spacing w:after="0"/>
        <w:jc w:val="both"/>
        <w:rPr>
          <w:rFonts w:ascii="Arial" w:eastAsia="Arial" w:hAnsi="Arial" w:cs="Arial"/>
          <w:color w:val="000000" w:themeColor="text1"/>
          <w:lang w:val="en-GB"/>
        </w:rPr>
      </w:pPr>
    </w:p>
    <w:p w14:paraId="5E10022B" w14:textId="62601A67" w:rsidR="3AFE0DE7" w:rsidRDefault="3AFE0DE7" w:rsidP="3AFE0DE7">
      <w:pPr>
        <w:spacing w:after="0"/>
        <w:jc w:val="both"/>
        <w:rPr>
          <w:rFonts w:ascii="Arial" w:eastAsia="Arial" w:hAnsi="Arial" w:cs="Arial"/>
          <w:color w:val="000000" w:themeColor="text1"/>
          <w:lang w:val="en-GB"/>
        </w:rPr>
      </w:pPr>
    </w:p>
    <w:p w14:paraId="0983D001" w14:textId="32F47ECB" w:rsidR="5A4EF5EE" w:rsidRDefault="5A4EF5EE" w:rsidP="3AFE0DE7">
      <w:pPr>
        <w:spacing w:after="0" w:line="360" w:lineRule="auto"/>
        <w:ind w:firstLine="360"/>
        <w:jc w:val="both"/>
        <w:rPr>
          <w:rFonts w:ascii="Arial" w:eastAsia="Arial" w:hAnsi="Arial" w:cs="Arial"/>
          <w:color w:val="000000" w:themeColor="text1"/>
          <w:sz w:val="24"/>
          <w:szCs w:val="24"/>
          <w:lang w:val="en-GB"/>
        </w:rPr>
      </w:pPr>
      <w:r w:rsidRPr="3AFE0DE7">
        <w:rPr>
          <w:rFonts w:ascii="Arial" w:eastAsia="Arial" w:hAnsi="Arial" w:cs="Arial"/>
          <w:color w:val="000000" w:themeColor="text1"/>
          <w:sz w:val="24"/>
          <w:szCs w:val="24"/>
          <w:lang w:val="en-GB"/>
        </w:rPr>
        <w:t>The income statement of the Seaview Resort reveals a worrisome decline in financial performance from 2020 to 2022. The total income exhibited a consistent downward trend, decreasing from £520,000 in 2020 to £430,000 in 2022, indicating possible difficulties in both acquiring and maintaining clients. During the same time, there was a rise in operating expenditure from £390,000 to £450,000, suggesting potential operational inefficiencies or difficulties in managing costs (</w:t>
      </w:r>
      <w:proofErr w:type="spellStart"/>
      <w:r w:rsidRPr="3AFE0DE7">
        <w:rPr>
          <w:rFonts w:ascii="Arial" w:eastAsia="Arial" w:hAnsi="Arial" w:cs="Arial"/>
          <w:color w:val="000000" w:themeColor="text1"/>
          <w:sz w:val="24"/>
          <w:szCs w:val="24"/>
          <w:lang w:val="en-GB"/>
        </w:rPr>
        <w:t>Phimphaphowat</w:t>
      </w:r>
      <w:proofErr w:type="spellEnd"/>
      <w:r w:rsidRPr="3AFE0DE7">
        <w:rPr>
          <w:rFonts w:ascii="Arial" w:eastAsia="Arial" w:hAnsi="Arial" w:cs="Arial"/>
          <w:color w:val="000000" w:themeColor="text1"/>
          <w:sz w:val="24"/>
          <w:szCs w:val="24"/>
          <w:lang w:val="en-GB"/>
        </w:rPr>
        <w:t>, 2022). The net profit saw a significant decline from £130,000 in 2020 to £80,000 in both 2021 and 2022, providing challenges in sustaining a favourable profit margin. The net profit had a sharp decline, dropping from £78,000 in 2020 to £17,500 in 2022, indicating a substantial profitability obstacle. Given the decline in net profit margin from 15% to 4%, it is crucial to implement strategic interventions to reverse this trend, reassess the resort’s trade show, and ensure long-term financial sustainability in the competitive market (Setiawan, and Rosa, 2023).</w:t>
      </w:r>
    </w:p>
    <w:p w14:paraId="22D8CBD2" w14:textId="25745F2C" w:rsidR="44E92F47" w:rsidRDefault="44E92F47" w:rsidP="6539B490">
      <w:pPr>
        <w:pStyle w:val="Heading1"/>
        <w:rPr>
          <w:rFonts w:ascii="Arial" w:eastAsia="Arial" w:hAnsi="Arial" w:cs="Arial"/>
          <w:b/>
          <w:bCs/>
          <w:i/>
          <w:iCs/>
          <w:color w:val="auto"/>
          <w:sz w:val="24"/>
          <w:szCs w:val="24"/>
          <w:lang w:val="en-GB"/>
        </w:rPr>
      </w:pPr>
      <w:bookmarkStart w:id="6" w:name="_Toc1145275418"/>
      <w:r w:rsidRPr="6539B490">
        <w:rPr>
          <w:rFonts w:ascii="Arial" w:eastAsia="Arial" w:hAnsi="Arial" w:cs="Arial"/>
          <w:b/>
          <w:bCs/>
          <w:i/>
          <w:iCs/>
          <w:color w:val="auto"/>
          <w:sz w:val="24"/>
          <w:szCs w:val="24"/>
          <w:lang w:val="en-GB"/>
        </w:rPr>
        <w:t>Balance Sheet Analysis (End of 2022):</w:t>
      </w:r>
      <w:bookmarkEnd w:id="6"/>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4013"/>
        <w:gridCol w:w="5002"/>
      </w:tblGrid>
      <w:tr w:rsidR="3AFE0DE7" w14:paraId="08E99618" w14:textId="77777777" w:rsidTr="3AFE0DE7">
        <w:trPr>
          <w:trHeight w:val="465"/>
        </w:trPr>
        <w:tc>
          <w:tcPr>
            <w:tcW w:w="4013" w:type="dxa"/>
            <w:tcMar>
              <w:left w:w="105" w:type="dxa"/>
              <w:right w:w="105" w:type="dxa"/>
            </w:tcMar>
          </w:tcPr>
          <w:p w14:paraId="1983DC3D" w14:textId="2E708690" w:rsidR="3AFE0DE7" w:rsidRDefault="3AFE0DE7" w:rsidP="3AFE0DE7">
            <w:pPr>
              <w:pStyle w:val="TableParagraph"/>
              <w:spacing w:before="103" w:line="360" w:lineRule="auto"/>
              <w:ind w:left="40"/>
              <w:rPr>
                <w:rFonts w:ascii="Arial" w:eastAsia="Arial" w:hAnsi="Arial" w:cs="Arial"/>
                <w:sz w:val="20"/>
                <w:szCs w:val="20"/>
              </w:rPr>
            </w:pPr>
            <w:r w:rsidRPr="3AFE0DE7">
              <w:rPr>
                <w:rFonts w:ascii="Arial" w:eastAsia="Arial" w:hAnsi="Arial" w:cs="Arial"/>
                <w:b/>
                <w:bCs/>
                <w:sz w:val="20"/>
                <w:szCs w:val="20"/>
              </w:rPr>
              <w:t>Item</w:t>
            </w:r>
          </w:p>
        </w:tc>
        <w:tc>
          <w:tcPr>
            <w:tcW w:w="5002" w:type="dxa"/>
            <w:tcMar>
              <w:left w:w="105" w:type="dxa"/>
              <w:right w:w="105" w:type="dxa"/>
            </w:tcMar>
          </w:tcPr>
          <w:p w14:paraId="470B12D5" w14:textId="76B29680" w:rsidR="3AFE0DE7" w:rsidRDefault="3AFE0DE7" w:rsidP="3AFE0DE7">
            <w:pPr>
              <w:pStyle w:val="TableParagraph"/>
              <w:spacing w:before="103" w:line="360" w:lineRule="auto"/>
              <w:ind w:left="2024"/>
              <w:rPr>
                <w:rFonts w:ascii="Arial" w:eastAsia="Arial" w:hAnsi="Arial" w:cs="Arial"/>
                <w:sz w:val="20"/>
                <w:szCs w:val="20"/>
              </w:rPr>
            </w:pPr>
            <w:r w:rsidRPr="3AFE0DE7">
              <w:rPr>
                <w:rFonts w:ascii="Arial" w:eastAsia="Arial" w:hAnsi="Arial" w:cs="Arial"/>
                <w:b/>
                <w:bCs/>
                <w:sz w:val="20"/>
                <w:szCs w:val="20"/>
              </w:rPr>
              <w:t>Amount</w:t>
            </w:r>
          </w:p>
        </w:tc>
      </w:tr>
      <w:tr w:rsidR="3AFE0DE7" w14:paraId="5A47EFE9" w14:textId="77777777" w:rsidTr="3AFE0DE7">
        <w:trPr>
          <w:trHeight w:val="435"/>
        </w:trPr>
        <w:tc>
          <w:tcPr>
            <w:tcW w:w="4013" w:type="dxa"/>
            <w:tcMar>
              <w:left w:w="105" w:type="dxa"/>
              <w:right w:w="105" w:type="dxa"/>
            </w:tcMar>
          </w:tcPr>
          <w:p w14:paraId="4B0F9EF5" w14:textId="587D7D95" w:rsidR="3AFE0DE7" w:rsidRDefault="3AFE0DE7" w:rsidP="3AFE0DE7">
            <w:pPr>
              <w:pStyle w:val="TableParagraph"/>
              <w:spacing w:before="63" w:line="360" w:lineRule="auto"/>
              <w:ind w:left="40"/>
              <w:rPr>
                <w:rFonts w:ascii="Arial" w:eastAsia="Arial" w:hAnsi="Arial" w:cs="Arial"/>
                <w:sz w:val="20"/>
                <w:szCs w:val="20"/>
              </w:rPr>
            </w:pPr>
            <w:r w:rsidRPr="3AFE0DE7">
              <w:rPr>
                <w:rFonts w:ascii="Arial" w:eastAsia="Arial" w:hAnsi="Arial" w:cs="Arial"/>
                <w:sz w:val="20"/>
                <w:szCs w:val="20"/>
              </w:rPr>
              <w:t>Total Assets</w:t>
            </w:r>
          </w:p>
        </w:tc>
        <w:tc>
          <w:tcPr>
            <w:tcW w:w="5002" w:type="dxa"/>
            <w:tcMar>
              <w:left w:w="105" w:type="dxa"/>
              <w:right w:w="105" w:type="dxa"/>
            </w:tcMar>
          </w:tcPr>
          <w:p w14:paraId="0ACB2F77" w14:textId="2B773365" w:rsidR="3AFE0DE7" w:rsidRDefault="3AFE0DE7" w:rsidP="3AFE0DE7">
            <w:pPr>
              <w:pStyle w:val="TableParagraph"/>
              <w:spacing w:before="63" w:line="360" w:lineRule="auto"/>
              <w:ind w:left="2024"/>
              <w:rPr>
                <w:rFonts w:ascii="Arial" w:eastAsia="Arial" w:hAnsi="Arial" w:cs="Arial"/>
                <w:sz w:val="20"/>
                <w:szCs w:val="20"/>
              </w:rPr>
            </w:pPr>
            <w:r w:rsidRPr="3AFE0DE7">
              <w:rPr>
                <w:rFonts w:ascii="Arial" w:eastAsia="Arial" w:hAnsi="Arial" w:cs="Arial"/>
                <w:sz w:val="20"/>
                <w:szCs w:val="20"/>
              </w:rPr>
              <w:t>£1,200,000</w:t>
            </w:r>
          </w:p>
        </w:tc>
      </w:tr>
      <w:tr w:rsidR="3AFE0DE7" w14:paraId="0B9764B3" w14:textId="77777777" w:rsidTr="3AFE0DE7">
        <w:trPr>
          <w:trHeight w:val="435"/>
        </w:trPr>
        <w:tc>
          <w:tcPr>
            <w:tcW w:w="4013" w:type="dxa"/>
            <w:tcMar>
              <w:left w:w="105" w:type="dxa"/>
              <w:right w:w="105" w:type="dxa"/>
            </w:tcMar>
          </w:tcPr>
          <w:p w14:paraId="2B6D56F7" w14:textId="300FE99D" w:rsidR="3AFE0DE7" w:rsidRDefault="3AFE0DE7" w:rsidP="3AFE0DE7">
            <w:pPr>
              <w:pStyle w:val="TableParagraph"/>
              <w:spacing w:before="63" w:line="360" w:lineRule="auto"/>
              <w:ind w:left="40"/>
              <w:rPr>
                <w:rFonts w:ascii="Arial" w:eastAsia="Arial" w:hAnsi="Arial" w:cs="Arial"/>
                <w:sz w:val="20"/>
                <w:szCs w:val="20"/>
              </w:rPr>
            </w:pPr>
            <w:r w:rsidRPr="3AFE0DE7">
              <w:rPr>
                <w:rFonts w:ascii="Arial" w:eastAsia="Arial" w:hAnsi="Arial" w:cs="Arial"/>
                <w:sz w:val="20"/>
                <w:szCs w:val="20"/>
              </w:rPr>
              <w:t>- Current Assets</w:t>
            </w:r>
          </w:p>
        </w:tc>
        <w:tc>
          <w:tcPr>
            <w:tcW w:w="5002" w:type="dxa"/>
            <w:tcMar>
              <w:left w:w="105" w:type="dxa"/>
              <w:right w:w="105" w:type="dxa"/>
            </w:tcMar>
          </w:tcPr>
          <w:p w14:paraId="1FB5397A" w14:textId="6ADBF4E8" w:rsidR="3AFE0DE7" w:rsidRDefault="3AFE0DE7" w:rsidP="3AFE0DE7">
            <w:pPr>
              <w:pStyle w:val="TableParagraph"/>
              <w:spacing w:before="63" w:line="360" w:lineRule="auto"/>
              <w:ind w:left="2024"/>
              <w:rPr>
                <w:rFonts w:ascii="Arial" w:eastAsia="Arial" w:hAnsi="Arial" w:cs="Arial"/>
                <w:sz w:val="20"/>
                <w:szCs w:val="20"/>
              </w:rPr>
            </w:pPr>
            <w:r w:rsidRPr="3AFE0DE7">
              <w:rPr>
                <w:rFonts w:ascii="Arial" w:eastAsia="Arial" w:hAnsi="Arial" w:cs="Arial"/>
                <w:sz w:val="20"/>
                <w:szCs w:val="20"/>
              </w:rPr>
              <w:t>£250,000</w:t>
            </w:r>
          </w:p>
        </w:tc>
      </w:tr>
      <w:tr w:rsidR="3AFE0DE7" w14:paraId="728C8946" w14:textId="77777777" w:rsidTr="3AFE0DE7">
        <w:trPr>
          <w:trHeight w:val="435"/>
        </w:trPr>
        <w:tc>
          <w:tcPr>
            <w:tcW w:w="4013" w:type="dxa"/>
            <w:tcMar>
              <w:left w:w="105" w:type="dxa"/>
              <w:right w:w="105" w:type="dxa"/>
            </w:tcMar>
          </w:tcPr>
          <w:p w14:paraId="3A40A90F" w14:textId="2054319C" w:rsidR="3AFE0DE7" w:rsidRDefault="3AFE0DE7" w:rsidP="3AFE0DE7">
            <w:pPr>
              <w:pStyle w:val="TableParagraph"/>
              <w:spacing w:before="63" w:line="360" w:lineRule="auto"/>
              <w:ind w:left="40"/>
              <w:rPr>
                <w:rFonts w:ascii="Arial" w:eastAsia="Arial" w:hAnsi="Arial" w:cs="Arial"/>
                <w:sz w:val="20"/>
                <w:szCs w:val="20"/>
              </w:rPr>
            </w:pPr>
            <w:r w:rsidRPr="3AFE0DE7">
              <w:rPr>
                <w:rFonts w:ascii="Arial" w:eastAsia="Arial" w:hAnsi="Arial" w:cs="Arial"/>
                <w:sz w:val="20"/>
                <w:szCs w:val="20"/>
              </w:rPr>
              <w:t>- Property &amp; Equip.</w:t>
            </w:r>
          </w:p>
        </w:tc>
        <w:tc>
          <w:tcPr>
            <w:tcW w:w="5002" w:type="dxa"/>
            <w:tcMar>
              <w:left w:w="105" w:type="dxa"/>
              <w:right w:w="105" w:type="dxa"/>
            </w:tcMar>
          </w:tcPr>
          <w:p w14:paraId="3BD9CD4A" w14:textId="7FF009F4" w:rsidR="3AFE0DE7" w:rsidRDefault="3AFE0DE7" w:rsidP="3AFE0DE7">
            <w:pPr>
              <w:pStyle w:val="TableParagraph"/>
              <w:spacing w:before="63" w:line="360" w:lineRule="auto"/>
              <w:ind w:left="2024"/>
              <w:rPr>
                <w:rFonts w:ascii="Arial" w:eastAsia="Arial" w:hAnsi="Arial" w:cs="Arial"/>
                <w:sz w:val="20"/>
                <w:szCs w:val="20"/>
              </w:rPr>
            </w:pPr>
            <w:r w:rsidRPr="3AFE0DE7">
              <w:rPr>
                <w:rFonts w:ascii="Arial" w:eastAsia="Arial" w:hAnsi="Arial" w:cs="Arial"/>
                <w:sz w:val="20"/>
                <w:szCs w:val="20"/>
              </w:rPr>
              <w:t>£800,000 (£100,000 as inventory)</w:t>
            </w:r>
          </w:p>
        </w:tc>
      </w:tr>
      <w:tr w:rsidR="3AFE0DE7" w14:paraId="12F467D8" w14:textId="77777777" w:rsidTr="3AFE0DE7">
        <w:trPr>
          <w:trHeight w:val="435"/>
        </w:trPr>
        <w:tc>
          <w:tcPr>
            <w:tcW w:w="4013" w:type="dxa"/>
            <w:tcMar>
              <w:left w:w="105" w:type="dxa"/>
              <w:right w:w="105" w:type="dxa"/>
            </w:tcMar>
          </w:tcPr>
          <w:p w14:paraId="3E0B12E1" w14:textId="710241F5" w:rsidR="3AFE0DE7" w:rsidRDefault="3AFE0DE7" w:rsidP="3AFE0DE7">
            <w:pPr>
              <w:pStyle w:val="TableParagraph"/>
              <w:spacing w:before="65" w:line="360" w:lineRule="auto"/>
              <w:ind w:left="40"/>
              <w:rPr>
                <w:rFonts w:ascii="Arial" w:eastAsia="Arial" w:hAnsi="Arial" w:cs="Arial"/>
                <w:sz w:val="20"/>
                <w:szCs w:val="20"/>
              </w:rPr>
            </w:pPr>
            <w:r w:rsidRPr="3AFE0DE7">
              <w:rPr>
                <w:rFonts w:ascii="Arial" w:eastAsia="Arial" w:hAnsi="Arial" w:cs="Arial"/>
                <w:sz w:val="20"/>
                <w:szCs w:val="20"/>
              </w:rPr>
              <w:t>- Other Assets</w:t>
            </w:r>
          </w:p>
        </w:tc>
        <w:tc>
          <w:tcPr>
            <w:tcW w:w="5002" w:type="dxa"/>
            <w:tcMar>
              <w:left w:w="105" w:type="dxa"/>
              <w:right w:w="105" w:type="dxa"/>
            </w:tcMar>
          </w:tcPr>
          <w:p w14:paraId="4482AE5B" w14:textId="6CBC8FE0" w:rsidR="3AFE0DE7" w:rsidRDefault="3AFE0DE7" w:rsidP="3AFE0DE7">
            <w:pPr>
              <w:pStyle w:val="TableParagraph"/>
              <w:spacing w:before="65" w:line="360" w:lineRule="auto"/>
              <w:ind w:left="2024"/>
              <w:rPr>
                <w:rFonts w:ascii="Arial" w:eastAsia="Arial" w:hAnsi="Arial" w:cs="Arial"/>
                <w:sz w:val="20"/>
                <w:szCs w:val="20"/>
              </w:rPr>
            </w:pPr>
            <w:r w:rsidRPr="3AFE0DE7">
              <w:rPr>
                <w:rFonts w:ascii="Arial" w:eastAsia="Arial" w:hAnsi="Arial" w:cs="Arial"/>
                <w:sz w:val="20"/>
                <w:szCs w:val="20"/>
              </w:rPr>
              <w:t>£150,000</w:t>
            </w:r>
          </w:p>
        </w:tc>
      </w:tr>
      <w:tr w:rsidR="3AFE0DE7" w14:paraId="5DF9447B" w14:textId="77777777" w:rsidTr="3AFE0DE7">
        <w:trPr>
          <w:trHeight w:val="435"/>
        </w:trPr>
        <w:tc>
          <w:tcPr>
            <w:tcW w:w="4013" w:type="dxa"/>
            <w:tcMar>
              <w:left w:w="105" w:type="dxa"/>
              <w:right w:w="105" w:type="dxa"/>
            </w:tcMar>
          </w:tcPr>
          <w:p w14:paraId="6AB092F6" w14:textId="3705C0DF" w:rsidR="3AFE0DE7" w:rsidRDefault="3AFE0DE7" w:rsidP="3AFE0DE7">
            <w:pPr>
              <w:pStyle w:val="TableParagraph"/>
              <w:spacing w:before="63" w:line="360" w:lineRule="auto"/>
              <w:ind w:left="40"/>
              <w:rPr>
                <w:rFonts w:ascii="Arial" w:eastAsia="Arial" w:hAnsi="Arial" w:cs="Arial"/>
                <w:sz w:val="20"/>
                <w:szCs w:val="20"/>
              </w:rPr>
            </w:pPr>
            <w:r w:rsidRPr="3AFE0DE7">
              <w:rPr>
                <w:rFonts w:ascii="Arial" w:eastAsia="Arial" w:hAnsi="Arial" w:cs="Arial"/>
                <w:sz w:val="20"/>
                <w:szCs w:val="20"/>
              </w:rPr>
              <w:lastRenderedPageBreak/>
              <w:t>Total Liabilities</w:t>
            </w:r>
          </w:p>
        </w:tc>
        <w:tc>
          <w:tcPr>
            <w:tcW w:w="5002" w:type="dxa"/>
            <w:tcMar>
              <w:left w:w="105" w:type="dxa"/>
              <w:right w:w="105" w:type="dxa"/>
            </w:tcMar>
          </w:tcPr>
          <w:p w14:paraId="41B0146B" w14:textId="3AC38236" w:rsidR="3AFE0DE7" w:rsidRDefault="3AFE0DE7" w:rsidP="3AFE0DE7">
            <w:pPr>
              <w:pStyle w:val="TableParagraph"/>
              <w:spacing w:before="63" w:line="360" w:lineRule="auto"/>
              <w:ind w:left="2024"/>
              <w:rPr>
                <w:rFonts w:ascii="Arial" w:eastAsia="Arial" w:hAnsi="Arial" w:cs="Arial"/>
                <w:sz w:val="20"/>
                <w:szCs w:val="20"/>
              </w:rPr>
            </w:pPr>
            <w:r w:rsidRPr="3AFE0DE7">
              <w:rPr>
                <w:rFonts w:ascii="Arial" w:eastAsia="Arial" w:hAnsi="Arial" w:cs="Arial"/>
                <w:sz w:val="20"/>
                <w:szCs w:val="20"/>
              </w:rPr>
              <w:t>£750,000</w:t>
            </w:r>
          </w:p>
        </w:tc>
      </w:tr>
      <w:tr w:rsidR="3AFE0DE7" w14:paraId="025B8F9B" w14:textId="77777777" w:rsidTr="3AFE0DE7">
        <w:trPr>
          <w:trHeight w:val="435"/>
        </w:trPr>
        <w:tc>
          <w:tcPr>
            <w:tcW w:w="4013" w:type="dxa"/>
            <w:tcMar>
              <w:left w:w="105" w:type="dxa"/>
              <w:right w:w="105" w:type="dxa"/>
            </w:tcMar>
          </w:tcPr>
          <w:p w14:paraId="1ACC22C1" w14:textId="29BEEA56" w:rsidR="3AFE0DE7" w:rsidRDefault="3AFE0DE7" w:rsidP="3AFE0DE7">
            <w:pPr>
              <w:pStyle w:val="TableParagraph"/>
              <w:spacing w:before="79" w:line="360" w:lineRule="auto"/>
              <w:ind w:left="40"/>
              <w:rPr>
                <w:rFonts w:ascii="Arial" w:eastAsia="Arial" w:hAnsi="Arial" w:cs="Arial"/>
                <w:sz w:val="20"/>
                <w:szCs w:val="20"/>
              </w:rPr>
            </w:pPr>
            <w:r w:rsidRPr="3AFE0DE7">
              <w:rPr>
                <w:rFonts w:ascii="Arial" w:eastAsia="Arial" w:hAnsi="Arial" w:cs="Arial"/>
                <w:b/>
                <w:bCs/>
                <w:sz w:val="20"/>
                <w:szCs w:val="20"/>
              </w:rPr>
              <w:t>Item</w:t>
            </w:r>
          </w:p>
        </w:tc>
        <w:tc>
          <w:tcPr>
            <w:tcW w:w="5002" w:type="dxa"/>
            <w:tcMar>
              <w:left w:w="105" w:type="dxa"/>
              <w:right w:w="105" w:type="dxa"/>
            </w:tcMar>
          </w:tcPr>
          <w:p w14:paraId="5072A05E" w14:textId="69403DD0" w:rsidR="3AFE0DE7" w:rsidRDefault="3AFE0DE7" w:rsidP="3AFE0DE7">
            <w:pPr>
              <w:pStyle w:val="TableParagraph"/>
              <w:spacing w:before="79" w:line="360" w:lineRule="auto"/>
              <w:ind w:left="2024"/>
              <w:rPr>
                <w:rFonts w:ascii="Arial" w:eastAsia="Arial" w:hAnsi="Arial" w:cs="Arial"/>
                <w:sz w:val="20"/>
                <w:szCs w:val="20"/>
              </w:rPr>
            </w:pPr>
            <w:r w:rsidRPr="3AFE0DE7">
              <w:rPr>
                <w:rFonts w:ascii="Arial" w:eastAsia="Arial" w:hAnsi="Arial" w:cs="Arial"/>
                <w:b/>
                <w:bCs/>
                <w:sz w:val="20"/>
                <w:szCs w:val="20"/>
              </w:rPr>
              <w:t>Amount</w:t>
            </w:r>
          </w:p>
        </w:tc>
      </w:tr>
      <w:tr w:rsidR="3AFE0DE7" w14:paraId="0DEBC8A5" w14:textId="77777777" w:rsidTr="3AFE0DE7">
        <w:trPr>
          <w:trHeight w:val="435"/>
        </w:trPr>
        <w:tc>
          <w:tcPr>
            <w:tcW w:w="4013" w:type="dxa"/>
            <w:tcMar>
              <w:left w:w="105" w:type="dxa"/>
              <w:right w:w="105" w:type="dxa"/>
            </w:tcMar>
          </w:tcPr>
          <w:p w14:paraId="2B938461" w14:textId="029BE6A2" w:rsidR="3AFE0DE7" w:rsidRDefault="3AFE0DE7" w:rsidP="3AFE0DE7">
            <w:pPr>
              <w:pStyle w:val="TableParagraph"/>
              <w:spacing w:before="65" w:line="360" w:lineRule="auto"/>
              <w:ind w:left="40"/>
              <w:rPr>
                <w:rFonts w:ascii="Arial" w:eastAsia="Arial" w:hAnsi="Arial" w:cs="Arial"/>
                <w:sz w:val="20"/>
                <w:szCs w:val="20"/>
              </w:rPr>
            </w:pPr>
            <w:r w:rsidRPr="3AFE0DE7">
              <w:rPr>
                <w:rFonts w:ascii="Arial" w:eastAsia="Arial" w:hAnsi="Arial" w:cs="Arial"/>
                <w:sz w:val="20"/>
                <w:szCs w:val="20"/>
              </w:rPr>
              <w:t>- Current Liabilities</w:t>
            </w:r>
          </w:p>
        </w:tc>
        <w:tc>
          <w:tcPr>
            <w:tcW w:w="5002" w:type="dxa"/>
            <w:tcMar>
              <w:left w:w="105" w:type="dxa"/>
              <w:right w:w="105" w:type="dxa"/>
            </w:tcMar>
          </w:tcPr>
          <w:p w14:paraId="18556CEA" w14:textId="2C78F9B8" w:rsidR="3AFE0DE7" w:rsidRDefault="3AFE0DE7" w:rsidP="3AFE0DE7">
            <w:pPr>
              <w:pStyle w:val="TableParagraph"/>
              <w:spacing w:before="65" w:line="360" w:lineRule="auto"/>
              <w:ind w:left="2024"/>
              <w:rPr>
                <w:rFonts w:ascii="Arial" w:eastAsia="Arial" w:hAnsi="Arial" w:cs="Arial"/>
                <w:sz w:val="20"/>
                <w:szCs w:val="20"/>
              </w:rPr>
            </w:pPr>
            <w:r w:rsidRPr="3AFE0DE7">
              <w:rPr>
                <w:rFonts w:ascii="Arial" w:eastAsia="Arial" w:hAnsi="Arial" w:cs="Arial"/>
                <w:sz w:val="20"/>
                <w:szCs w:val="20"/>
              </w:rPr>
              <w:t>£180,000</w:t>
            </w:r>
          </w:p>
        </w:tc>
      </w:tr>
      <w:tr w:rsidR="3AFE0DE7" w14:paraId="4258879C" w14:textId="77777777" w:rsidTr="3AFE0DE7">
        <w:trPr>
          <w:trHeight w:val="435"/>
        </w:trPr>
        <w:tc>
          <w:tcPr>
            <w:tcW w:w="4013" w:type="dxa"/>
            <w:tcMar>
              <w:left w:w="105" w:type="dxa"/>
              <w:right w:w="105" w:type="dxa"/>
            </w:tcMar>
          </w:tcPr>
          <w:p w14:paraId="6C4C55AF" w14:textId="6EE2FC11" w:rsidR="3AFE0DE7" w:rsidRDefault="3AFE0DE7" w:rsidP="3AFE0DE7">
            <w:pPr>
              <w:pStyle w:val="TableParagraph"/>
              <w:spacing w:before="65" w:line="360" w:lineRule="auto"/>
              <w:ind w:left="40"/>
              <w:rPr>
                <w:rFonts w:ascii="Arial" w:eastAsia="Arial" w:hAnsi="Arial" w:cs="Arial"/>
                <w:sz w:val="20"/>
                <w:szCs w:val="20"/>
              </w:rPr>
            </w:pPr>
            <w:r w:rsidRPr="3AFE0DE7">
              <w:rPr>
                <w:rFonts w:ascii="Arial" w:eastAsia="Arial" w:hAnsi="Arial" w:cs="Arial"/>
                <w:sz w:val="20"/>
                <w:szCs w:val="20"/>
              </w:rPr>
              <w:t>- Long-term Debt</w:t>
            </w:r>
          </w:p>
        </w:tc>
        <w:tc>
          <w:tcPr>
            <w:tcW w:w="5002" w:type="dxa"/>
            <w:tcMar>
              <w:left w:w="105" w:type="dxa"/>
              <w:right w:w="105" w:type="dxa"/>
            </w:tcMar>
          </w:tcPr>
          <w:p w14:paraId="6183F070" w14:textId="451791EF" w:rsidR="3AFE0DE7" w:rsidRDefault="3AFE0DE7" w:rsidP="3AFE0DE7">
            <w:pPr>
              <w:pStyle w:val="TableParagraph"/>
              <w:spacing w:before="65" w:line="360" w:lineRule="auto"/>
              <w:ind w:left="2024"/>
              <w:rPr>
                <w:rFonts w:ascii="Arial" w:eastAsia="Arial" w:hAnsi="Arial" w:cs="Arial"/>
                <w:sz w:val="20"/>
                <w:szCs w:val="20"/>
              </w:rPr>
            </w:pPr>
            <w:r w:rsidRPr="3AFE0DE7">
              <w:rPr>
                <w:rFonts w:ascii="Arial" w:eastAsia="Arial" w:hAnsi="Arial" w:cs="Arial"/>
                <w:sz w:val="20"/>
                <w:szCs w:val="20"/>
              </w:rPr>
              <w:t>£500,000</w:t>
            </w:r>
          </w:p>
        </w:tc>
      </w:tr>
      <w:tr w:rsidR="3AFE0DE7" w14:paraId="74396E77" w14:textId="77777777" w:rsidTr="3AFE0DE7">
        <w:trPr>
          <w:trHeight w:val="405"/>
        </w:trPr>
        <w:tc>
          <w:tcPr>
            <w:tcW w:w="4013" w:type="dxa"/>
            <w:tcMar>
              <w:left w:w="105" w:type="dxa"/>
              <w:right w:w="105" w:type="dxa"/>
            </w:tcMar>
          </w:tcPr>
          <w:p w14:paraId="696B4AA2" w14:textId="567F66CE" w:rsidR="3AFE0DE7" w:rsidRDefault="3AFE0DE7" w:rsidP="3AFE0DE7">
            <w:pPr>
              <w:pStyle w:val="TableParagraph"/>
              <w:spacing w:before="63" w:line="360" w:lineRule="auto"/>
              <w:ind w:left="40"/>
              <w:rPr>
                <w:rFonts w:ascii="Arial" w:eastAsia="Arial" w:hAnsi="Arial" w:cs="Arial"/>
                <w:sz w:val="20"/>
                <w:szCs w:val="20"/>
              </w:rPr>
            </w:pPr>
            <w:r w:rsidRPr="3AFE0DE7">
              <w:rPr>
                <w:rFonts w:ascii="Arial" w:eastAsia="Arial" w:hAnsi="Arial" w:cs="Arial"/>
                <w:sz w:val="20"/>
                <w:szCs w:val="20"/>
              </w:rPr>
              <w:t>Equity</w:t>
            </w:r>
          </w:p>
        </w:tc>
        <w:tc>
          <w:tcPr>
            <w:tcW w:w="5002" w:type="dxa"/>
            <w:tcMar>
              <w:left w:w="105" w:type="dxa"/>
              <w:right w:w="105" w:type="dxa"/>
            </w:tcMar>
          </w:tcPr>
          <w:p w14:paraId="54ACF4C2" w14:textId="41911308" w:rsidR="3AFE0DE7" w:rsidRDefault="3AFE0DE7" w:rsidP="3AFE0DE7">
            <w:pPr>
              <w:pStyle w:val="TableParagraph"/>
              <w:spacing w:before="63" w:line="360" w:lineRule="auto"/>
              <w:ind w:left="2024"/>
              <w:rPr>
                <w:rFonts w:ascii="Arial" w:eastAsia="Arial" w:hAnsi="Arial" w:cs="Arial"/>
                <w:sz w:val="20"/>
                <w:szCs w:val="20"/>
              </w:rPr>
            </w:pPr>
            <w:r w:rsidRPr="3AFE0DE7">
              <w:rPr>
                <w:rFonts w:ascii="Arial" w:eastAsia="Arial" w:hAnsi="Arial" w:cs="Arial"/>
                <w:sz w:val="20"/>
                <w:szCs w:val="20"/>
              </w:rPr>
              <w:t>£450,000</w:t>
            </w:r>
          </w:p>
        </w:tc>
      </w:tr>
    </w:tbl>
    <w:p w14:paraId="76830DBC" w14:textId="2272E1C0" w:rsidR="3AFE0DE7" w:rsidRDefault="3AFE0DE7" w:rsidP="3AFE0DE7">
      <w:pPr>
        <w:spacing w:after="0" w:line="360" w:lineRule="auto"/>
        <w:ind w:firstLine="720"/>
        <w:jc w:val="both"/>
        <w:rPr>
          <w:rFonts w:ascii="Arial" w:eastAsia="Arial" w:hAnsi="Arial" w:cs="Arial"/>
          <w:color w:val="000000" w:themeColor="text1"/>
          <w:sz w:val="24"/>
          <w:szCs w:val="24"/>
          <w:lang w:val="en-GB"/>
        </w:rPr>
      </w:pPr>
    </w:p>
    <w:p w14:paraId="51695C88" w14:textId="23C6F542" w:rsidR="44E92F47" w:rsidRDefault="44E92F47" w:rsidP="3AFE0DE7">
      <w:pPr>
        <w:spacing w:after="0" w:line="360" w:lineRule="auto"/>
        <w:ind w:firstLine="720"/>
        <w:jc w:val="both"/>
        <w:rPr>
          <w:rFonts w:ascii="Arial" w:eastAsia="Arial" w:hAnsi="Arial" w:cs="Arial"/>
          <w:color w:val="000000" w:themeColor="text1"/>
          <w:sz w:val="24"/>
          <w:szCs w:val="24"/>
          <w:lang w:val="en-GB"/>
        </w:rPr>
      </w:pPr>
      <w:r w:rsidRPr="3AFE0DE7">
        <w:rPr>
          <w:rFonts w:ascii="Arial" w:eastAsia="Arial" w:hAnsi="Arial" w:cs="Arial"/>
          <w:color w:val="000000" w:themeColor="text1"/>
          <w:sz w:val="24"/>
          <w:szCs w:val="24"/>
          <w:lang w:val="en-GB"/>
        </w:rPr>
        <w:t xml:space="preserve">The balance sheet of Seaview Resort as of 2022 offers a complete summary of the resort’s financial position. The total value of assets amounts to £1,200,000, with the majority being attributed to property and equipment, which accounts for £800,000. The combination of these assets has considerable importance, although it indicates a lack of readily available funds </w:t>
      </w:r>
      <w:proofErr w:type="gramStart"/>
      <w:r w:rsidRPr="3AFE0DE7">
        <w:rPr>
          <w:rFonts w:ascii="Arial" w:eastAsia="Arial" w:hAnsi="Arial" w:cs="Arial"/>
          <w:color w:val="000000" w:themeColor="text1"/>
          <w:sz w:val="24"/>
          <w:szCs w:val="24"/>
          <w:lang w:val="en-GB"/>
        </w:rPr>
        <w:t>as a result of</w:t>
      </w:r>
      <w:proofErr w:type="gramEnd"/>
      <w:r w:rsidRPr="3AFE0DE7">
        <w:rPr>
          <w:rFonts w:ascii="Arial" w:eastAsia="Arial" w:hAnsi="Arial" w:cs="Arial"/>
          <w:color w:val="000000" w:themeColor="text1"/>
          <w:sz w:val="24"/>
          <w:szCs w:val="24"/>
          <w:lang w:val="en-GB"/>
        </w:rPr>
        <w:t xml:space="preserve"> the decrease in returns. The total debts amount to £750,000, which include a significant long-term debt of £500,000. The significant amount of long-term debt creates concerns over the facility’s capacity to fulfil its financial commitments and might potentially result in financial challenges. The resources indicate the proprietor’s total assets amounting to £450,000 (Olayinka, 2022). Nevertheless, the decrease in income and overall financial performance had a negative impact on its equity position.</w:t>
      </w:r>
    </w:p>
    <w:p w14:paraId="26E50D0C" w14:textId="10AB2B0C" w:rsidR="3AFE0DE7" w:rsidRDefault="3AFE0DE7" w:rsidP="3AFE0DE7">
      <w:pPr>
        <w:pStyle w:val="Heading1"/>
        <w:ind w:firstLine="708"/>
        <w:rPr>
          <w:rFonts w:ascii="Arial" w:eastAsia="Arial" w:hAnsi="Arial" w:cs="Arial"/>
          <w:b/>
          <w:bCs/>
          <w:i/>
          <w:iCs/>
          <w:color w:val="auto"/>
          <w:sz w:val="24"/>
          <w:szCs w:val="24"/>
          <w:lang w:val="en-GB"/>
        </w:rPr>
      </w:pPr>
    </w:p>
    <w:p w14:paraId="3BBACDA9" w14:textId="65559682" w:rsidR="44E92F47" w:rsidRDefault="44E92F47" w:rsidP="6539B490">
      <w:pPr>
        <w:pStyle w:val="Heading1"/>
        <w:ind w:firstLine="708"/>
        <w:rPr>
          <w:rFonts w:ascii="Arial" w:eastAsia="Arial" w:hAnsi="Arial" w:cs="Arial"/>
          <w:b/>
          <w:bCs/>
          <w:i/>
          <w:iCs/>
          <w:color w:val="auto"/>
          <w:sz w:val="24"/>
          <w:szCs w:val="24"/>
          <w:lang w:val="en-GB"/>
        </w:rPr>
      </w:pPr>
      <w:bookmarkStart w:id="7" w:name="_Toc871518307"/>
      <w:r w:rsidRPr="6539B490">
        <w:rPr>
          <w:rFonts w:ascii="Arial" w:eastAsia="Arial" w:hAnsi="Arial" w:cs="Arial"/>
          <w:b/>
          <w:bCs/>
          <w:i/>
          <w:iCs/>
          <w:color w:val="auto"/>
          <w:sz w:val="24"/>
          <w:szCs w:val="24"/>
          <w:lang w:val="en-GB"/>
        </w:rPr>
        <w:t>Cash Flow Analysis (2021):</w:t>
      </w:r>
      <w:bookmarkEnd w:id="7"/>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5991"/>
        <w:gridCol w:w="3024"/>
      </w:tblGrid>
      <w:tr w:rsidR="3AFE0DE7" w14:paraId="2BA87718" w14:textId="77777777" w:rsidTr="3AFE0DE7">
        <w:trPr>
          <w:trHeight w:val="480"/>
        </w:trPr>
        <w:tc>
          <w:tcPr>
            <w:tcW w:w="5991" w:type="dxa"/>
            <w:tcMar>
              <w:left w:w="105" w:type="dxa"/>
              <w:right w:w="105" w:type="dxa"/>
            </w:tcMar>
          </w:tcPr>
          <w:p w14:paraId="42E091E2" w14:textId="68245C9F" w:rsidR="3AFE0DE7" w:rsidRDefault="3AFE0DE7" w:rsidP="3AFE0DE7">
            <w:pPr>
              <w:pStyle w:val="TableParagraph"/>
              <w:spacing w:before="108" w:line="360" w:lineRule="auto"/>
              <w:ind w:left="40"/>
              <w:rPr>
                <w:rFonts w:ascii="Arial" w:eastAsia="Arial" w:hAnsi="Arial" w:cs="Arial"/>
                <w:sz w:val="20"/>
                <w:szCs w:val="20"/>
              </w:rPr>
            </w:pPr>
            <w:r w:rsidRPr="3AFE0DE7">
              <w:rPr>
                <w:rFonts w:ascii="Arial" w:eastAsia="Arial" w:hAnsi="Arial" w:cs="Arial"/>
                <w:b/>
                <w:bCs/>
                <w:sz w:val="20"/>
                <w:szCs w:val="20"/>
              </w:rPr>
              <w:t>Item</w:t>
            </w:r>
          </w:p>
        </w:tc>
        <w:tc>
          <w:tcPr>
            <w:tcW w:w="3024" w:type="dxa"/>
            <w:tcMar>
              <w:left w:w="105" w:type="dxa"/>
              <w:right w:w="105" w:type="dxa"/>
            </w:tcMar>
          </w:tcPr>
          <w:p w14:paraId="3C35A6DE" w14:textId="5F687DB0" w:rsidR="3AFE0DE7" w:rsidRDefault="3AFE0DE7" w:rsidP="3AFE0DE7">
            <w:pPr>
              <w:pStyle w:val="TableParagraph"/>
              <w:spacing w:before="108" w:line="360" w:lineRule="auto"/>
              <w:ind w:left="1664"/>
              <w:rPr>
                <w:rFonts w:ascii="Arial" w:eastAsia="Arial" w:hAnsi="Arial" w:cs="Arial"/>
                <w:sz w:val="20"/>
                <w:szCs w:val="20"/>
              </w:rPr>
            </w:pPr>
            <w:r w:rsidRPr="3AFE0DE7">
              <w:rPr>
                <w:rFonts w:ascii="Arial" w:eastAsia="Arial" w:hAnsi="Arial" w:cs="Arial"/>
                <w:b/>
                <w:bCs/>
                <w:sz w:val="20"/>
                <w:szCs w:val="20"/>
              </w:rPr>
              <w:t>Amount</w:t>
            </w:r>
          </w:p>
        </w:tc>
      </w:tr>
      <w:tr w:rsidR="3AFE0DE7" w14:paraId="2BFE814F" w14:textId="77777777" w:rsidTr="3AFE0DE7">
        <w:trPr>
          <w:trHeight w:val="435"/>
        </w:trPr>
        <w:tc>
          <w:tcPr>
            <w:tcW w:w="5991" w:type="dxa"/>
            <w:tcMar>
              <w:left w:w="105" w:type="dxa"/>
              <w:right w:w="105" w:type="dxa"/>
            </w:tcMar>
          </w:tcPr>
          <w:p w14:paraId="4114DE5B" w14:textId="121CBDEB" w:rsidR="3AFE0DE7" w:rsidRDefault="3AFE0DE7" w:rsidP="3AFE0DE7">
            <w:pPr>
              <w:pStyle w:val="TableParagraph"/>
              <w:spacing w:before="67" w:line="360" w:lineRule="auto"/>
              <w:ind w:left="40"/>
              <w:rPr>
                <w:rFonts w:ascii="Arial" w:eastAsia="Arial" w:hAnsi="Arial" w:cs="Arial"/>
                <w:sz w:val="20"/>
                <w:szCs w:val="20"/>
              </w:rPr>
            </w:pPr>
            <w:r w:rsidRPr="3AFE0DE7">
              <w:rPr>
                <w:rFonts w:ascii="Arial" w:eastAsia="Arial" w:hAnsi="Arial" w:cs="Arial"/>
                <w:sz w:val="20"/>
                <w:szCs w:val="20"/>
              </w:rPr>
              <w:t>Net Cash Flow from Operations</w:t>
            </w:r>
          </w:p>
        </w:tc>
        <w:tc>
          <w:tcPr>
            <w:tcW w:w="3024" w:type="dxa"/>
            <w:tcMar>
              <w:left w:w="105" w:type="dxa"/>
              <w:right w:w="105" w:type="dxa"/>
            </w:tcMar>
          </w:tcPr>
          <w:p w14:paraId="5FB451BC" w14:textId="3F6A44A1" w:rsidR="3AFE0DE7" w:rsidRDefault="3AFE0DE7" w:rsidP="3AFE0DE7">
            <w:pPr>
              <w:pStyle w:val="TableParagraph"/>
              <w:spacing w:before="67" w:line="360" w:lineRule="auto"/>
              <w:ind w:left="1664"/>
              <w:rPr>
                <w:rFonts w:ascii="Arial" w:eastAsia="Arial" w:hAnsi="Arial" w:cs="Arial"/>
                <w:sz w:val="20"/>
                <w:szCs w:val="20"/>
              </w:rPr>
            </w:pPr>
            <w:r w:rsidRPr="3AFE0DE7">
              <w:rPr>
                <w:rFonts w:ascii="Arial" w:eastAsia="Arial" w:hAnsi="Arial" w:cs="Arial"/>
                <w:sz w:val="20"/>
                <w:szCs w:val="20"/>
              </w:rPr>
              <w:t>-£80,000</w:t>
            </w:r>
          </w:p>
        </w:tc>
      </w:tr>
      <w:tr w:rsidR="3AFE0DE7" w14:paraId="33EC5768" w14:textId="77777777" w:rsidTr="3AFE0DE7">
        <w:trPr>
          <w:trHeight w:val="435"/>
        </w:trPr>
        <w:tc>
          <w:tcPr>
            <w:tcW w:w="5991" w:type="dxa"/>
            <w:tcMar>
              <w:left w:w="105" w:type="dxa"/>
              <w:right w:w="105" w:type="dxa"/>
            </w:tcMar>
          </w:tcPr>
          <w:p w14:paraId="6B7C664F" w14:textId="6C3E6D42" w:rsidR="3AFE0DE7" w:rsidRDefault="3AFE0DE7" w:rsidP="3AFE0DE7">
            <w:pPr>
              <w:pStyle w:val="TableParagraph"/>
              <w:spacing w:before="67" w:line="360" w:lineRule="auto"/>
              <w:ind w:left="40"/>
              <w:rPr>
                <w:rFonts w:ascii="Arial" w:eastAsia="Arial" w:hAnsi="Arial" w:cs="Arial"/>
                <w:sz w:val="20"/>
                <w:szCs w:val="20"/>
              </w:rPr>
            </w:pPr>
            <w:r w:rsidRPr="3AFE0DE7">
              <w:rPr>
                <w:rFonts w:ascii="Arial" w:eastAsia="Arial" w:hAnsi="Arial" w:cs="Arial"/>
                <w:sz w:val="20"/>
                <w:szCs w:val="20"/>
              </w:rPr>
              <w:t>Capital Expenditures</w:t>
            </w:r>
          </w:p>
        </w:tc>
        <w:tc>
          <w:tcPr>
            <w:tcW w:w="3024" w:type="dxa"/>
            <w:tcMar>
              <w:left w:w="105" w:type="dxa"/>
              <w:right w:w="105" w:type="dxa"/>
            </w:tcMar>
          </w:tcPr>
          <w:p w14:paraId="04E8C5CB" w14:textId="3FBB252B" w:rsidR="3AFE0DE7" w:rsidRDefault="3AFE0DE7" w:rsidP="3AFE0DE7">
            <w:pPr>
              <w:pStyle w:val="TableParagraph"/>
              <w:spacing w:before="67" w:line="360" w:lineRule="auto"/>
              <w:ind w:left="1664"/>
              <w:rPr>
                <w:rFonts w:ascii="Arial" w:eastAsia="Arial" w:hAnsi="Arial" w:cs="Arial"/>
                <w:sz w:val="20"/>
                <w:szCs w:val="20"/>
              </w:rPr>
            </w:pPr>
            <w:r w:rsidRPr="3AFE0DE7">
              <w:rPr>
                <w:rFonts w:ascii="Arial" w:eastAsia="Arial" w:hAnsi="Arial" w:cs="Arial"/>
                <w:sz w:val="20"/>
                <w:szCs w:val="20"/>
              </w:rPr>
              <w:t>£30,000</w:t>
            </w:r>
          </w:p>
        </w:tc>
      </w:tr>
      <w:tr w:rsidR="3AFE0DE7" w14:paraId="44F894BA" w14:textId="77777777" w:rsidTr="3AFE0DE7">
        <w:trPr>
          <w:trHeight w:val="405"/>
        </w:trPr>
        <w:tc>
          <w:tcPr>
            <w:tcW w:w="5991" w:type="dxa"/>
            <w:tcMar>
              <w:left w:w="105" w:type="dxa"/>
              <w:right w:w="105" w:type="dxa"/>
            </w:tcMar>
          </w:tcPr>
          <w:p w14:paraId="6B2B4EC6" w14:textId="2CF0BDFA" w:rsidR="3AFE0DE7" w:rsidRDefault="3AFE0DE7" w:rsidP="3AFE0DE7">
            <w:pPr>
              <w:pStyle w:val="TableParagraph"/>
              <w:spacing w:before="67" w:line="360" w:lineRule="auto"/>
              <w:ind w:left="40"/>
              <w:rPr>
                <w:rFonts w:ascii="Arial" w:eastAsia="Arial" w:hAnsi="Arial" w:cs="Arial"/>
                <w:sz w:val="20"/>
                <w:szCs w:val="20"/>
              </w:rPr>
            </w:pPr>
            <w:r w:rsidRPr="3AFE0DE7">
              <w:rPr>
                <w:rFonts w:ascii="Arial" w:eastAsia="Arial" w:hAnsi="Arial" w:cs="Arial"/>
                <w:sz w:val="20"/>
                <w:szCs w:val="20"/>
              </w:rPr>
              <w:t>Net Cash Flow (Change in Cash Balance)</w:t>
            </w:r>
          </w:p>
        </w:tc>
        <w:tc>
          <w:tcPr>
            <w:tcW w:w="3024" w:type="dxa"/>
            <w:tcMar>
              <w:left w:w="105" w:type="dxa"/>
              <w:right w:w="105" w:type="dxa"/>
            </w:tcMar>
          </w:tcPr>
          <w:p w14:paraId="70ADDF1A" w14:textId="5919D9CE" w:rsidR="3AFE0DE7" w:rsidRDefault="3AFE0DE7" w:rsidP="3AFE0DE7">
            <w:pPr>
              <w:pStyle w:val="TableParagraph"/>
              <w:spacing w:before="67" w:line="360" w:lineRule="auto"/>
              <w:ind w:left="1664"/>
              <w:rPr>
                <w:rFonts w:ascii="Arial" w:eastAsia="Arial" w:hAnsi="Arial" w:cs="Arial"/>
                <w:sz w:val="20"/>
                <w:szCs w:val="20"/>
              </w:rPr>
            </w:pPr>
            <w:r w:rsidRPr="3AFE0DE7">
              <w:rPr>
                <w:rFonts w:ascii="Arial" w:eastAsia="Arial" w:hAnsi="Arial" w:cs="Arial"/>
                <w:sz w:val="20"/>
                <w:szCs w:val="20"/>
              </w:rPr>
              <w:t>-£110,000</w:t>
            </w:r>
          </w:p>
        </w:tc>
      </w:tr>
    </w:tbl>
    <w:p w14:paraId="76717614" w14:textId="14B406A4" w:rsidR="3AFE0DE7" w:rsidRDefault="3AFE0DE7" w:rsidP="3AFE0DE7">
      <w:pPr>
        <w:spacing w:after="0" w:line="360" w:lineRule="auto"/>
        <w:ind w:firstLine="720"/>
        <w:jc w:val="both"/>
        <w:rPr>
          <w:rFonts w:ascii="Arial" w:eastAsia="Arial" w:hAnsi="Arial" w:cs="Arial"/>
          <w:color w:val="000000" w:themeColor="text1"/>
          <w:sz w:val="24"/>
          <w:szCs w:val="24"/>
          <w:lang w:val="en-GB"/>
        </w:rPr>
      </w:pPr>
    </w:p>
    <w:p w14:paraId="0A8E12EA" w14:textId="71EB0A5F" w:rsidR="045DA47C" w:rsidRDefault="045DA47C" w:rsidP="3AFE0DE7">
      <w:pPr>
        <w:spacing w:after="0" w:line="360" w:lineRule="auto"/>
        <w:ind w:firstLine="360"/>
        <w:jc w:val="both"/>
      </w:pPr>
      <w:r w:rsidRPr="3AFE0DE7">
        <w:rPr>
          <w:rFonts w:ascii="Arial" w:eastAsia="Arial" w:hAnsi="Arial" w:cs="Arial"/>
          <w:color w:val="000000" w:themeColor="text1"/>
          <w:sz w:val="24"/>
          <w:szCs w:val="24"/>
          <w:lang w:val="en-GB"/>
        </w:rPr>
        <w:t>The cash flow study for Seaview Resort in 2021 reveals significant financial restrictions that need careful consideration. The resort’s net cash flow from operations amounted to a deficit of £80,000, indicating that the resort’s primary business activities failed to generate sufficient cash to cover operational expenses during the specified year. Simultaneously, £30,000 was allocated to capital expenditures, suggesting further investments in property or equipment. Therefore, the net cash flow associated with the £110,000 change in cash balance was very negative. The adverse cash flow gives rise to concerns over the resort’s financial position and its capacity to meet short-</w:t>
      </w:r>
      <w:r w:rsidRPr="3AFE0DE7">
        <w:rPr>
          <w:rFonts w:ascii="Arial" w:eastAsia="Arial" w:hAnsi="Arial" w:cs="Arial"/>
          <w:color w:val="000000" w:themeColor="text1"/>
          <w:sz w:val="24"/>
          <w:szCs w:val="24"/>
          <w:lang w:val="en-GB"/>
        </w:rPr>
        <w:lastRenderedPageBreak/>
        <w:t xml:space="preserve">term obligations. The resort may have challenges in securing funds for its daily operations or managing unforeseen expenses. The resort should prioritise initiatives aimed at enhancing cash flow from day-to-day operations, such as revenue-generating projects or cost reduction strategies. Furthermore, a meticulous evaluation of capital expenditures is necessary to ascertain if investments align with the strategic objectives and effectively enhance the profitability of the organisation. Nevertheless, the examination of cash flow underscores the need of proficient financial </w:t>
      </w:r>
      <w:proofErr w:type="spellStart"/>
      <w:r w:rsidRPr="3AFE0DE7">
        <w:rPr>
          <w:rFonts w:ascii="Arial" w:eastAsia="Arial" w:hAnsi="Arial" w:cs="Arial"/>
          <w:color w:val="000000" w:themeColor="text1"/>
          <w:sz w:val="24"/>
          <w:szCs w:val="24"/>
          <w:lang w:val="en-GB"/>
        </w:rPr>
        <w:t>strategising</w:t>
      </w:r>
      <w:proofErr w:type="spellEnd"/>
      <w:r w:rsidRPr="3AFE0DE7">
        <w:rPr>
          <w:rFonts w:ascii="Arial" w:eastAsia="Arial" w:hAnsi="Arial" w:cs="Arial"/>
          <w:color w:val="000000" w:themeColor="text1"/>
          <w:sz w:val="24"/>
          <w:szCs w:val="24"/>
          <w:lang w:val="en-GB"/>
        </w:rPr>
        <w:t xml:space="preserve"> to avert liquidity issues and maintain optimal operational efficiency in the resort industry (</w:t>
      </w:r>
      <w:proofErr w:type="spellStart"/>
      <w:r w:rsidRPr="3AFE0DE7">
        <w:rPr>
          <w:rFonts w:ascii="Arial" w:eastAsia="Arial" w:hAnsi="Arial" w:cs="Arial"/>
          <w:color w:val="000000" w:themeColor="text1"/>
          <w:sz w:val="24"/>
          <w:szCs w:val="24"/>
          <w:lang w:val="en-GB"/>
        </w:rPr>
        <w:t>Temelkov</w:t>
      </w:r>
      <w:proofErr w:type="spellEnd"/>
      <w:r w:rsidRPr="3AFE0DE7">
        <w:rPr>
          <w:rFonts w:ascii="Arial" w:eastAsia="Arial" w:hAnsi="Arial" w:cs="Arial"/>
          <w:color w:val="000000" w:themeColor="text1"/>
          <w:sz w:val="24"/>
          <w:szCs w:val="24"/>
          <w:lang w:val="en-GB"/>
        </w:rPr>
        <w:t>, 2022).</w:t>
      </w:r>
    </w:p>
    <w:p w14:paraId="2F8781B4" w14:textId="3CEE9754" w:rsidR="50EC0951" w:rsidRDefault="50EC0951" w:rsidP="6539B490">
      <w:pPr>
        <w:pStyle w:val="Heading1"/>
        <w:rPr>
          <w:rFonts w:ascii="Arial" w:eastAsia="Arial" w:hAnsi="Arial" w:cs="Arial"/>
          <w:b/>
          <w:bCs/>
          <w:i/>
          <w:iCs/>
          <w:color w:val="auto"/>
          <w:sz w:val="24"/>
          <w:szCs w:val="24"/>
          <w:lang w:val="en-GB"/>
        </w:rPr>
      </w:pPr>
      <w:bookmarkStart w:id="8" w:name="_Toc1219724402"/>
      <w:r w:rsidRPr="6539B490">
        <w:rPr>
          <w:rFonts w:ascii="Arial" w:eastAsia="Arial" w:hAnsi="Arial" w:cs="Arial"/>
          <w:b/>
          <w:bCs/>
          <w:i/>
          <w:iCs/>
          <w:color w:val="auto"/>
          <w:sz w:val="24"/>
          <w:szCs w:val="24"/>
          <w:lang w:val="en-GB"/>
        </w:rPr>
        <w:t>Additional information</w:t>
      </w:r>
      <w:bookmarkEnd w:id="8"/>
      <w:r w:rsidRPr="6539B490">
        <w:rPr>
          <w:rFonts w:ascii="Arial" w:eastAsia="Arial" w:hAnsi="Arial" w:cs="Arial"/>
          <w:b/>
          <w:bCs/>
          <w:i/>
          <w:iCs/>
          <w:color w:val="auto"/>
          <w:sz w:val="24"/>
          <w:szCs w:val="24"/>
          <w:lang w:val="en-GB"/>
        </w:rPr>
        <w:t xml:space="preserve"> </w:t>
      </w:r>
    </w:p>
    <w:p w14:paraId="19DC8932" w14:textId="3485F4AA" w:rsidR="50EC0951" w:rsidRDefault="50EC0951" w:rsidP="6539B490">
      <w:pPr>
        <w:spacing w:after="0" w:line="360" w:lineRule="auto"/>
        <w:ind w:firstLine="720"/>
        <w:jc w:val="both"/>
        <w:rPr>
          <w:rFonts w:ascii="Arial" w:eastAsia="Arial" w:hAnsi="Arial" w:cs="Arial"/>
          <w:b/>
          <w:bCs/>
          <w:i/>
          <w:iCs/>
          <w:sz w:val="24"/>
          <w:szCs w:val="24"/>
          <w:lang w:val="en-GB"/>
        </w:rPr>
      </w:pPr>
      <w:r w:rsidRPr="6539B490">
        <w:rPr>
          <w:rFonts w:ascii="Arial" w:eastAsia="Arial" w:hAnsi="Arial" w:cs="Arial"/>
          <w:color w:val="000000" w:themeColor="text1"/>
          <w:sz w:val="24"/>
          <w:szCs w:val="24"/>
          <w:lang w:val="en-GB"/>
        </w:rPr>
        <w:t xml:space="preserve">The following supplementary financial data pertaining to Seaview Resort has been assessed for significant variables that impact its performance. The average room rate (ARR) had a further reduction in 2020, with a more pronounced loss to £250, which ultimately dropped to £210 over a span of two years. This primarily suggests challenges in pricing or perhaps changes in client demand. Concurrently, the occupancy rate declined from 70% in 2020 to 60% in 2022, indicating a potential fall in the demand for lodgings at the resort. This emphasises the need of modifying price and marketing methods </w:t>
      </w:r>
      <w:proofErr w:type="gramStart"/>
      <w:r w:rsidRPr="6539B490">
        <w:rPr>
          <w:rFonts w:ascii="Arial" w:eastAsia="Arial" w:hAnsi="Arial" w:cs="Arial"/>
          <w:color w:val="000000" w:themeColor="text1"/>
          <w:sz w:val="24"/>
          <w:szCs w:val="24"/>
          <w:lang w:val="en-GB"/>
        </w:rPr>
        <w:t>in order to</w:t>
      </w:r>
      <w:proofErr w:type="gramEnd"/>
      <w:r w:rsidRPr="6539B490">
        <w:rPr>
          <w:rFonts w:ascii="Arial" w:eastAsia="Arial" w:hAnsi="Arial" w:cs="Arial"/>
          <w:color w:val="000000" w:themeColor="text1"/>
          <w:sz w:val="24"/>
          <w:szCs w:val="24"/>
          <w:lang w:val="en-GB"/>
        </w:rPr>
        <w:t xml:space="preserve"> attract visitors. A crucial component of the policies aimed at improving the financial state and competitive ability is to analyse and approve these additional online market indicators as well (Mustapha et al., 2020).</w:t>
      </w:r>
    </w:p>
    <w:p w14:paraId="73AC6651" w14:textId="6A5F3C93" w:rsidR="6539B490" w:rsidRDefault="6539B490" w:rsidP="6539B490">
      <w:pPr>
        <w:spacing w:after="0" w:line="360" w:lineRule="auto"/>
        <w:jc w:val="both"/>
        <w:rPr>
          <w:rFonts w:ascii="Arial" w:eastAsia="Arial" w:hAnsi="Arial" w:cs="Arial"/>
          <w:b/>
          <w:bCs/>
          <w:i/>
          <w:iCs/>
          <w:sz w:val="24"/>
          <w:szCs w:val="24"/>
          <w:lang w:val="en-GB"/>
        </w:rPr>
      </w:pPr>
    </w:p>
    <w:p w14:paraId="19CA4E6C" w14:textId="1AE8D4D9" w:rsidR="6539B490" w:rsidRDefault="6539B490" w:rsidP="6539B490">
      <w:pPr>
        <w:spacing w:after="0" w:line="360" w:lineRule="auto"/>
        <w:jc w:val="both"/>
        <w:rPr>
          <w:rFonts w:ascii="Arial" w:eastAsia="Arial" w:hAnsi="Arial" w:cs="Arial"/>
          <w:b/>
          <w:bCs/>
          <w:i/>
          <w:iCs/>
          <w:sz w:val="24"/>
          <w:szCs w:val="24"/>
          <w:lang w:val="en-GB"/>
        </w:rPr>
      </w:pPr>
    </w:p>
    <w:p w14:paraId="4684FF7D" w14:textId="1C25277E" w:rsidR="6539B490" w:rsidRDefault="6539B490" w:rsidP="6539B490">
      <w:pPr>
        <w:spacing w:after="0" w:line="360" w:lineRule="auto"/>
        <w:jc w:val="both"/>
        <w:rPr>
          <w:rFonts w:ascii="Arial" w:eastAsia="Arial" w:hAnsi="Arial" w:cs="Arial"/>
          <w:b/>
          <w:bCs/>
          <w:i/>
          <w:iCs/>
          <w:sz w:val="24"/>
          <w:szCs w:val="24"/>
          <w:lang w:val="en-GB"/>
        </w:rPr>
      </w:pPr>
    </w:p>
    <w:p w14:paraId="420CE417" w14:textId="1C29102F" w:rsidR="6539B490" w:rsidRDefault="6539B490" w:rsidP="1F628C7B">
      <w:pPr>
        <w:spacing w:after="0" w:line="360" w:lineRule="auto"/>
        <w:jc w:val="both"/>
        <w:rPr>
          <w:rFonts w:ascii="Arial" w:eastAsia="Arial" w:hAnsi="Arial" w:cs="Arial"/>
          <w:b/>
          <w:bCs/>
          <w:i/>
          <w:iCs/>
          <w:sz w:val="24"/>
          <w:szCs w:val="24"/>
          <w:lang w:val="en-GB"/>
        </w:rPr>
      </w:pPr>
    </w:p>
    <w:p w14:paraId="06EC4FCF" w14:textId="6F78847B" w:rsidR="1F628C7B" w:rsidRDefault="1F628C7B" w:rsidP="1F628C7B">
      <w:pPr>
        <w:spacing w:after="0" w:line="360" w:lineRule="auto"/>
        <w:jc w:val="both"/>
        <w:rPr>
          <w:rFonts w:ascii="Arial" w:eastAsia="Arial" w:hAnsi="Arial" w:cs="Arial"/>
          <w:b/>
          <w:bCs/>
          <w:i/>
          <w:iCs/>
          <w:sz w:val="24"/>
          <w:szCs w:val="24"/>
          <w:lang w:val="en-GB"/>
        </w:rPr>
      </w:pPr>
    </w:p>
    <w:p w14:paraId="3D5B72F9" w14:textId="3BBBCDF9" w:rsidR="1F628C7B" w:rsidRDefault="1F628C7B" w:rsidP="1F628C7B">
      <w:pPr>
        <w:spacing w:after="0" w:line="360" w:lineRule="auto"/>
        <w:jc w:val="both"/>
        <w:rPr>
          <w:rFonts w:ascii="Arial" w:eastAsia="Arial" w:hAnsi="Arial" w:cs="Arial"/>
          <w:b/>
          <w:bCs/>
          <w:i/>
          <w:iCs/>
          <w:sz w:val="24"/>
          <w:szCs w:val="24"/>
          <w:lang w:val="en-GB"/>
        </w:rPr>
      </w:pPr>
    </w:p>
    <w:p w14:paraId="777A196D" w14:textId="77777777" w:rsidR="001649CE" w:rsidRDefault="001649CE" w:rsidP="1F628C7B">
      <w:pPr>
        <w:spacing w:after="0" w:line="360" w:lineRule="auto"/>
        <w:jc w:val="both"/>
        <w:rPr>
          <w:rFonts w:ascii="Arial" w:eastAsia="Arial" w:hAnsi="Arial" w:cs="Arial"/>
          <w:b/>
          <w:bCs/>
          <w:i/>
          <w:iCs/>
          <w:sz w:val="24"/>
          <w:szCs w:val="24"/>
          <w:lang w:val="en-GB"/>
        </w:rPr>
      </w:pPr>
    </w:p>
    <w:p w14:paraId="660C96F3" w14:textId="77777777" w:rsidR="001649CE" w:rsidRDefault="001649CE" w:rsidP="1F628C7B">
      <w:pPr>
        <w:spacing w:after="0" w:line="360" w:lineRule="auto"/>
        <w:jc w:val="both"/>
        <w:rPr>
          <w:rFonts w:ascii="Arial" w:eastAsia="Arial" w:hAnsi="Arial" w:cs="Arial"/>
          <w:b/>
          <w:bCs/>
          <w:i/>
          <w:iCs/>
          <w:sz w:val="24"/>
          <w:szCs w:val="24"/>
          <w:lang w:val="en-GB"/>
        </w:rPr>
      </w:pPr>
    </w:p>
    <w:p w14:paraId="20E0DEC3" w14:textId="77777777" w:rsidR="001649CE" w:rsidRDefault="001649CE" w:rsidP="1F628C7B">
      <w:pPr>
        <w:spacing w:after="0" w:line="360" w:lineRule="auto"/>
        <w:jc w:val="both"/>
        <w:rPr>
          <w:rFonts w:ascii="Arial" w:eastAsia="Arial" w:hAnsi="Arial" w:cs="Arial"/>
          <w:b/>
          <w:bCs/>
          <w:i/>
          <w:iCs/>
          <w:sz w:val="24"/>
          <w:szCs w:val="24"/>
          <w:lang w:val="en-GB"/>
        </w:rPr>
      </w:pPr>
    </w:p>
    <w:p w14:paraId="6692B148" w14:textId="77777777" w:rsidR="001649CE" w:rsidRDefault="001649CE" w:rsidP="1F628C7B">
      <w:pPr>
        <w:spacing w:after="0" w:line="360" w:lineRule="auto"/>
        <w:jc w:val="both"/>
        <w:rPr>
          <w:rFonts w:ascii="Arial" w:eastAsia="Arial" w:hAnsi="Arial" w:cs="Arial"/>
          <w:b/>
          <w:bCs/>
          <w:i/>
          <w:iCs/>
          <w:sz w:val="24"/>
          <w:szCs w:val="24"/>
          <w:lang w:val="en-GB"/>
        </w:rPr>
      </w:pPr>
    </w:p>
    <w:p w14:paraId="3E9BDE1D" w14:textId="77777777" w:rsidR="001649CE" w:rsidRDefault="001649CE" w:rsidP="1F628C7B">
      <w:pPr>
        <w:spacing w:after="0" w:line="360" w:lineRule="auto"/>
        <w:jc w:val="both"/>
        <w:rPr>
          <w:rFonts w:ascii="Arial" w:eastAsia="Arial" w:hAnsi="Arial" w:cs="Arial"/>
          <w:b/>
          <w:bCs/>
          <w:i/>
          <w:iCs/>
          <w:sz w:val="24"/>
          <w:szCs w:val="24"/>
          <w:lang w:val="en-GB"/>
        </w:rPr>
      </w:pPr>
    </w:p>
    <w:p w14:paraId="6DC5B6C3" w14:textId="77777777" w:rsidR="001649CE" w:rsidRDefault="001649CE" w:rsidP="1F628C7B">
      <w:pPr>
        <w:spacing w:after="0" w:line="360" w:lineRule="auto"/>
        <w:jc w:val="both"/>
        <w:rPr>
          <w:rFonts w:ascii="Arial" w:eastAsia="Arial" w:hAnsi="Arial" w:cs="Arial"/>
          <w:b/>
          <w:bCs/>
          <w:i/>
          <w:iCs/>
          <w:sz w:val="24"/>
          <w:szCs w:val="24"/>
          <w:lang w:val="en-GB"/>
        </w:rPr>
      </w:pPr>
    </w:p>
    <w:p w14:paraId="327270AB" w14:textId="77777777" w:rsidR="001649CE" w:rsidRDefault="001649CE" w:rsidP="1F628C7B">
      <w:pPr>
        <w:spacing w:after="0" w:line="360" w:lineRule="auto"/>
        <w:jc w:val="both"/>
        <w:rPr>
          <w:rFonts w:ascii="Arial" w:eastAsia="Arial" w:hAnsi="Arial" w:cs="Arial"/>
          <w:b/>
          <w:bCs/>
          <w:i/>
          <w:iCs/>
          <w:sz w:val="24"/>
          <w:szCs w:val="24"/>
          <w:lang w:val="en-GB"/>
        </w:rPr>
      </w:pPr>
    </w:p>
    <w:p w14:paraId="3020CE60" w14:textId="6B163763" w:rsidR="0B143283" w:rsidRDefault="0B143283" w:rsidP="6539B490">
      <w:pPr>
        <w:spacing w:after="0" w:line="360" w:lineRule="auto"/>
        <w:jc w:val="both"/>
        <w:rPr>
          <w:rFonts w:ascii="Arial" w:eastAsia="Arial" w:hAnsi="Arial" w:cs="Arial"/>
          <w:b/>
          <w:bCs/>
          <w:i/>
          <w:iCs/>
          <w:sz w:val="24"/>
          <w:szCs w:val="24"/>
          <w:lang w:val="en-GB"/>
        </w:rPr>
      </w:pPr>
      <w:bookmarkStart w:id="9" w:name="_Toc1501690912"/>
      <w:r w:rsidRPr="6539B490">
        <w:rPr>
          <w:rFonts w:ascii="Arial" w:eastAsia="Arial" w:hAnsi="Arial" w:cs="Arial"/>
          <w:b/>
          <w:bCs/>
          <w:i/>
          <w:iCs/>
          <w:sz w:val="24"/>
          <w:szCs w:val="24"/>
          <w:lang w:val="en-GB"/>
        </w:rPr>
        <w:lastRenderedPageBreak/>
        <w:t>Swot Analysis</w:t>
      </w:r>
      <w:bookmarkEnd w:id="9"/>
    </w:p>
    <w:p w14:paraId="2EE8A514" w14:textId="4C52DE83" w:rsidR="1E46E642" w:rsidRDefault="1E46E642" w:rsidP="6539B490">
      <w:pPr>
        <w:tabs>
          <w:tab w:val="right" w:leader="dot" w:pos="9015"/>
        </w:tabs>
        <w:spacing w:after="100"/>
      </w:pPr>
      <w:r w:rsidRPr="6539B490">
        <w:rPr>
          <w:rFonts w:ascii="Calibri" w:eastAsia="Calibri" w:hAnsi="Calibri" w:cs="Calibri"/>
          <w:color w:val="000000" w:themeColor="text1"/>
        </w:rPr>
        <w:t xml:space="preserve">  </w:t>
      </w:r>
      <w:r w:rsidR="6B6A7594">
        <w:rPr>
          <w:noProof/>
        </w:rPr>
        <w:drawing>
          <wp:inline distT="0" distB="0" distL="0" distR="0" wp14:anchorId="1C68C97B" wp14:editId="1F6BE6BE">
            <wp:extent cx="5657850" cy="5057775"/>
            <wp:effectExtent l="0" t="0" r="0" b="0"/>
            <wp:docPr id="71468493" name="Picture 71468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657850" cy="5057775"/>
                    </a:xfrm>
                    <a:prstGeom prst="rect">
                      <a:avLst/>
                    </a:prstGeom>
                  </pic:spPr>
                </pic:pic>
              </a:graphicData>
            </a:graphic>
          </wp:inline>
        </w:drawing>
      </w:r>
      <w:r w:rsidR="28D263C9" w:rsidRPr="6539B490">
        <w:rPr>
          <w:rFonts w:ascii="Calibri" w:eastAsia="Calibri" w:hAnsi="Calibri" w:cs="Calibri"/>
          <w:color w:val="000000" w:themeColor="text1"/>
        </w:rPr>
        <w:t xml:space="preserve">  </w:t>
      </w:r>
      <w:r>
        <w:br/>
      </w:r>
    </w:p>
    <w:p w14:paraId="3B122942" w14:textId="3B3E4D9C" w:rsidR="3AFE0DE7" w:rsidRDefault="3AFE0DE7" w:rsidP="3AFE0DE7">
      <w:pPr>
        <w:rPr>
          <w:lang w:val="en-GB"/>
        </w:rPr>
      </w:pPr>
    </w:p>
    <w:p w14:paraId="08E44847" w14:textId="0C5BCD0C" w:rsidR="50EC0951" w:rsidRDefault="50EC0951" w:rsidP="6539B490">
      <w:pPr>
        <w:pStyle w:val="Heading1"/>
        <w:rPr>
          <w:rFonts w:ascii="Arial" w:eastAsia="Arial" w:hAnsi="Arial" w:cs="Arial"/>
          <w:b/>
          <w:bCs/>
          <w:i/>
          <w:iCs/>
          <w:color w:val="auto"/>
          <w:sz w:val="24"/>
          <w:szCs w:val="24"/>
          <w:lang w:val="en-GB"/>
        </w:rPr>
      </w:pPr>
      <w:bookmarkStart w:id="10" w:name="_Toc1460159365"/>
      <w:r w:rsidRPr="6539B490">
        <w:rPr>
          <w:rFonts w:ascii="Arial" w:eastAsia="Arial" w:hAnsi="Arial" w:cs="Arial"/>
          <w:b/>
          <w:bCs/>
          <w:i/>
          <w:iCs/>
          <w:color w:val="auto"/>
          <w:sz w:val="24"/>
          <w:szCs w:val="24"/>
          <w:lang w:val="en-GB"/>
        </w:rPr>
        <w:t>Key Reasons Behind the Decline in Profitability.</w:t>
      </w:r>
      <w:bookmarkEnd w:id="10"/>
    </w:p>
    <w:p w14:paraId="323878B9" w14:textId="2A684CBB" w:rsidR="50EC0951" w:rsidRDefault="50EC0951" w:rsidP="3AFE0DE7">
      <w:pPr>
        <w:spacing w:after="0" w:line="360" w:lineRule="auto"/>
        <w:ind w:firstLine="720"/>
        <w:jc w:val="both"/>
        <w:rPr>
          <w:rFonts w:ascii="Arial" w:eastAsia="Arial" w:hAnsi="Arial" w:cs="Arial"/>
          <w:color w:val="000000" w:themeColor="text1"/>
          <w:sz w:val="24"/>
          <w:szCs w:val="24"/>
          <w:lang w:val="en-GB"/>
        </w:rPr>
      </w:pPr>
      <w:r w:rsidRPr="3AFE0DE7">
        <w:rPr>
          <w:rFonts w:ascii="Arial" w:eastAsia="Arial" w:hAnsi="Arial" w:cs="Arial"/>
          <w:color w:val="000000" w:themeColor="text1"/>
          <w:sz w:val="24"/>
          <w:szCs w:val="24"/>
          <w:lang w:val="en-GB"/>
        </w:rPr>
        <w:t>The decrease in profitability at The Seaview Resort may be attributed to a variety of interconnected variables that have occurred throughout the previous three years. One primary factor is the persistent decrease in overall revenue, which dropped from £520,000 in 2020 to £430,000 in 2022 (</w:t>
      </w:r>
      <w:proofErr w:type="spellStart"/>
      <w:r w:rsidRPr="3AFE0DE7">
        <w:rPr>
          <w:rFonts w:ascii="Arial" w:eastAsia="Arial" w:hAnsi="Arial" w:cs="Arial"/>
          <w:color w:val="000000" w:themeColor="text1"/>
          <w:sz w:val="24"/>
          <w:szCs w:val="24"/>
          <w:lang w:val="en-GB"/>
        </w:rPr>
        <w:t>Karamoy</w:t>
      </w:r>
      <w:proofErr w:type="spellEnd"/>
      <w:r w:rsidRPr="3AFE0DE7">
        <w:rPr>
          <w:rFonts w:ascii="Arial" w:eastAsia="Arial" w:hAnsi="Arial" w:cs="Arial"/>
          <w:color w:val="000000" w:themeColor="text1"/>
          <w:sz w:val="24"/>
          <w:szCs w:val="24"/>
          <w:lang w:val="en-GB"/>
        </w:rPr>
        <w:t xml:space="preserve"> and </w:t>
      </w:r>
      <w:proofErr w:type="spellStart"/>
      <w:r w:rsidRPr="3AFE0DE7">
        <w:rPr>
          <w:rFonts w:ascii="Arial" w:eastAsia="Arial" w:hAnsi="Arial" w:cs="Arial"/>
          <w:color w:val="000000" w:themeColor="text1"/>
          <w:sz w:val="24"/>
          <w:szCs w:val="24"/>
          <w:lang w:val="en-GB"/>
        </w:rPr>
        <w:t>Tulung</w:t>
      </w:r>
      <w:proofErr w:type="spellEnd"/>
      <w:r w:rsidRPr="3AFE0DE7">
        <w:rPr>
          <w:rFonts w:ascii="Arial" w:eastAsia="Arial" w:hAnsi="Arial" w:cs="Arial"/>
          <w:color w:val="000000" w:themeColor="text1"/>
          <w:sz w:val="24"/>
          <w:szCs w:val="24"/>
          <w:lang w:val="en-GB"/>
        </w:rPr>
        <w:t xml:space="preserve">, 2020). This decrease indicates a potential decrease in consumer demand, an issue worsened by coastal travel and the failure to adjust to a growing market. Rivalry is intensifying due to the emergence of newer structures in </w:t>
      </w:r>
      <w:proofErr w:type="gramStart"/>
      <w:r w:rsidRPr="3AFE0DE7">
        <w:rPr>
          <w:rFonts w:ascii="Arial" w:eastAsia="Arial" w:hAnsi="Arial" w:cs="Arial"/>
          <w:color w:val="000000" w:themeColor="text1"/>
          <w:sz w:val="24"/>
          <w:szCs w:val="24"/>
          <w:lang w:val="en-GB"/>
        </w:rPr>
        <w:t>close proximity</w:t>
      </w:r>
      <w:proofErr w:type="gramEnd"/>
      <w:r w:rsidRPr="3AFE0DE7">
        <w:rPr>
          <w:rFonts w:ascii="Arial" w:eastAsia="Arial" w:hAnsi="Arial" w:cs="Arial"/>
          <w:color w:val="000000" w:themeColor="text1"/>
          <w:sz w:val="24"/>
          <w:szCs w:val="24"/>
          <w:lang w:val="en-GB"/>
        </w:rPr>
        <w:t xml:space="preserve">. The primary factor impacting income is the decrease in the average room rate (ARR), which is projected to decrease from £250 in 2020 to £210 in 2022. This suggests that there is a potential danger that, </w:t>
      </w:r>
      <w:proofErr w:type="gramStart"/>
      <w:r w:rsidRPr="3AFE0DE7">
        <w:rPr>
          <w:rFonts w:ascii="Arial" w:eastAsia="Arial" w:hAnsi="Arial" w:cs="Arial"/>
          <w:color w:val="000000" w:themeColor="text1"/>
          <w:sz w:val="24"/>
          <w:szCs w:val="24"/>
          <w:lang w:val="en-GB"/>
        </w:rPr>
        <w:t>as a result of</w:t>
      </w:r>
      <w:proofErr w:type="gramEnd"/>
      <w:r w:rsidRPr="3AFE0DE7">
        <w:rPr>
          <w:rFonts w:ascii="Arial" w:eastAsia="Arial" w:hAnsi="Arial" w:cs="Arial"/>
          <w:color w:val="000000" w:themeColor="text1"/>
          <w:sz w:val="24"/>
          <w:szCs w:val="24"/>
          <w:lang w:val="en-GB"/>
        </w:rPr>
        <w:t xml:space="preserve"> the site and price approach, a decrease in Annual Recurring Revenue </w:t>
      </w:r>
      <w:r w:rsidRPr="3AFE0DE7">
        <w:rPr>
          <w:rFonts w:ascii="Arial" w:eastAsia="Arial" w:hAnsi="Arial" w:cs="Arial"/>
          <w:color w:val="000000" w:themeColor="text1"/>
          <w:sz w:val="24"/>
          <w:szCs w:val="24"/>
          <w:lang w:val="en-GB"/>
        </w:rPr>
        <w:lastRenderedPageBreak/>
        <w:t xml:space="preserve">(ARR) might lead to a loss of visitors. The intended clientele seeking more affordable rates. </w:t>
      </w:r>
    </w:p>
    <w:p w14:paraId="3D37732F" w14:textId="63219E47" w:rsidR="50EC0951" w:rsidRDefault="50EC0951" w:rsidP="3AFE0DE7">
      <w:pPr>
        <w:spacing w:after="0" w:line="360" w:lineRule="auto"/>
        <w:ind w:firstLine="720"/>
        <w:jc w:val="both"/>
        <w:rPr>
          <w:rFonts w:ascii="Arial" w:eastAsia="Arial" w:hAnsi="Arial" w:cs="Arial"/>
          <w:color w:val="000000" w:themeColor="text1"/>
          <w:sz w:val="24"/>
          <w:szCs w:val="24"/>
          <w:lang w:val="en-GB"/>
        </w:rPr>
      </w:pPr>
      <w:r w:rsidRPr="3AFE0DE7">
        <w:rPr>
          <w:rFonts w:ascii="Arial" w:eastAsia="Arial" w:hAnsi="Arial" w:cs="Arial"/>
          <w:color w:val="000000" w:themeColor="text1"/>
          <w:sz w:val="24"/>
          <w:szCs w:val="24"/>
          <w:lang w:val="en-GB"/>
        </w:rPr>
        <w:t>Simultaneously, the occupancy rate, a significant metric for the hotel sector, declined from 70% in 2020 to 60% in 2022 (</w:t>
      </w:r>
      <w:proofErr w:type="spellStart"/>
      <w:r w:rsidRPr="3AFE0DE7">
        <w:rPr>
          <w:rFonts w:ascii="Arial" w:eastAsia="Arial" w:hAnsi="Arial" w:cs="Arial"/>
          <w:color w:val="000000" w:themeColor="text1"/>
          <w:sz w:val="24"/>
          <w:szCs w:val="24"/>
          <w:lang w:val="en-GB"/>
        </w:rPr>
        <w:t>Kazandzhieva</w:t>
      </w:r>
      <w:proofErr w:type="spellEnd"/>
      <w:r w:rsidRPr="3AFE0DE7">
        <w:rPr>
          <w:rFonts w:ascii="Arial" w:eastAsia="Arial" w:hAnsi="Arial" w:cs="Arial"/>
          <w:color w:val="000000" w:themeColor="text1"/>
          <w:sz w:val="24"/>
          <w:szCs w:val="24"/>
          <w:lang w:val="en-GB"/>
        </w:rPr>
        <w:t xml:space="preserve"> and Santana, 2019). This decline is indicative of the challenge in upholding visitor bookings, maybe stemming from the incapacity to seek modifications.  The customer requirements or the inadequate capacity to efficiently promote the assets and goods. The management deficiencies may significantly impact production levels. The operational cost has increased from £390,000 in 2020 to £450,000 in 2022, leading to issues over cost management and resource allocation. The gross profit, which indicates the hotel’s capacity to cover operational expenses, has seen a substantial decline from £130,000 in 2020 to £80,000 in 2022. This suggests potential challenges in managing the expenses associated with the sale of products </w:t>
      </w:r>
      <w:proofErr w:type="gramStart"/>
      <w:r w:rsidRPr="3AFE0DE7">
        <w:rPr>
          <w:rFonts w:ascii="Arial" w:eastAsia="Arial" w:hAnsi="Arial" w:cs="Arial"/>
          <w:color w:val="000000" w:themeColor="text1"/>
          <w:sz w:val="24"/>
          <w:szCs w:val="24"/>
          <w:lang w:val="en-GB"/>
        </w:rPr>
        <w:t>in light of</w:t>
      </w:r>
      <w:proofErr w:type="gramEnd"/>
      <w:r w:rsidRPr="3AFE0DE7">
        <w:rPr>
          <w:rFonts w:ascii="Arial" w:eastAsia="Arial" w:hAnsi="Arial" w:cs="Arial"/>
          <w:color w:val="000000" w:themeColor="text1"/>
          <w:sz w:val="24"/>
          <w:szCs w:val="24"/>
          <w:lang w:val="en-GB"/>
        </w:rPr>
        <w:t xml:space="preserve"> the decline in revenue, highlighting the need for a thorough evaluation of operations (Morrison, 2022). The decline in productivity is expected to be followed by concerns over the financial balance. The unfavourable operating cash flow (-£80,000) and significant capital expenditure (£30,000) in 2021 suggest that fulfilling short-term financial obligations and liquidity requirements will be challenging. The financial constraints have impeded the capacity to allocate funds towards property investments, critical enhancements, and timely responses to market fluctuations (AG, 2022). Furthermore, neglecting to address the evolving demands of customers about eco-tourism, as well as the provision of suitable lodgings and activities, would lead to a decrease in consumer satisfaction.  The negative reviews and a poor reputation might deter prospective consumers and have a detrimental impact on sales and profitability. </w:t>
      </w:r>
    </w:p>
    <w:p w14:paraId="2B375EEC" w14:textId="46B36170" w:rsidR="3AFE0DE7" w:rsidRDefault="50EC0951" w:rsidP="6539B490">
      <w:pPr>
        <w:spacing w:after="0" w:line="360" w:lineRule="auto"/>
        <w:ind w:firstLine="720"/>
        <w:jc w:val="both"/>
        <w:rPr>
          <w:rFonts w:ascii="Arial" w:eastAsia="Arial" w:hAnsi="Arial" w:cs="Arial"/>
          <w:color w:val="000000" w:themeColor="text1"/>
          <w:sz w:val="24"/>
          <w:szCs w:val="24"/>
          <w:lang w:val="en-GB"/>
        </w:rPr>
      </w:pPr>
      <w:r w:rsidRPr="6539B490">
        <w:rPr>
          <w:rFonts w:ascii="Arial" w:eastAsia="Arial" w:hAnsi="Arial" w:cs="Arial"/>
          <w:color w:val="000000" w:themeColor="text1"/>
          <w:sz w:val="24"/>
          <w:szCs w:val="24"/>
          <w:lang w:val="en-GB"/>
        </w:rPr>
        <w:t xml:space="preserve">The many obstacles need an all-encompassing approach for change (Olayinka, 2022). Hoteliers should reassess their pricing methods in accordance with market developments and the requirements of their guests. To rectify the management deficiencies, it is essential to conduct a thorough evaluation of expenses and procedures, with the objective of enhancing productivity while maintaining service excellence. To rejuvenate the resort and restore its distinctive qualities, it is crucial to enhance sales and prioritise social initiatives and experience services. Simultaneously, it is crucial to adopt a cautious strategy towards managing debt and to consider various possibilities for financial restructuring </w:t>
      </w:r>
      <w:proofErr w:type="gramStart"/>
      <w:r w:rsidRPr="6539B490">
        <w:rPr>
          <w:rFonts w:ascii="Arial" w:eastAsia="Arial" w:hAnsi="Arial" w:cs="Arial"/>
          <w:color w:val="000000" w:themeColor="text1"/>
          <w:sz w:val="24"/>
          <w:szCs w:val="24"/>
          <w:lang w:val="en-GB"/>
        </w:rPr>
        <w:t>in order to</w:t>
      </w:r>
      <w:proofErr w:type="gramEnd"/>
      <w:r w:rsidRPr="6539B490">
        <w:rPr>
          <w:rFonts w:ascii="Arial" w:eastAsia="Arial" w:hAnsi="Arial" w:cs="Arial"/>
          <w:color w:val="000000" w:themeColor="text1"/>
          <w:sz w:val="24"/>
          <w:szCs w:val="24"/>
          <w:lang w:val="en-GB"/>
        </w:rPr>
        <w:t xml:space="preserve"> ensure long-term financial stability. The execution of these strategic objectives would facilitate The </w:t>
      </w:r>
      <w:r w:rsidRPr="6539B490">
        <w:rPr>
          <w:rFonts w:ascii="Arial" w:eastAsia="Arial" w:hAnsi="Arial" w:cs="Arial"/>
          <w:color w:val="000000" w:themeColor="text1"/>
          <w:sz w:val="24"/>
          <w:szCs w:val="24"/>
          <w:lang w:val="en-GB"/>
        </w:rPr>
        <w:lastRenderedPageBreak/>
        <w:t xml:space="preserve">Seaview Resort in attaining profitability and reclaiming its status as a leading holiday destination in the fiercely competitive beach vacation industry (Khan et al., 2020).  </w:t>
      </w:r>
    </w:p>
    <w:p w14:paraId="2E968899" w14:textId="637BDFB6" w:rsidR="0A6AA3E5" w:rsidRDefault="0A6AA3E5" w:rsidP="6539B490">
      <w:pPr>
        <w:pStyle w:val="Heading1"/>
        <w:rPr>
          <w:rFonts w:ascii="Arial" w:eastAsia="Arial" w:hAnsi="Arial" w:cs="Arial"/>
          <w:b/>
          <w:bCs/>
          <w:i/>
          <w:iCs/>
          <w:color w:val="auto"/>
          <w:sz w:val="24"/>
          <w:szCs w:val="24"/>
          <w:lang w:val="en-GB"/>
        </w:rPr>
      </w:pPr>
      <w:bookmarkStart w:id="11" w:name="_Toc1055532009"/>
      <w:r w:rsidRPr="6539B490">
        <w:rPr>
          <w:rFonts w:ascii="Arial" w:eastAsia="Arial" w:hAnsi="Arial" w:cs="Arial"/>
          <w:b/>
          <w:bCs/>
          <w:i/>
          <w:iCs/>
          <w:color w:val="auto"/>
          <w:sz w:val="24"/>
          <w:szCs w:val="24"/>
          <w:lang w:val="en-GB"/>
        </w:rPr>
        <w:t>Comprehensive Turnaround Strategy for The Seaview Resort: Restoring Financial Health and Reclaiming Premier Vacation Status</w:t>
      </w:r>
      <w:bookmarkEnd w:id="11"/>
    </w:p>
    <w:p w14:paraId="1933F948" w14:textId="4441B6D1" w:rsidR="0A6AA3E5" w:rsidRDefault="0A6AA3E5" w:rsidP="3AFE0DE7">
      <w:pPr>
        <w:spacing w:after="0" w:line="360" w:lineRule="auto"/>
        <w:ind w:firstLine="720"/>
        <w:jc w:val="both"/>
        <w:rPr>
          <w:rFonts w:ascii="Arial" w:eastAsia="Arial" w:hAnsi="Arial" w:cs="Arial"/>
          <w:color w:val="000000" w:themeColor="text1"/>
          <w:sz w:val="24"/>
          <w:szCs w:val="24"/>
          <w:lang w:val="en-GB"/>
        </w:rPr>
      </w:pPr>
      <w:r w:rsidRPr="3AFE0DE7">
        <w:rPr>
          <w:rFonts w:ascii="Arial" w:eastAsia="Arial" w:hAnsi="Arial" w:cs="Arial"/>
          <w:color w:val="000000" w:themeColor="text1"/>
          <w:sz w:val="24"/>
          <w:szCs w:val="24"/>
          <w:lang w:val="en-GB"/>
        </w:rPr>
        <w:t xml:space="preserve">Restoring Seaview Resort's financial stability and renowned status requires the implementation of a thorough turnaround strategy. An intervention by an investor is essential to capitalise on the premises' potential and restore the resort to its previous level of success. An alternative method is the extended-term leasing of rooms via Airbnb. The restaurant has the capability to provide catering services for nearby kindergartens and schools. All three factors might serve as the fundamental pillars for implementing a successful turnaround plan. This strategy should address the key concerns highlighted and give opportunities for improvement. At first, a crucial aspect of an innovative system is evaluating the geographical location and financial framework (Freeman, 2022). Conducting an analysis of operational expenditures is crucial </w:t>
      </w:r>
      <w:proofErr w:type="gramStart"/>
      <w:r w:rsidRPr="3AFE0DE7">
        <w:rPr>
          <w:rFonts w:ascii="Arial" w:eastAsia="Arial" w:hAnsi="Arial" w:cs="Arial"/>
          <w:color w:val="000000" w:themeColor="text1"/>
          <w:sz w:val="24"/>
          <w:szCs w:val="24"/>
          <w:lang w:val="en-GB"/>
        </w:rPr>
        <w:t>in order to</w:t>
      </w:r>
      <w:proofErr w:type="gramEnd"/>
      <w:r w:rsidRPr="3AFE0DE7">
        <w:rPr>
          <w:rFonts w:ascii="Arial" w:eastAsia="Arial" w:hAnsi="Arial" w:cs="Arial"/>
          <w:color w:val="000000" w:themeColor="text1"/>
          <w:sz w:val="24"/>
          <w:szCs w:val="24"/>
          <w:lang w:val="en-GB"/>
        </w:rPr>
        <w:t xml:space="preserve"> identify areas where costs may be reduced without impacting the quality of services provided. This may include modifying provider agreements, implementing energy efficiency measures, streamlining operational procedures, and so on.  </w:t>
      </w:r>
    </w:p>
    <w:p w14:paraId="2BC9EBB4" w14:textId="2E8F0105" w:rsidR="0A6AA3E5" w:rsidRDefault="0A6AA3E5" w:rsidP="3AFE0DE7">
      <w:pPr>
        <w:spacing w:after="0" w:line="360" w:lineRule="auto"/>
        <w:ind w:firstLine="720"/>
        <w:jc w:val="both"/>
        <w:rPr>
          <w:rFonts w:ascii="Arial" w:eastAsia="Arial" w:hAnsi="Arial" w:cs="Arial"/>
          <w:color w:val="000000" w:themeColor="text1"/>
          <w:sz w:val="24"/>
          <w:szCs w:val="24"/>
          <w:lang w:val="en-GB"/>
        </w:rPr>
      </w:pPr>
      <w:r w:rsidRPr="3AFE0DE7">
        <w:rPr>
          <w:rFonts w:ascii="Arial" w:eastAsia="Arial" w:hAnsi="Arial" w:cs="Arial"/>
          <w:color w:val="000000" w:themeColor="text1"/>
          <w:sz w:val="24"/>
          <w:szCs w:val="24"/>
          <w:lang w:val="en-GB"/>
        </w:rPr>
        <w:t xml:space="preserve">The need of improving estimation and performance is crucial. A decline in the average room rate (ARR) indicates a departure from market expectations. Market research should be used to evaluate rivals’ pricing and adjust hotel rates depending on the perceived value. Hotels may use dynamic pricing tactics, seasonal promotions, and loyalty programmes to entice and maintain client loyalty (Thomas, 2023). The objective is to achieve a harmonious equilibrium between cost-effective pricing and the superior quality experience provided by The Seaview Resort. Enhancing the total visitor experience is crucial for maintaining the hotel’s reputation and ensuring guest satisfaction. It is advisable to prioritise work based on client feedback that assess the quality of both the service and the antiques. Prioritising investments in staff training programmes to enhance service standards and enhance resources to meet evolving demands is crucial. The adoption of sustainable and environmentally friendly methods is closely associated with prevailing tourist patterns, augmenting the allure of ecotourism and the preservation of natural resources (PLC, 2020). </w:t>
      </w:r>
    </w:p>
    <w:p w14:paraId="23AC6E5C" w14:textId="28BB4CE6" w:rsidR="0A6AA3E5" w:rsidRDefault="0A6AA3E5" w:rsidP="3AFE0DE7">
      <w:pPr>
        <w:spacing w:after="0" w:line="360" w:lineRule="auto"/>
        <w:ind w:firstLine="720"/>
        <w:jc w:val="both"/>
        <w:rPr>
          <w:rFonts w:ascii="Arial" w:eastAsia="Arial" w:hAnsi="Arial" w:cs="Arial"/>
          <w:color w:val="000000" w:themeColor="text1"/>
          <w:sz w:val="24"/>
          <w:szCs w:val="24"/>
          <w:lang w:val="en-GB"/>
        </w:rPr>
      </w:pPr>
      <w:r w:rsidRPr="3AFE0DE7">
        <w:rPr>
          <w:rFonts w:ascii="Arial" w:eastAsia="Arial" w:hAnsi="Arial" w:cs="Arial"/>
          <w:color w:val="000000" w:themeColor="text1"/>
          <w:sz w:val="24"/>
          <w:szCs w:val="24"/>
          <w:lang w:val="en-GB"/>
        </w:rPr>
        <w:t xml:space="preserve">The Seaview Resort was designated as part of the process of undergoing a renovation. This entails modifying both the inside and exterior to align with emerging </w:t>
      </w:r>
      <w:r w:rsidRPr="3AFE0DE7">
        <w:rPr>
          <w:rFonts w:ascii="Arial" w:eastAsia="Arial" w:hAnsi="Arial" w:cs="Arial"/>
          <w:color w:val="000000" w:themeColor="text1"/>
          <w:sz w:val="24"/>
          <w:szCs w:val="24"/>
          <w:lang w:val="en-GB"/>
        </w:rPr>
        <w:lastRenderedPageBreak/>
        <w:t xml:space="preserve">market demands and trends. Updates may include the introduction of new logos, revised marketing materials, and internet enhancements. Emphasising lodging and dedication to sustainability, while providing a distinctive experience, will contribute to the establishment of a distinct brand identity. Income diversification is a crucial component of the plan. The only purpose of earning money is to cover the cost of accommodation. Hotels </w:t>
      </w:r>
      <w:proofErr w:type="gramStart"/>
      <w:r w:rsidRPr="3AFE0DE7">
        <w:rPr>
          <w:rFonts w:ascii="Arial" w:eastAsia="Arial" w:hAnsi="Arial" w:cs="Arial"/>
          <w:color w:val="000000" w:themeColor="text1"/>
          <w:sz w:val="24"/>
          <w:szCs w:val="24"/>
          <w:lang w:val="en-GB"/>
        </w:rPr>
        <w:t>have to</w:t>
      </w:r>
      <w:proofErr w:type="gramEnd"/>
      <w:r w:rsidRPr="3AFE0DE7">
        <w:rPr>
          <w:rFonts w:ascii="Arial" w:eastAsia="Arial" w:hAnsi="Arial" w:cs="Arial"/>
          <w:color w:val="000000" w:themeColor="text1"/>
          <w:sz w:val="24"/>
          <w:szCs w:val="24"/>
          <w:lang w:val="en-GB"/>
        </w:rPr>
        <w:t xml:space="preserve"> establish collaborations with local enterprises, arrange events, and provide appealing packages in order to entice guests (Thomas, 2023). The collaborations with entertainment businesses and tourism organisations. Seaview Resort’s vacation experiences establish it as a prime location for both entertainment and adventure.</w:t>
      </w:r>
    </w:p>
    <w:p w14:paraId="5DA799E6" w14:textId="4757C842" w:rsidR="0A6AA3E5" w:rsidRDefault="0A6AA3E5" w:rsidP="6539B490">
      <w:pPr>
        <w:keepNext/>
        <w:keepLines/>
        <w:spacing w:after="0" w:line="360" w:lineRule="auto"/>
        <w:ind w:firstLine="720"/>
        <w:jc w:val="both"/>
        <w:rPr>
          <w:rFonts w:ascii="Arial" w:eastAsia="Arial" w:hAnsi="Arial" w:cs="Arial"/>
          <w:color w:val="000000" w:themeColor="text1"/>
          <w:sz w:val="24"/>
          <w:szCs w:val="24"/>
          <w:lang w:val="en-GB"/>
        </w:rPr>
      </w:pPr>
      <w:r w:rsidRPr="6539B490">
        <w:rPr>
          <w:rFonts w:ascii="Arial" w:eastAsia="Arial" w:hAnsi="Arial" w:cs="Arial"/>
          <w:color w:val="000000" w:themeColor="text1"/>
          <w:sz w:val="24"/>
          <w:szCs w:val="24"/>
          <w:lang w:val="en-GB"/>
        </w:rPr>
        <w:t>The effectiveness of the innovation strategy depends on the financial planning involved. Implementing a comprehensive financial strategy that encompasses budgeting, cash flow projection, and monitoring key performance indicators is crucial for maintaining financial stability (</w:t>
      </w:r>
      <w:proofErr w:type="spellStart"/>
      <w:r w:rsidRPr="6539B490">
        <w:rPr>
          <w:rFonts w:ascii="Arial" w:eastAsia="Arial" w:hAnsi="Arial" w:cs="Arial"/>
          <w:color w:val="000000" w:themeColor="text1"/>
          <w:sz w:val="24"/>
          <w:szCs w:val="24"/>
          <w:lang w:val="en-GB"/>
        </w:rPr>
        <w:t>Fauzan</w:t>
      </w:r>
      <w:proofErr w:type="spellEnd"/>
      <w:r w:rsidRPr="6539B490">
        <w:rPr>
          <w:rFonts w:ascii="Arial" w:eastAsia="Arial" w:hAnsi="Arial" w:cs="Arial"/>
          <w:color w:val="000000" w:themeColor="text1"/>
          <w:sz w:val="24"/>
          <w:szCs w:val="24"/>
          <w:lang w:val="en-GB"/>
        </w:rPr>
        <w:t xml:space="preserve"> et al., 2023). The plan should clearly outline the objectives and key milestones, enabling meetings and management to effectively monitor progress and make informed choices based on facts. The marketing efforts of the Seaview Resort are essential in solidifying its reputation as a high-end resort. The virtual entertainment and essential organisations may help enhance brand awareness via the use of digital marketing platforms (</w:t>
      </w:r>
      <w:proofErr w:type="spellStart"/>
      <w:r w:rsidRPr="6539B490">
        <w:rPr>
          <w:rFonts w:ascii="Arial" w:eastAsia="Arial" w:hAnsi="Arial" w:cs="Arial"/>
          <w:color w:val="000000" w:themeColor="text1"/>
          <w:sz w:val="24"/>
          <w:szCs w:val="24"/>
          <w:lang w:val="en-GB"/>
        </w:rPr>
        <w:t>Fauzan</w:t>
      </w:r>
      <w:proofErr w:type="spellEnd"/>
      <w:r w:rsidRPr="6539B490">
        <w:rPr>
          <w:rFonts w:ascii="Arial" w:eastAsia="Arial" w:hAnsi="Arial" w:cs="Arial"/>
          <w:color w:val="000000" w:themeColor="text1"/>
          <w:sz w:val="24"/>
          <w:szCs w:val="24"/>
          <w:lang w:val="en-GB"/>
        </w:rPr>
        <w:t xml:space="preserve"> et al., 2023).  The loyalty programmes enhance the hotel’s image by establishing connections with past visitors and promoting favourable internet reviews. The Seaview Resort’s comprehensive response system tackles cost inefficiencies, enhances expenditure strategies, enhances guest experience, rebrands, expands reach, and implements good financial strategies (Jaya et al., 2023).</w:t>
      </w:r>
    </w:p>
    <w:p w14:paraId="0D7437EB" w14:textId="088AE0BE" w:rsidR="0A6AA3E5" w:rsidRDefault="0A6AA3E5" w:rsidP="6539B490">
      <w:pPr>
        <w:pStyle w:val="Heading1"/>
        <w:rPr>
          <w:rFonts w:ascii="Arial" w:eastAsia="Arial" w:hAnsi="Arial" w:cs="Arial"/>
          <w:b/>
          <w:bCs/>
          <w:i/>
          <w:iCs/>
          <w:color w:val="auto"/>
          <w:sz w:val="24"/>
          <w:szCs w:val="24"/>
          <w:lang w:val="en-GB"/>
        </w:rPr>
      </w:pPr>
      <w:bookmarkStart w:id="12" w:name="_Toc129400941"/>
      <w:r w:rsidRPr="6539B490">
        <w:rPr>
          <w:rFonts w:ascii="Arial" w:eastAsia="Arial" w:hAnsi="Arial" w:cs="Arial"/>
          <w:b/>
          <w:bCs/>
          <w:i/>
          <w:iCs/>
          <w:color w:val="auto"/>
          <w:sz w:val="24"/>
          <w:szCs w:val="24"/>
          <w:lang w:val="en-GB"/>
        </w:rPr>
        <w:t>Conclusion</w:t>
      </w:r>
      <w:bookmarkEnd w:id="12"/>
      <w:r w:rsidRPr="6539B490">
        <w:rPr>
          <w:rFonts w:ascii="Arial" w:eastAsia="Arial" w:hAnsi="Arial" w:cs="Arial"/>
          <w:b/>
          <w:bCs/>
          <w:i/>
          <w:iCs/>
          <w:color w:val="auto"/>
          <w:sz w:val="24"/>
          <w:szCs w:val="24"/>
          <w:lang w:val="en-GB"/>
        </w:rPr>
        <w:t xml:space="preserve"> </w:t>
      </w:r>
    </w:p>
    <w:p w14:paraId="53D250A1" w14:textId="52658BD3" w:rsidR="0A6AA3E5" w:rsidRDefault="0A6AA3E5" w:rsidP="3AFE0DE7">
      <w:pPr>
        <w:spacing w:after="0" w:line="360" w:lineRule="auto"/>
        <w:ind w:firstLine="720"/>
        <w:jc w:val="both"/>
        <w:rPr>
          <w:rFonts w:ascii="Arial" w:eastAsia="Arial" w:hAnsi="Arial" w:cs="Arial"/>
          <w:color w:val="000000" w:themeColor="text1"/>
          <w:sz w:val="24"/>
          <w:szCs w:val="24"/>
          <w:lang w:val="en-GB"/>
        </w:rPr>
      </w:pPr>
      <w:r w:rsidRPr="3AFE0DE7">
        <w:rPr>
          <w:rFonts w:ascii="Arial" w:eastAsia="Arial" w:hAnsi="Arial" w:cs="Arial"/>
          <w:color w:val="000000" w:themeColor="text1"/>
          <w:sz w:val="24"/>
          <w:szCs w:val="24"/>
          <w:lang w:val="en-GB"/>
        </w:rPr>
        <w:t xml:space="preserve">The complete transformation approach provided addresses the several crucial causes that have led to the falling profitability and market position of Seaview Resort. The hotel aims to realign with its budget and regain its status as a premier destination for travellers seeking a memorable getaway by implementing cost optimisation, critical assessment, enhanced guest experience, renovations, revenue growth, and prudent financial planning. The dynamic and adaptive character of these programmes showcases the ability to adjust to market situations and meet consumer requests. </w:t>
      </w:r>
      <w:proofErr w:type="gramStart"/>
      <w:r w:rsidRPr="3AFE0DE7">
        <w:rPr>
          <w:rFonts w:ascii="Arial" w:eastAsia="Arial" w:hAnsi="Arial" w:cs="Arial"/>
          <w:color w:val="000000" w:themeColor="text1"/>
          <w:sz w:val="24"/>
          <w:szCs w:val="24"/>
          <w:lang w:val="en-GB"/>
        </w:rPr>
        <w:t>In order to</w:t>
      </w:r>
      <w:proofErr w:type="gramEnd"/>
      <w:r w:rsidRPr="3AFE0DE7">
        <w:rPr>
          <w:rFonts w:ascii="Arial" w:eastAsia="Arial" w:hAnsi="Arial" w:cs="Arial"/>
          <w:color w:val="000000" w:themeColor="text1"/>
          <w:sz w:val="24"/>
          <w:szCs w:val="24"/>
          <w:lang w:val="en-GB"/>
        </w:rPr>
        <w:t xml:space="preserve"> achieve success in the fiercely competitive hotel sector and ensure a </w:t>
      </w:r>
      <w:r w:rsidRPr="3AFE0DE7">
        <w:rPr>
          <w:rFonts w:ascii="Arial" w:eastAsia="Arial" w:hAnsi="Arial" w:cs="Arial"/>
          <w:color w:val="000000" w:themeColor="text1"/>
          <w:sz w:val="24"/>
          <w:szCs w:val="24"/>
          <w:lang w:val="en-GB"/>
        </w:rPr>
        <w:lastRenderedPageBreak/>
        <w:t>seamless and efficient departure, it is essential to effectively execute this plan, which will enhance customer retention and competitiveness, as well as develop a strong reputation.</w:t>
      </w:r>
    </w:p>
    <w:p w14:paraId="091A3BC9" w14:textId="35E7141B" w:rsidR="3AFE0DE7" w:rsidRDefault="3AFE0DE7" w:rsidP="3AFE0DE7">
      <w:pPr>
        <w:rPr>
          <w:lang w:val="en-GB"/>
        </w:rPr>
      </w:pPr>
    </w:p>
    <w:p w14:paraId="1C3CAB73" w14:textId="1BEA5B9D" w:rsidR="3AFE0DE7" w:rsidRDefault="3AFE0DE7" w:rsidP="3AFE0DE7">
      <w:pPr>
        <w:rPr>
          <w:lang w:val="en-GB"/>
        </w:rPr>
      </w:pPr>
    </w:p>
    <w:p w14:paraId="544C2722" w14:textId="4233DC44" w:rsidR="3AFE0DE7" w:rsidRDefault="3AFE0DE7" w:rsidP="3AFE0DE7">
      <w:pPr>
        <w:rPr>
          <w:lang w:val="en-GB"/>
        </w:rPr>
      </w:pPr>
    </w:p>
    <w:p w14:paraId="2F0BED3A" w14:textId="791C60E2" w:rsidR="3AFE0DE7" w:rsidRDefault="3AFE0DE7" w:rsidP="3AFE0DE7">
      <w:pPr>
        <w:rPr>
          <w:lang w:val="en-GB"/>
        </w:rPr>
      </w:pPr>
    </w:p>
    <w:p w14:paraId="3D0A7193" w14:textId="0A872D71" w:rsidR="3AFE0DE7" w:rsidRDefault="3AFE0DE7" w:rsidP="3AFE0DE7">
      <w:pPr>
        <w:rPr>
          <w:lang w:val="en-GB"/>
        </w:rPr>
      </w:pPr>
    </w:p>
    <w:p w14:paraId="30095C2F" w14:textId="0B9CFC22" w:rsidR="3AFE0DE7" w:rsidRDefault="3AFE0DE7" w:rsidP="3AFE0DE7">
      <w:pPr>
        <w:rPr>
          <w:lang w:val="en-GB"/>
        </w:rPr>
      </w:pPr>
    </w:p>
    <w:p w14:paraId="68A65B06" w14:textId="04F0B505" w:rsidR="1F628C7B" w:rsidRDefault="1F628C7B" w:rsidP="1F628C7B">
      <w:pPr>
        <w:rPr>
          <w:lang w:val="en-GB"/>
        </w:rPr>
      </w:pPr>
    </w:p>
    <w:p w14:paraId="1B718ED0" w14:textId="77777777" w:rsidR="003340BC" w:rsidRDefault="003340BC" w:rsidP="1F628C7B">
      <w:pPr>
        <w:rPr>
          <w:lang w:val="en-GB"/>
        </w:rPr>
      </w:pPr>
    </w:p>
    <w:p w14:paraId="18342814" w14:textId="77777777" w:rsidR="003340BC" w:rsidRDefault="003340BC" w:rsidP="1F628C7B">
      <w:pPr>
        <w:rPr>
          <w:lang w:val="en-GB"/>
        </w:rPr>
      </w:pPr>
    </w:p>
    <w:p w14:paraId="2239B4DD" w14:textId="77777777" w:rsidR="003340BC" w:rsidRDefault="003340BC" w:rsidP="1F628C7B">
      <w:pPr>
        <w:rPr>
          <w:lang w:val="en-GB"/>
        </w:rPr>
      </w:pPr>
    </w:p>
    <w:p w14:paraId="12374FC4" w14:textId="77777777" w:rsidR="003340BC" w:rsidRDefault="003340BC" w:rsidP="1F628C7B">
      <w:pPr>
        <w:rPr>
          <w:lang w:val="en-GB"/>
        </w:rPr>
      </w:pPr>
    </w:p>
    <w:p w14:paraId="4DEC5E16" w14:textId="77777777" w:rsidR="003340BC" w:rsidRDefault="003340BC" w:rsidP="1F628C7B">
      <w:pPr>
        <w:rPr>
          <w:lang w:val="en-GB"/>
        </w:rPr>
      </w:pPr>
    </w:p>
    <w:p w14:paraId="28D16D0D" w14:textId="77777777" w:rsidR="003340BC" w:rsidRDefault="003340BC" w:rsidP="1F628C7B">
      <w:pPr>
        <w:rPr>
          <w:lang w:val="en-GB"/>
        </w:rPr>
      </w:pPr>
    </w:p>
    <w:p w14:paraId="1C003606" w14:textId="77777777" w:rsidR="003340BC" w:rsidRDefault="003340BC" w:rsidP="1F628C7B">
      <w:pPr>
        <w:rPr>
          <w:lang w:val="en-GB"/>
        </w:rPr>
      </w:pPr>
    </w:p>
    <w:p w14:paraId="664186BF" w14:textId="77777777" w:rsidR="003340BC" w:rsidRDefault="003340BC" w:rsidP="1F628C7B">
      <w:pPr>
        <w:rPr>
          <w:lang w:val="en-GB"/>
        </w:rPr>
      </w:pPr>
    </w:p>
    <w:p w14:paraId="484E01C5" w14:textId="77777777" w:rsidR="003340BC" w:rsidRDefault="003340BC" w:rsidP="1F628C7B">
      <w:pPr>
        <w:rPr>
          <w:lang w:val="en-GB"/>
        </w:rPr>
      </w:pPr>
    </w:p>
    <w:p w14:paraId="6148946A" w14:textId="77777777" w:rsidR="003340BC" w:rsidRDefault="003340BC" w:rsidP="1F628C7B">
      <w:pPr>
        <w:rPr>
          <w:lang w:val="en-GB"/>
        </w:rPr>
      </w:pPr>
    </w:p>
    <w:p w14:paraId="1CE91A0A" w14:textId="77777777" w:rsidR="003340BC" w:rsidRDefault="003340BC" w:rsidP="1F628C7B">
      <w:pPr>
        <w:rPr>
          <w:lang w:val="en-GB"/>
        </w:rPr>
      </w:pPr>
    </w:p>
    <w:p w14:paraId="3E3C1B3D" w14:textId="77777777" w:rsidR="003340BC" w:rsidRDefault="003340BC" w:rsidP="1F628C7B">
      <w:pPr>
        <w:rPr>
          <w:lang w:val="en-GB"/>
        </w:rPr>
      </w:pPr>
    </w:p>
    <w:p w14:paraId="16405D4C" w14:textId="77777777" w:rsidR="003340BC" w:rsidRDefault="003340BC" w:rsidP="1F628C7B">
      <w:pPr>
        <w:rPr>
          <w:lang w:val="en-GB"/>
        </w:rPr>
      </w:pPr>
    </w:p>
    <w:p w14:paraId="690D1F66" w14:textId="77777777" w:rsidR="003340BC" w:rsidRDefault="003340BC" w:rsidP="1F628C7B">
      <w:pPr>
        <w:rPr>
          <w:lang w:val="en-GB"/>
        </w:rPr>
      </w:pPr>
    </w:p>
    <w:p w14:paraId="72891B79" w14:textId="77777777" w:rsidR="003340BC" w:rsidRDefault="003340BC" w:rsidP="1F628C7B">
      <w:pPr>
        <w:rPr>
          <w:lang w:val="en-GB"/>
        </w:rPr>
      </w:pPr>
    </w:p>
    <w:p w14:paraId="60E3B98D" w14:textId="77777777" w:rsidR="003340BC" w:rsidRDefault="003340BC" w:rsidP="1F628C7B">
      <w:pPr>
        <w:rPr>
          <w:lang w:val="en-GB"/>
        </w:rPr>
      </w:pPr>
    </w:p>
    <w:p w14:paraId="3F96D31C" w14:textId="77777777" w:rsidR="003340BC" w:rsidRDefault="003340BC" w:rsidP="1F628C7B">
      <w:pPr>
        <w:rPr>
          <w:lang w:val="en-GB"/>
        </w:rPr>
      </w:pPr>
    </w:p>
    <w:p w14:paraId="293F8E09" w14:textId="77777777" w:rsidR="003340BC" w:rsidRDefault="003340BC" w:rsidP="1F628C7B">
      <w:pPr>
        <w:rPr>
          <w:lang w:val="en-GB"/>
        </w:rPr>
      </w:pPr>
    </w:p>
    <w:p w14:paraId="50D2EAC4" w14:textId="63185282" w:rsidR="3AFE0DE7" w:rsidRDefault="3AFE0DE7" w:rsidP="3AFE0DE7">
      <w:pPr>
        <w:rPr>
          <w:lang w:val="en-GB"/>
        </w:rPr>
      </w:pPr>
    </w:p>
    <w:p w14:paraId="68CD15D4" w14:textId="77777777" w:rsidR="001649CE" w:rsidRDefault="001649CE" w:rsidP="6539B490">
      <w:pPr>
        <w:pStyle w:val="Heading1"/>
        <w:rPr>
          <w:rFonts w:ascii="Arial" w:eastAsia="Arial" w:hAnsi="Arial" w:cs="Arial"/>
          <w:b/>
          <w:bCs/>
          <w:i/>
          <w:iCs/>
          <w:color w:val="auto"/>
          <w:sz w:val="24"/>
          <w:szCs w:val="24"/>
          <w:lang w:val="en-US"/>
        </w:rPr>
      </w:pPr>
      <w:bookmarkStart w:id="13" w:name="_Toc494304780"/>
    </w:p>
    <w:p w14:paraId="7B167FCF" w14:textId="40C88CC4" w:rsidR="0A6AA3E5" w:rsidRDefault="0A6AA3E5" w:rsidP="6539B490">
      <w:pPr>
        <w:pStyle w:val="Heading1"/>
        <w:rPr>
          <w:rFonts w:ascii="Arial" w:eastAsia="Arial" w:hAnsi="Arial" w:cs="Arial"/>
          <w:b/>
          <w:bCs/>
          <w:i/>
          <w:iCs/>
          <w:color w:val="auto"/>
          <w:sz w:val="24"/>
          <w:szCs w:val="24"/>
          <w:lang w:val="en-GB"/>
        </w:rPr>
      </w:pPr>
      <w:r w:rsidRPr="6539B490">
        <w:rPr>
          <w:rFonts w:ascii="Arial" w:eastAsia="Arial" w:hAnsi="Arial" w:cs="Arial"/>
          <w:b/>
          <w:bCs/>
          <w:i/>
          <w:iCs/>
          <w:color w:val="auto"/>
          <w:sz w:val="24"/>
          <w:szCs w:val="24"/>
          <w:lang w:val="en-US"/>
        </w:rPr>
        <w:t>References</w:t>
      </w:r>
      <w:bookmarkEnd w:id="13"/>
      <w:r w:rsidRPr="6539B490">
        <w:rPr>
          <w:rFonts w:ascii="Arial" w:eastAsia="Arial" w:hAnsi="Arial" w:cs="Arial"/>
          <w:b/>
          <w:bCs/>
          <w:i/>
          <w:iCs/>
          <w:color w:val="auto"/>
          <w:sz w:val="24"/>
          <w:szCs w:val="24"/>
          <w:lang w:val="en-US"/>
        </w:rPr>
        <w:t xml:space="preserve"> </w:t>
      </w:r>
    </w:p>
    <w:p w14:paraId="4E500BEE" w14:textId="732EA616" w:rsidR="0A6AA3E5" w:rsidRDefault="0A6AA3E5" w:rsidP="3AFE0DE7">
      <w:pPr>
        <w:spacing w:after="200" w:line="360" w:lineRule="auto"/>
        <w:ind w:left="360" w:hanging="720"/>
        <w:jc w:val="both"/>
        <w:rPr>
          <w:rFonts w:ascii="Arial" w:eastAsia="Arial" w:hAnsi="Arial" w:cs="Arial"/>
          <w:color w:val="000000" w:themeColor="text1"/>
          <w:sz w:val="24"/>
          <w:szCs w:val="24"/>
          <w:lang w:val="en-GB"/>
        </w:rPr>
      </w:pPr>
      <w:r w:rsidRPr="3AFE0DE7">
        <w:rPr>
          <w:rFonts w:ascii="Arial" w:eastAsia="Arial" w:hAnsi="Arial" w:cs="Arial"/>
          <w:color w:val="000000" w:themeColor="text1"/>
          <w:sz w:val="24"/>
          <w:szCs w:val="24"/>
          <w:lang w:val="en-GB"/>
        </w:rPr>
        <w:t xml:space="preserve">AG, İ., (2022) Annual report 2021, p.33. Available online at: </w:t>
      </w:r>
      <w:hyperlink r:id="rId9">
        <w:r w:rsidRPr="3AFE0DE7">
          <w:rPr>
            <w:rStyle w:val="Hyperlink"/>
            <w:rFonts w:ascii="Arial" w:eastAsia="Arial" w:hAnsi="Arial" w:cs="Arial"/>
            <w:sz w:val="24"/>
            <w:szCs w:val="24"/>
            <w:lang w:val="en-GB"/>
          </w:rPr>
          <w:t>https://investors.agcocorp.com/static-files/3ad6435c-fbea-47b1-bb78-e66ec5926713</w:t>
        </w:r>
      </w:hyperlink>
    </w:p>
    <w:p w14:paraId="17BE6E78" w14:textId="75162326" w:rsidR="0A6AA3E5" w:rsidRDefault="0A6AA3E5" w:rsidP="3AFE0DE7">
      <w:pPr>
        <w:spacing w:after="200" w:line="360" w:lineRule="auto"/>
        <w:ind w:left="360" w:hanging="720"/>
        <w:jc w:val="both"/>
        <w:rPr>
          <w:rFonts w:ascii="Arial" w:eastAsia="Arial" w:hAnsi="Arial" w:cs="Arial"/>
          <w:color w:val="000000" w:themeColor="text1"/>
          <w:sz w:val="24"/>
          <w:szCs w:val="24"/>
          <w:lang w:val="en-GB"/>
        </w:rPr>
      </w:pPr>
      <w:proofErr w:type="spellStart"/>
      <w:r w:rsidRPr="3AFE0DE7">
        <w:rPr>
          <w:rFonts w:ascii="Arial" w:eastAsia="Arial" w:hAnsi="Arial" w:cs="Arial"/>
          <w:color w:val="000000" w:themeColor="text1"/>
          <w:sz w:val="24"/>
          <w:szCs w:val="24"/>
          <w:lang w:val="en-GB"/>
        </w:rPr>
        <w:t>Etcuban</w:t>
      </w:r>
      <w:proofErr w:type="spellEnd"/>
      <w:r w:rsidRPr="3AFE0DE7">
        <w:rPr>
          <w:rFonts w:ascii="Arial" w:eastAsia="Arial" w:hAnsi="Arial" w:cs="Arial"/>
          <w:color w:val="000000" w:themeColor="text1"/>
          <w:sz w:val="24"/>
          <w:szCs w:val="24"/>
          <w:lang w:val="en-GB"/>
        </w:rPr>
        <w:t>, J.O., (2019) Housekeeping Standard Practices of Resorts in Bohol, Philippines. </w:t>
      </w:r>
      <w:r w:rsidRPr="3AFE0DE7">
        <w:rPr>
          <w:rFonts w:ascii="Arial" w:eastAsia="Arial" w:hAnsi="Arial" w:cs="Arial"/>
          <w:i/>
          <w:iCs/>
          <w:color w:val="000000" w:themeColor="text1"/>
          <w:sz w:val="24"/>
          <w:szCs w:val="24"/>
          <w:lang w:val="en-GB"/>
        </w:rPr>
        <w:t>International Journal of Business and Social Science</w:t>
      </w:r>
      <w:r w:rsidRPr="3AFE0DE7">
        <w:rPr>
          <w:rFonts w:ascii="Arial" w:eastAsia="Arial" w:hAnsi="Arial" w:cs="Arial"/>
          <w:color w:val="000000" w:themeColor="text1"/>
          <w:sz w:val="24"/>
          <w:szCs w:val="24"/>
          <w:lang w:val="en-GB"/>
        </w:rPr>
        <w:t>, </w:t>
      </w:r>
      <w:r w:rsidRPr="3AFE0DE7">
        <w:rPr>
          <w:rFonts w:ascii="Arial" w:eastAsia="Arial" w:hAnsi="Arial" w:cs="Arial"/>
          <w:i/>
          <w:iCs/>
          <w:color w:val="000000" w:themeColor="text1"/>
          <w:sz w:val="24"/>
          <w:szCs w:val="24"/>
          <w:lang w:val="en-GB"/>
        </w:rPr>
        <w:t>10</w:t>
      </w:r>
      <w:r w:rsidRPr="3AFE0DE7">
        <w:rPr>
          <w:rFonts w:ascii="Arial" w:eastAsia="Arial" w:hAnsi="Arial" w:cs="Arial"/>
          <w:color w:val="000000" w:themeColor="text1"/>
          <w:sz w:val="24"/>
          <w:szCs w:val="24"/>
          <w:lang w:val="en-GB"/>
        </w:rPr>
        <w:t>(4).</w:t>
      </w:r>
    </w:p>
    <w:p w14:paraId="64AAEA2D" w14:textId="7E7295ED" w:rsidR="0A6AA3E5" w:rsidRDefault="0A6AA3E5" w:rsidP="3AFE0DE7">
      <w:pPr>
        <w:spacing w:after="200" w:line="360" w:lineRule="auto"/>
        <w:ind w:left="360" w:hanging="720"/>
        <w:jc w:val="both"/>
        <w:rPr>
          <w:rFonts w:ascii="Arial" w:eastAsia="Arial" w:hAnsi="Arial" w:cs="Arial"/>
          <w:color w:val="000000" w:themeColor="text1"/>
          <w:sz w:val="24"/>
          <w:szCs w:val="24"/>
          <w:lang w:val="en-GB"/>
        </w:rPr>
      </w:pPr>
      <w:proofErr w:type="spellStart"/>
      <w:r w:rsidRPr="3AFE0DE7">
        <w:rPr>
          <w:rFonts w:ascii="Arial" w:eastAsia="Arial" w:hAnsi="Arial" w:cs="Arial"/>
          <w:color w:val="000000" w:themeColor="text1"/>
          <w:sz w:val="24"/>
          <w:szCs w:val="24"/>
          <w:lang w:val="en-GB"/>
        </w:rPr>
        <w:t>Fauzan</w:t>
      </w:r>
      <w:proofErr w:type="spellEnd"/>
      <w:r w:rsidRPr="3AFE0DE7">
        <w:rPr>
          <w:rFonts w:ascii="Arial" w:eastAsia="Arial" w:hAnsi="Arial" w:cs="Arial"/>
          <w:color w:val="000000" w:themeColor="text1"/>
          <w:sz w:val="24"/>
          <w:szCs w:val="24"/>
          <w:lang w:val="en-GB"/>
        </w:rPr>
        <w:t xml:space="preserve">, M., </w:t>
      </w:r>
      <w:proofErr w:type="spellStart"/>
      <w:r w:rsidRPr="3AFE0DE7">
        <w:rPr>
          <w:rFonts w:ascii="Arial" w:eastAsia="Arial" w:hAnsi="Arial" w:cs="Arial"/>
          <w:color w:val="000000" w:themeColor="text1"/>
          <w:sz w:val="24"/>
          <w:szCs w:val="24"/>
          <w:lang w:val="en-GB"/>
        </w:rPr>
        <w:t>Kuswanto</w:t>
      </w:r>
      <w:proofErr w:type="spellEnd"/>
      <w:r w:rsidRPr="3AFE0DE7">
        <w:rPr>
          <w:rFonts w:ascii="Arial" w:eastAsia="Arial" w:hAnsi="Arial" w:cs="Arial"/>
          <w:color w:val="000000" w:themeColor="text1"/>
          <w:sz w:val="24"/>
          <w:szCs w:val="24"/>
          <w:lang w:val="en-GB"/>
        </w:rPr>
        <w:t>, H. and Utomo, C., (2023) Implementing Toll Road Infrastructure Financing in Indonesia: Critical Success Factors from the Perspective of Toll Road Companies. </w:t>
      </w:r>
      <w:r w:rsidRPr="3AFE0DE7">
        <w:rPr>
          <w:rFonts w:ascii="Arial" w:eastAsia="Arial" w:hAnsi="Arial" w:cs="Arial"/>
          <w:i/>
          <w:iCs/>
          <w:color w:val="000000" w:themeColor="text1"/>
          <w:sz w:val="24"/>
          <w:szCs w:val="24"/>
          <w:lang w:val="en-GB"/>
        </w:rPr>
        <w:t>International Journal of Financial Studies</w:t>
      </w:r>
      <w:r w:rsidRPr="3AFE0DE7">
        <w:rPr>
          <w:rFonts w:ascii="Arial" w:eastAsia="Arial" w:hAnsi="Arial" w:cs="Arial"/>
          <w:color w:val="000000" w:themeColor="text1"/>
          <w:sz w:val="24"/>
          <w:szCs w:val="24"/>
          <w:lang w:val="en-GB"/>
        </w:rPr>
        <w:t>, </w:t>
      </w:r>
      <w:r w:rsidRPr="3AFE0DE7">
        <w:rPr>
          <w:rFonts w:ascii="Arial" w:eastAsia="Arial" w:hAnsi="Arial" w:cs="Arial"/>
          <w:i/>
          <w:iCs/>
          <w:color w:val="000000" w:themeColor="text1"/>
          <w:sz w:val="24"/>
          <w:szCs w:val="24"/>
          <w:lang w:val="en-GB"/>
        </w:rPr>
        <w:t>11</w:t>
      </w:r>
      <w:r w:rsidRPr="3AFE0DE7">
        <w:rPr>
          <w:rFonts w:ascii="Arial" w:eastAsia="Arial" w:hAnsi="Arial" w:cs="Arial"/>
          <w:color w:val="000000" w:themeColor="text1"/>
          <w:sz w:val="24"/>
          <w:szCs w:val="24"/>
          <w:lang w:val="en-GB"/>
        </w:rPr>
        <w:t>(4), p.135.</w:t>
      </w:r>
    </w:p>
    <w:p w14:paraId="539FC877" w14:textId="094831C5" w:rsidR="0A6AA3E5" w:rsidRDefault="0A6AA3E5" w:rsidP="3AFE0DE7">
      <w:pPr>
        <w:spacing w:after="200" w:line="360" w:lineRule="auto"/>
        <w:ind w:left="360" w:hanging="720"/>
        <w:jc w:val="both"/>
        <w:rPr>
          <w:rFonts w:ascii="Arial" w:eastAsia="Arial" w:hAnsi="Arial" w:cs="Arial"/>
          <w:color w:val="000000" w:themeColor="text1"/>
          <w:sz w:val="24"/>
          <w:szCs w:val="24"/>
          <w:lang w:val="en-GB"/>
        </w:rPr>
      </w:pPr>
      <w:proofErr w:type="spellStart"/>
      <w:r w:rsidRPr="3AFE0DE7">
        <w:rPr>
          <w:rFonts w:ascii="Arial" w:eastAsia="Arial" w:hAnsi="Arial" w:cs="Arial"/>
          <w:color w:val="000000" w:themeColor="text1"/>
          <w:sz w:val="24"/>
          <w:szCs w:val="24"/>
          <w:lang w:val="en-GB"/>
        </w:rPr>
        <w:t>Fauzan</w:t>
      </w:r>
      <w:proofErr w:type="spellEnd"/>
      <w:r w:rsidRPr="3AFE0DE7">
        <w:rPr>
          <w:rFonts w:ascii="Arial" w:eastAsia="Arial" w:hAnsi="Arial" w:cs="Arial"/>
          <w:color w:val="000000" w:themeColor="text1"/>
          <w:sz w:val="24"/>
          <w:szCs w:val="24"/>
          <w:lang w:val="en-GB"/>
        </w:rPr>
        <w:t xml:space="preserve">, M., </w:t>
      </w:r>
      <w:proofErr w:type="spellStart"/>
      <w:r w:rsidRPr="3AFE0DE7">
        <w:rPr>
          <w:rFonts w:ascii="Arial" w:eastAsia="Arial" w:hAnsi="Arial" w:cs="Arial"/>
          <w:color w:val="000000" w:themeColor="text1"/>
          <w:sz w:val="24"/>
          <w:szCs w:val="24"/>
          <w:lang w:val="en-GB"/>
        </w:rPr>
        <w:t>Kuswanto</w:t>
      </w:r>
      <w:proofErr w:type="spellEnd"/>
      <w:r w:rsidRPr="3AFE0DE7">
        <w:rPr>
          <w:rFonts w:ascii="Arial" w:eastAsia="Arial" w:hAnsi="Arial" w:cs="Arial"/>
          <w:color w:val="000000" w:themeColor="text1"/>
          <w:sz w:val="24"/>
          <w:szCs w:val="24"/>
          <w:lang w:val="en-GB"/>
        </w:rPr>
        <w:t>, H., &amp; Utomo, C., (2023) Implementing Toll Road Infrastructure Financing in Indonesia: Critical Success Factors from the Perspective of Toll Road Companies. </w:t>
      </w:r>
      <w:r w:rsidRPr="3AFE0DE7">
        <w:rPr>
          <w:rFonts w:ascii="Arial" w:eastAsia="Arial" w:hAnsi="Arial" w:cs="Arial"/>
          <w:i/>
          <w:iCs/>
          <w:color w:val="000000" w:themeColor="text1"/>
          <w:sz w:val="24"/>
          <w:szCs w:val="24"/>
          <w:lang w:val="en-GB"/>
        </w:rPr>
        <w:t>International Journal of Financial Studies</w:t>
      </w:r>
      <w:r w:rsidRPr="3AFE0DE7">
        <w:rPr>
          <w:rFonts w:ascii="Arial" w:eastAsia="Arial" w:hAnsi="Arial" w:cs="Arial"/>
          <w:color w:val="000000" w:themeColor="text1"/>
          <w:sz w:val="24"/>
          <w:szCs w:val="24"/>
          <w:lang w:val="en-GB"/>
        </w:rPr>
        <w:t>, </w:t>
      </w:r>
      <w:r w:rsidRPr="3AFE0DE7">
        <w:rPr>
          <w:rFonts w:ascii="Arial" w:eastAsia="Arial" w:hAnsi="Arial" w:cs="Arial"/>
          <w:i/>
          <w:iCs/>
          <w:color w:val="000000" w:themeColor="text1"/>
          <w:sz w:val="24"/>
          <w:szCs w:val="24"/>
          <w:lang w:val="en-GB"/>
        </w:rPr>
        <w:t>11</w:t>
      </w:r>
      <w:r w:rsidRPr="3AFE0DE7">
        <w:rPr>
          <w:rFonts w:ascii="Arial" w:eastAsia="Arial" w:hAnsi="Arial" w:cs="Arial"/>
          <w:color w:val="000000" w:themeColor="text1"/>
          <w:sz w:val="24"/>
          <w:szCs w:val="24"/>
          <w:lang w:val="en-GB"/>
        </w:rPr>
        <w:t>(4), 135.</w:t>
      </w:r>
    </w:p>
    <w:p w14:paraId="1586D173" w14:textId="4BA9C752" w:rsidR="0A6AA3E5" w:rsidRDefault="0A6AA3E5" w:rsidP="3AFE0DE7">
      <w:pPr>
        <w:spacing w:after="200" w:line="360" w:lineRule="auto"/>
        <w:ind w:left="360" w:hanging="720"/>
        <w:jc w:val="both"/>
        <w:rPr>
          <w:rFonts w:ascii="Arial" w:eastAsia="Arial" w:hAnsi="Arial" w:cs="Arial"/>
          <w:color w:val="000000" w:themeColor="text1"/>
          <w:sz w:val="24"/>
          <w:szCs w:val="24"/>
          <w:lang w:val="en-GB"/>
        </w:rPr>
      </w:pPr>
      <w:r w:rsidRPr="3AFE0DE7">
        <w:rPr>
          <w:rFonts w:ascii="Arial" w:eastAsia="Arial" w:hAnsi="Arial" w:cs="Arial"/>
          <w:color w:val="000000" w:themeColor="text1"/>
          <w:sz w:val="24"/>
          <w:szCs w:val="24"/>
          <w:lang w:val="en-GB"/>
        </w:rPr>
        <w:t>Freeman, K., (2022) Decline. In </w:t>
      </w:r>
      <w:r w:rsidRPr="3AFE0DE7">
        <w:rPr>
          <w:rFonts w:ascii="Arial" w:eastAsia="Arial" w:hAnsi="Arial" w:cs="Arial"/>
          <w:i/>
          <w:iCs/>
          <w:color w:val="000000" w:themeColor="text1"/>
          <w:sz w:val="24"/>
          <w:szCs w:val="24"/>
          <w:lang w:val="en-GB"/>
        </w:rPr>
        <w:t>The Town of Vichy and the Politics of Identity: Stigma, Victimhood and Decline</w:t>
      </w:r>
      <w:r w:rsidRPr="3AFE0DE7">
        <w:rPr>
          <w:rFonts w:ascii="Arial" w:eastAsia="Arial" w:hAnsi="Arial" w:cs="Arial"/>
          <w:color w:val="000000" w:themeColor="text1"/>
          <w:sz w:val="24"/>
          <w:szCs w:val="24"/>
          <w:lang w:val="en-GB"/>
        </w:rPr>
        <w:t> (pp. 75-102). Cham: Springer International Publishing.</w:t>
      </w:r>
    </w:p>
    <w:p w14:paraId="4653B6AC" w14:textId="789F99B1" w:rsidR="0A6AA3E5" w:rsidRDefault="0A6AA3E5" w:rsidP="3AFE0DE7">
      <w:pPr>
        <w:spacing w:after="200" w:line="360" w:lineRule="auto"/>
        <w:ind w:left="360" w:hanging="720"/>
        <w:jc w:val="both"/>
        <w:rPr>
          <w:rFonts w:ascii="Arial" w:eastAsia="Arial" w:hAnsi="Arial" w:cs="Arial"/>
          <w:color w:val="000000" w:themeColor="text1"/>
          <w:sz w:val="24"/>
          <w:szCs w:val="24"/>
          <w:lang w:val="en-GB"/>
        </w:rPr>
      </w:pPr>
      <w:proofErr w:type="spellStart"/>
      <w:r w:rsidRPr="3AFE0DE7">
        <w:rPr>
          <w:rFonts w:ascii="Arial" w:eastAsia="Arial" w:hAnsi="Arial" w:cs="Arial"/>
          <w:color w:val="000000" w:themeColor="text1"/>
          <w:sz w:val="24"/>
          <w:szCs w:val="24"/>
          <w:lang w:val="en-GB"/>
        </w:rPr>
        <w:t>Fuadi</w:t>
      </w:r>
      <w:proofErr w:type="spellEnd"/>
      <w:r w:rsidRPr="3AFE0DE7">
        <w:rPr>
          <w:rFonts w:ascii="Arial" w:eastAsia="Arial" w:hAnsi="Arial" w:cs="Arial"/>
          <w:color w:val="000000" w:themeColor="text1"/>
          <w:sz w:val="24"/>
          <w:szCs w:val="24"/>
          <w:lang w:val="en-GB"/>
        </w:rPr>
        <w:t>, M.Z., Brusa, J.O., Ilham, R.N. and Sinta, I., (2022) ANALYSIS OF COMMON SIZE PROFIT AND LOSS STATEMENTS PT. SIANTAR TOP PERIOD 2020-2021. </w:t>
      </w:r>
      <w:r w:rsidRPr="3AFE0DE7">
        <w:rPr>
          <w:rFonts w:ascii="Arial" w:eastAsia="Arial" w:hAnsi="Arial" w:cs="Arial"/>
          <w:i/>
          <w:iCs/>
          <w:color w:val="000000" w:themeColor="text1"/>
          <w:sz w:val="24"/>
          <w:szCs w:val="24"/>
          <w:lang w:val="en-GB"/>
        </w:rPr>
        <w:t>Journal of Accounting Research, Utility Finance and Digital Assets</w:t>
      </w:r>
      <w:r w:rsidRPr="3AFE0DE7">
        <w:rPr>
          <w:rFonts w:ascii="Arial" w:eastAsia="Arial" w:hAnsi="Arial" w:cs="Arial"/>
          <w:color w:val="000000" w:themeColor="text1"/>
          <w:sz w:val="24"/>
          <w:szCs w:val="24"/>
          <w:lang w:val="en-GB"/>
        </w:rPr>
        <w:t>, </w:t>
      </w:r>
      <w:r w:rsidRPr="3AFE0DE7">
        <w:rPr>
          <w:rFonts w:ascii="Arial" w:eastAsia="Arial" w:hAnsi="Arial" w:cs="Arial"/>
          <w:i/>
          <w:iCs/>
          <w:color w:val="000000" w:themeColor="text1"/>
          <w:sz w:val="24"/>
          <w:szCs w:val="24"/>
          <w:lang w:val="en-GB"/>
        </w:rPr>
        <w:t>1</w:t>
      </w:r>
      <w:r w:rsidRPr="3AFE0DE7">
        <w:rPr>
          <w:rFonts w:ascii="Arial" w:eastAsia="Arial" w:hAnsi="Arial" w:cs="Arial"/>
          <w:color w:val="000000" w:themeColor="text1"/>
          <w:sz w:val="24"/>
          <w:szCs w:val="24"/>
          <w:lang w:val="en-GB"/>
        </w:rPr>
        <w:t>(2), pp.154-160.</w:t>
      </w:r>
    </w:p>
    <w:p w14:paraId="390C2E31" w14:textId="76292A17" w:rsidR="0A6AA3E5" w:rsidRDefault="0A6AA3E5" w:rsidP="3AFE0DE7">
      <w:pPr>
        <w:spacing w:after="200" w:line="360" w:lineRule="auto"/>
        <w:ind w:left="360" w:hanging="720"/>
        <w:jc w:val="both"/>
        <w:rPr>
          <w:rFonts w:ascii="Arial" w:eastAsia="Arial" w:hAnsi="Arial" w:cs="Arial"/>
          <w:color w:val="000000" w:themeColor="text1"/>
          <w:sz w:val="24"/>
          <w:szCs w:val="24"/>
          <w:lang w:val="en-GB"/>
        </w:rPr>
      </w:pPr>
      <w:r w:rsidRPr="3AFE0DE7">
        <w:rPr>
          <w:rFonts w:ascii="Arial" w:eastAsia="Arial" w:hAnsi="Arial" w:cs="Arial"/>
          <w:color w:val="000000" w:themeColor="text1"/>
          <w:sz w:val="24"/>
          <w:szCs w:val="24"/>
          <w:lang w:val="en-GB"/>
        </w:rPr>
        <w:t>Goodson, P. D., and Greenberg, H. D. (2022) </w:t>
      </w:r>
      <w:r w:rsidRPr="3AFE0DE7">
        <w:rPr>
          <w:rFonts w:ascii="Arial" w:eastAsia="Arial" w:hAnsi="Arial" w:cs="Arial"/>
          <w:i/>
          <w:iCs/>
          <w:color w:val="000000" w:themeColor="text1"/>
          <w:sz w:val="24"/>
          <w:szCs w:val="24"/>
          <w:lang w:val="en-GB"/>
        </w:rPr>
        <w:t>Seaview Investors: Hotel Private Equity Firm Finds New Demand in COVID-19 Pandemic</w:t>
      </w:r>
      <w:r w:rsidRPr="3AFE0DE7">
        <w:rPr>
          <w:rFonts w:ascii="Arial" w:eastAsia="Arial" w:hAnsi="Arial" w:cs="Arial"/>
          <w:color w:val="000000" w:themeColor="text1"/>
          <w:sz w:val="24"/>
          <w:szCs w:val="24"/>
          <w:lang w:val="en-GB"/>
        </w:rPr>
        <w:t>. The Berkeley-Haas Case Series. University of California, Berkeley. Haas School of Business.</w:t>
      </w:r>
    </w:p>
    <w:p w14:paraId="36167EEB" w14:textId="0210A4E9" w:rsidR="0A6AA3E5" w:rsidRDefault="0A6AA3E5" w:rsidP="3AFE0DE7">
      <w:pPr>
        <w:spacing w:after="200" w:line="360" w:lineRule="auto"/>
        <w:ind w:left="360" w:hanging="720"/>
        <w:jc w:val="both"/>
        <w:rPr>
          <w:rFonts w:ascii="Arial" w:eastAsia="Arial" w:hAnsi="Arial" w:cs="Arial"/>
          <w:color w:val="000000" w:themeColor="text1"/>
          <w:sz w:val="24"/>
          <w:szCs w:val="24"/>
          <w:lang w:val="en-GB"/>
        </w:rPr>
      </w:pPr>
      <w:r w:rsidRPr="3AFE0DE7">
        <w:rPr>
          <w:rFonts w:ascii="Arial" w:eastAsia="Arial" w:hAnsi="Arial" w:cs="Arial"/>
          <w:color w:val="000000" w:themeColor="text1"/>
          <w:sz w:val="24"/>
          <w:szCs w:val="24"/>
          <w:lang w:val="en-GB"/>
        </w:rPr>
        <w:t xml:space="preserve">Jaya, I.G.T.Y.P., </w:t>
      </w:r>
      <w:proofErr w:type="spellStart"/>
      <w:r w:rsidRPr="3AFE0DE7">
        <w:rPr>
          <w:rFonts w:ascii="Arial" w:eastAsia="Arial" w:hAnsi="Arial" w:cs="Arial"/>
          <w:color w:val="000000" w:themeColor="text1"/>
          <w:sz w:val="24"/>
          <w:szCs w:val="24"/>
          <w:lang w:val="en-GB"/>
        </w:rPr>
        <w:t>Pitanatri</w:t>
      </w:r>
      <w:proofErr w:type="spellEnd"/>
      <w:r w:rsidRPr="3AFE0DE7">
        <w:rPr>
          <w:rFonts w:ascii="Arial" w:eastAsia="Arial" w:hAnsi="Arial" w:cs="Arial"/>
          <w:color w:val="000000" w:themeColor="text1"/>
          <w:sz w:val="24"/>
          <w:szCs w:val="24"/>
          <w:lang w:val="en-GB"/>
        </w:rPr>
        <w:t xml:space="preserve">, P.D.S. and </w:t>
      </w:r>
      <w:proofErr w:type="spellStart"/>
      <w:r w:rsidRPr="3AFE0DE7">
        <w:rPr>
          <w:rFonts w:ascii="Arial" w:eastAsia="Arial" w:hAnsi="Arial" w:cs="Arial"/>
          <w:color w:val="000000" w:themeColor="text1"/>
          <w:sz w:val="24"/>
          <w:szCs w:val="24"/>
          <w:lang w:val="en-GB"/>
        </w:rPr>
        <w:t>Suastini</w:t>
      </w:r>
      <w:proofErr w:type="spellEnd"/>
      <w:r w:rsidRPr="3AFE0DE7">
        <w:rPr>
          <w:rFonts w:ascii="Arial" w:eastAsia="Arial" w:hAnsi="Arial" w:cs="Arial"/>
          <w:color w:val="000000" w:themeColor="text1"/>
          <w:sz w:val="24"/>
          <w:szCs w:val="24"/>
          <w:lang w:val="en-GB"/>
        </w:rPr>
        <w:t>, N.M., (2023) How room rates drive occupancy: A case study from The Laguna, a Luxury Collection Resort &amp; Spa, Nusa Dua. </w:t>
      </w:r>
      <w:r w:rsidRPr="3AFE0DE7">
        <w:rPr>
          <w:rFonts w:ascii="Arial" w:eastAsia="Arial" w:hAnsi="Arial" w:cs="Arial"/>
          <w:i/>
          <w:iCs/>
          <w:color w:val="000000" w:themeColor="text1"/>
          <w:sz w:val="24"/>
          <w:szCs w:val="24"/>
          <w:lang w:val="en-GB"/>
        </w:rPr>
        <w:t>JOURNAL OF TOURISM, CULINARY AND ENTREPRENEURSHIP (JTCE)</w:t>
      </w:r>
      <w:r w:rsidRPr="3AFE0DE7">
        <w:rPr>
          <w:rFonts w:ascii="Arial" w:eastAsia="Arial" w:hAnsi="Arial" w:cs="Arial"/>
          <w:color w:val="000000" w:themeColor="text1"/>
          <w:sz w:val="24"/>
          <w:szCs w:val="24"/>
          <w:lang w:val="en-GB"/>
        </w:rPr>
        <w:t>, </w:t>
      </w:r>
      <w:r w:rsidRPr="3AFE0DE7">
        <w:rPr>
          <w:rFonts w:ascii="Arial" w:eastAsia="Arial" w:hAnsi="Arial" w:cs="Arial"/>
          <w:i/>
          <w:iCs/>
          <w:color w:val="000000" w:themeColor="text1"/>
          <w:sz w:val="24"/>
          <w:szCs w:val="24"/>
          <w:lang w:val="en-GB"/>
        </w:rPr>
        <w:t>3</w:t>
      </w:r>
      <w:r w:rsidRPr="3AFE0DE7">
        <w:rPr>
          <w:rFonts w:ascii="Arial" w:eastAsia="Arial" w:hAnsi="Arial" w:cs="Arial"/>
          <w:color w:val="000000" w:themeColor="text1"/>
          <w:sz w:val="24"/>
          <w:szCs w:val="24"/>
          <w:lang w:val="en-GB"/>
        </w:rPr>
        <w:t>(2).</w:t>
      </w:r>
    </w:p>
    <w:p w14:paraId="5DC7AC0D" w14:textId="642A9754" w:rsidR="0A6AA3E5" w:rsidRDefault="0A6AA3E5" w:rsidP="3AFE0DE7">
      <w:pPr>
        <w:spacing w:after="200" w:line="360" w:lineRule="auto"/>
        <w:ind w:left="360" w:hanging="720"/>
        <w:jc w:val="both"/>
        <w:rPr>
          <w:rFonts w:ascii="Arial" w:eastAsia="Arial" w:hAnsi="Arial" w:cs="Arial"/>
          <w:color w:val="000000" w:themeColor="text1"/>
          <w:sz w:val="24"/>
          <w:szCs w:val="24"/>
          <w:lang w:val="en-GB"/>
        </w:rPr>
      </w:pPr>
      <w:proofErr w:type="spellStart"/>
      <w:r w:rsidRPr="3AFE0DE7">
        <w:rPr>
          <w:rFonts w:ascii="Arial" w:eastAsia="Arial" w:hAnsi="Arial" w:cs="Arial"/>
          <w:color w:val="000000" w:themeColor="text1"/>
          <w:sz w:val="24"/>
          <w:szCs w:val="24"/>
          <w:lang w:val="en-GB"/>
        </w:rPr>
        <w:t>Karamoy</w:t>
      </w:r>
      <w:proofErr w:type="spellEnd"/>
      <w:r w:rsidRPr="3AFE0DE7">
        <w:rPr>
          <w:rFonts w:ascii="Arial" w:eastAsia="Arial" w:hAnsi="Arial" w:cs="Arial"/>
          <w:color w:val="000000" w:themeColor="text1"/>
          <w:sz w:val="24"/>
          <w:szCs w:val="24"/>
          <w:lang w:val="en-GB"/>
        </w:rPr>
        <w:t xml:space="preserve">, H. and </w:t>
      </w:r>
      <w:proofErr w:type="spellStart"/>
      <w:r w:rsidRPr="3AFE0DE7">
        <w:rPr>
          <w:rFonts w:ascii="Arial" w:eastAsia="Arial" w:hAnsi="Arial" w:cs="Arial"/>
          <w:color w:val="000000" w:themeColor="text1"/>
          <w:sz w:val="24"/>
          <w:szCs w:val="24"/>
          <w:lang w:val="en-GB"/>
        </w:rPr>
        <w:t>Tulung</w:t>
      </w:r>
      <w:proofErr w:type="spellEnd"/>
      <w:r w:rsidRPr="3AFE0DE7">
        <w:rPr>
          <w:rFonts w:ascii="Arial" w:eastAsia="Arial" w:hAnsi="Arial" w:cs="Arial"/>
          <w:color w:val="000000" w:themeColor="text1"/>
          <w:sz w:val="24"/>
          <w:szCs w:val="24"/>
          <w:lang w:val="en-GB"/>
        </w:rPr>
        <w:t xml:space="preserve">, J.E., (2020) The effect of financial performance and corporate governance to stock price in non-bank financial industry. </w:t>
      </w:r>
      <w:r w:rsidRPr="3AFE0DE7">
        <w:rPr>
          <w:rFonts w:ascii="Arial" w:eastAsia="Arial" w:hAnsi="Arial" w:cs="Arial"/>
          <w:i/>
          <w:iCs/>
          <w:color w:val="000000" w:themeColor="text1"/>
          <w:sz w:val="24"/>
          <w:szCs w:val="24"/>
          <w:lang w:val="en-GB"/>
        </w:rPr>
        <w:t>Corporate Ownership &amp; Control</w:t>
      </w:r>
      <w:r w:rsidRPr="3AFE0DE7">
        <w:rPr>
          <w:rFonts w:ascii="Arial" w:eastAsia="Arial" w:hAnsi="Arial" w:cs="Arial"/>
          <w:color w:val="000000" w:themeColor="text1"/>
          <w:sz w:val="24"/>
          <w:szCs w:val="24"/>
          <w:lang w:val="en-GB"/>
        </w:rPr>
        <w:t xml:space="preserve">, </w:t>
      </w:r>
      <w:r w:rsidRPr="3AFE0DE7">
        <w:rPr>
          <w:rFonts w:ascii="Arial" w:eastAsia="Arial" w:hAnsi="Arial" w:cs="Arial"/>
          <w:i/>
          <w:iCs/>
          <w:color w:val="000000" w:themeColor="text1"/>
          <w:sz w:val="24"/>
          <w:szCs w:val="24"/>
          <w:lang w:val="en-GB"/>
        </w:rPr>
        <w:t>17</w:t>
      </w:r>
      <w:r w:rsidRPr="3AFE0DE7">
        <w:rPr>
          <w:rFonts w:ascii="Arial" w:eastAsia="Arial" w:hAnsi="Arial" w:cs="Arial"/>
          <w:color w:val="000000" w:themeColor="text1"/>
          <w:sz w:val="24"/>
          <w:szCs w:val="24"/>
          <w:lang w:val="en-GB"/>
        </w:rPr>
        <w:t xml:space="preserve">(2). </w:t>
      </w:r>
    </w:p>
    <w:p w14:paraId="4D4D765A" w14:textId="033A6FE9" w:rsidR="0A6AA3E5" w:rsidRDefault="0A6AA3E5" w:rsidP="3AFE0DE7">
      <w:pPr>
        <w:spacing w:after="200" w:line="360" w:lineRule="auto"/>
        <w:ind w:left="360" w:hanging="720"/>
        <w:jc w:val="both"/>
        <w:rPr>
          <w:rFonts w:ascii="Arial" w:eastAsia="Arial" w:hAnsi="Arial" w:cs="Arial"/>
          <w:color w:val="000000" w:themeColor="text1"/>
          <w:sz w:val="24"/>
          <w:szCs w:val="24"/>
          <w:lang w:val="en-GB"/>
        </w:rPr>
      </w:pPr>
      <w:proofErr w:type="spellStart"/>
      <w:r w:rsidRPr="3AFE0DE7">
        <w:rPr>
          <w:rFonts w:ascii="Arial" w:eastAsia="Arial" w:hAnsi="Arial" w:cs="Arial"/>
          <w:color w:val="000000" w:themeColor="text1"/>
          <w:sz w:val="24"/>
          <w:szCs w:val="24"/>
          <w:lang w:val="en-GB"/>
        </w:rPr>
        <w:lastRenderedPageBreak/>
        <w:t>Kazandzhieva</w:t>
      </w:r>
      <w:proofErr w:type="spellEnd"/>
      <w:r w:rsidRPr="3AFE0DE7">
        <w:rPr>
          <w:rFonts w:ascii="Arial" w:eastAsia="Arial" w:hAnsi="Arial" w:cs="Arial"/>
          <w:color w:val="000000" w:themeColor="text1"/>
          <w:sz w:val="24"/>
          <w:szCs w:val="24"/>
          <w:lang w:val="en-GB"/>
        </w:rPr>
        <w:t xml:space="preserve">, V. and Santana, H., (2019) E-tourism: Definition, </w:t>
      </w:r>
      <w:proofErr w:type="gramStart"/>
      <w:r w:rsidRPr="3AFE0DE7">
        <w:rPr>
          <w:rFonts w:ascii="Arial" w:eastAsia="Arial" w:hAnsi="Arial" w:cs="Arial"/>
          <w:color w:val="000000" w:themeColor="text1"/>
          <w:sz w:val="24"/>
          <w:szCs w:val="24"/>
          <w:lang w:val="en-GB"/>
        </w:rPr>
        <w:t>development</w:t>
      </w:r>
      <w:proofErr w:type="gramEnd"/>
      <w:r w:rsidRPr="3AFE0DE7">
        <w:rPr>
          <w:rFonts w:ascii="Arial" w:eastAsia="Arial" w:hAnsi="Arial" w:cs="Arial"/>
          <w:color w:val="000000" w:themeColor="text1"/>
          <w:sz w:val="24"/>
          <w:szCs w:val="24"/>
          <w:lang w:val="en-GB"/>
        </w:rPr>
        <w:t xml:space="preserve"> and conceptual framework. </w:t>
      </w:r>
      <w:r w:rsidRPr="3AFE0DE7">
        <w:rPr>
          <w:rFonts w:ascii="Arial" w:eastAsia="Arial" w:hAnsi="Arial" w:cs="Arial"/>
          <w:i/>
          <w:iCs/>
          <w:color w:val="000000" w:themeColor="text1"/>
          <w:sz w:val="24"/>
          <w:szCs w:val="24"/>
          <w:lang w:val="en-GB"/>
        </w:rPr>
        <w:t>Tourism: An International Interdisciplinary Journal</w:t>
      </w:r>
      <w:r w:rsidRPr="3AFE0DE7">
        <w:rPr>
          <w:rFonts w:ascii="Arial" w:eastAsia="Arial" w:hAnsi="Arial" w:cs="Arial"/>
          <w:color w:val="000000" w:themeColor="text1"/>
          <w:sz w:val="24"/>
          <w:szCs w:val="24"/>
          <w:lang w:val="en-GB"/>
        </w:rPr>
        <w:t>, </w:t>
      </w:r>
      <w:r w:rsidRPr="3AFE0DE7">
        <w:rPr>
          <w:rFonts w:ascii="Arial" w:eastAsia="Arial" w:hAnsi="Arial" w:cs="Arial"/>
          <w:i/>
          <w:iCs/>
          <w:color w:val="000000" w:themeColor="text1"/>
          <w:sz w:val="24"/>
          <w:szCs w:val="24"/>
          <w:lang w:val="en-GB"/>
        </w:rPr>
        <w:t>67</w:t>
      </w:r>
      <w:r w:rsidRPr="3AFE0DE7">
        <w:rPr>
          <w:rFonts w:ascii="Arial" w:eastAsia="Arial" w:hAnsi="Arial" w:cs="Arial"/>
          <w:color w:val="000000" w:themeColor="text1"/>
          <w:sz w:val="24"/>
          <w:szCs w:val="24"/>
          <w:lang w:val="en-GB"/>
        </w:rPr>
        <w:t>(4), pp.332-350.</w:t>
      </w:r>
    </w:p>
    <w:p w14:paraId="24A5DCB3" w14:textId="2C5BF462" w:rsidR="0A6AA3E5" w:rsidRDefault="0A6AA3E5" w:rsidP="3AFE0DE7">
      <w:pPr>
        <w:spacing w:after="200" w:line="360" w:lineRule="auto"/>
        <w:ind w:left="360" w:hanging="720"/>
        <w:jc w:val="both"/>
        <w:rPr>
          <w:rFonts w:ascii="Arial" w:eastAsia="Arial" w:hAnsi="Arial" w:cs="Arial"/>
          <w:color w:val="000000" w:themeColor="text1"/>
          <w:sz w:val="24"/>
          <w:szCs w:val="24"/>
          <w:lang w:val="en-GB"/>
        </w:rPr>
      </w:pPr>
      <w:r w:rsidRPr="3AFE0DE7">
        <w:rPr>
          <w:rFonts w:ascii="Arial" w:eastAsia="Arial" w:hAnsi="Arial" w:cs="Arial"/>
          <w:color w:val="000000" w:themeColor="text1"/>
          <w:sz w:val="24"/>
          <w:szCs w:val="24"/>
          <w:lang w:val="en-GB"/>
        </w:rPr>
        <w:t>Khan, N., Hassan, A.U., Fahad, S. and Naushad, M., (2020) Factors affecting tourism industry and its impacts on global economy of the world. </w:t>
      </w:r>
      <w:r w:rsidRPr="3AFE0DE7">
        <w:rPr>
          <w:rFonts w:ascii="Arial" w:eastAsia="Arial" w:hAnsi="Arial" w:cs="Arial"/>
          <w:i/>
          <w:iCs/>
          <w:color w:val="000000" w:themeColor="text1"/>
          <w:sz w:val="24"/>
          <w:szCs w:val="24"/>
          <w:lang w:val="en-GB"/>
        </w:rPr>
        <w:t>Available at SSRN 3559353</w:t>
      </w:r>
      <w:r w:rsidRPr="3AFE0DE7">
        <w:rPr>
          <w:rFonts w:ascii="Arial" w:eastAsia="Arial" w:hAnsi="Arial" w:cs="Arial"/>
          <w:color w:val="000000" w:themeColor="text1"/>
          <w:sz w:val="24"/>
          <w:szCs w:val="24"/>
          <w:lang w:val="en-GB"/>
        </w:rPr>
        <w:t>.</w:t>
      </w:r>
    </w:p>
    <w:p w14:paraId="00C3E219" w14:textId="643937F4" w:rsidR="0A6AA3E5" w:rsidRDefault="0A6AA3E5" w:rsidP="3AFE0DE7">
      <w:pPr>
        <w:spacing w:after="200" w:line="360" w:lineRule="auto"/>
        <w:ind w:left="360" w:hanging="720"/>
        <w:jc w:val="both"/>
        <w:rPr>
          <w:rFonts w:ascii="Arial" w:eastAsia="Arial" w:hAnsi="Arial" w:cs="Arial"/>
          <w:color w:val="000000" w:themeColor="text1"/>
          <w:sz w:val="24"/>
          <w:szCs w:val="24"/>
          <w:lang w:val="en-GB"/>
        </w:rPr>
      </w:pPr>
      <w:r w:rsidRPr="3AFE0DE7">
        <w:rPr>
          <w:rFonts w:ascii="Arial" w:eastAsia="Arial" w:hAnsi="Arial" w:cs="Arial"/>
          <w:color w:val="000000" w:themeColor="text1"/>
          <w:sz w:val="24"/>
          <w:szCs w:val="24"/>
          <w:lang w:val="en-GB"/>
        </w:rPr>
        <w:t>Morrison, A.M., (2022) </w:t>
      </w:r>
      <w:r w:rsidRPr="3AFE0DE7">
        <w:rPr>
          <w:rFonts w:ascii="Arial" w:eastAsia="Arial" w:hAnsi="Arial" w:cs="Arial"/>
          <w:i/>
          <w:iCs/>
          <w:color w:val="000000" w:themeColor="text1"/>
          <w:sz w:val="24"/>
          <w:szCs w:val="24"/>
          <w:lang w:val="en-GB"/>
        </w:rPr>
        <w:t>Hospitality and travel marketing</w:t>
      </w:r>
      <w:r w:rsidRPr="3AFE0DE7">
        <w:rPr>
          <w:rFonts w:ascii="Arial" w:eastAsia="Arial" w:hAnsi="Arial" w:cs="Arial"/>
          <w:color w:val="000000" w:themeColor="text1"/>
          <w:sz w:val="24"/>
          <w:szCs w:val="24"/>
          <w:lang w:val="en-GB"/>
        </w:rPr>
        <w:t>. Taylor &amp; Francis.</w:t>
      </w:r>
    </w:p>
    <w:p w14:paraId="6AD964EB" w14:textId="4E4D9ED2" w:rsidR="0A6AA3E5" w:rsidRDefault="0A6AA3E5" w:rsidP="3AFE0DE7">
      <w:pPr>
        <w:spacing w:after="200" w:line="360" w:lineRule="auto"/>
        <w:ind w:left="360" w:hanging="720"/>
        <w:jc w:val="both"/>
        <w:rPr>
          <w:rFonts w:ascii="Arial" w:eastAsia="Arial" w:hAnsi="Arial" w:cs="Arial"/>
          <w:color w:val="000000" w:themeColor="text1"/>
          <w:sz w:val="24"/>
          <w:szCs w:val="24"/>
          <w:lang w:val="en-GB"/>
        </w:rPr>
      </w:pPr>
      <w:r w:rsidRPr="3AFE0DE7">
        <w:rPr>
          <w:rFonts w:ascii="Arial" w:eastAsia="Arial" w:hAnsi="Arial" w:cs="Arial"/>
          <w:color w:val="000000" w:themeColor="text1"/>
          <w:sz w:val="24"/>
          <w:szCs w:val="24"/>
          <w:lang w:val="en-GB"/>
        </w:rPr>
        <w:t>Mustapha, M., Zulkifli, F.Z. and Awang, K.W., (2020) Enhancing sustainability through implementation of balanced scorecard: A case study of beach resorts. </w:t>
      </w:r>
      <w:r w:rsidRPr="3AFE0DE7">
        <w:rPr>
          <w:rFonts w:ascii="Arial" w:eastAsia="Arial" w:hAnsi="Arial" w:cs="Arial"/>
          <w:i/>
          <w:iCs/>
          <w:color w:val="000000" w:themeColor="text1"/>
          <w:sz w:val="24"/>
          <w:szCs w:val="24"/>
          <w:lang w:val="en-GB"/>
        </w:rPr>
        <w:t>Journal of Sustainability Science and Management</w:t>
      </w:r>
      <w:r w:rsidRPr="3AFE0DE7">
        <w:rPr>
          <w:rFonts w:ascii="Arial" w:eastAsia="Arial" w:hAnsi="Arial" w:cs="Arial"/>
          <w:color w:val="000000" w:themeColor="text1"/>
          <w:sz w:val="24"/>
          <w:szCs w:val="24"/>
          <w:lang w:val="en-GB"/>
        </w:rPr>
        <w:t>, </w:t>
      </w:r>
      <w:r w:rsidRPr="3AFE0DE7">
        <w:rPr>
          <w:rFonts w:ascii="Arial" w:eastAsia="Arial" w:hAnsi="Arial" w:cs="Arial"/>
          <w:i/>
          <w:iCs/>
          <w:color w:val="000000" w:themeColor="text1"/>
          <w:sz w:val="24"/>
          <w:szCs w:val="24"/>
          <w:lang w:val="en-GB"/>
        </w:rPr>
        <w:t>15</w:t>
      </w:r>
      <w:r w:rsidRPr="3AFE0DE7">
        <w:rPr>
          <w:rFonts w:ascii="Arial" w:eastAsia="Arial" w:hAnsi="Arial" w:cs="Arial"/>
          <w:color w:val="000000" w:themeColor="text1"/>
          <w:sz w:val="24"/>
          <w:szCs w:val="24"/>
          <w:lang w:val="en-GB"/>
        </w:rPr>
        <w:t>(1), pp.136-147.</w:t>
      </w:r>
    </w:p>
    <w:p w14:paraId="320D00CC" w14:textId="4C30EED0" w:rsidR="0A6AA3E5" w:rsidRDefault="0A6AA3E5" w:rsidP="3AFE0DE7">
      <w:pPr>
        <w:spacing w:after="200" w:line="360" w:lineRule="auto"/>
        <w:ind w:left="360" w:hanging="720"/>
        <w:jc w:val="both"/>
        <w:rPr>
          <w:rFonts w:ascii="Arial" w:eastAsia="Arial" w:hAnsi="Arial" w:cs="Arial"/>
          <w:color w:val="000000" w:themeColor="text1"/>
          <w:sz w:val="24"/>
          <w:szCs w:val="24"/>
          <w:lang w:val="en-GB"/>
        </w:rPr>
      </w:pPr>
      <w:r w:rsidRPr="3AFE0DE7">
        <w:rPr>
          <w:rFonts w:ascii="Arial" w:eastAsia="Arial" w:hAnsi="Arial" w:cs="Arial"/>
          <w:color w:val="000000" w:themeColor="text1"/>
          <w:sz w:val="24"/>
          <w:szCs w:val="24"/>
          <w:lang w:val="en-GB"/>
        </w:rPr>
        <w:t>Olayinka, A.A., (2022) Financial statement analysis as a tool for investment decisions and assessment of companies’ performance. </w:t>
      </w:r>
      <w:r w:rsidRPr="3AFE0DE7">
        <w:rPr>
          <w:rFonts w:ascii="Arial" w:eastAsia="Arial" w:hAnsi="Arial" w:cs="Arial"/>
          <w:i/>
          <w:iCs/>
          <w:color w:val="000000" w:themeColor="text1"/>
          <w:sz w:val="24"/>
          <w:szCs w:val="24"/>
          <w:lang w:val="en-GB"/>
        </w:rPr>
        <w:t>International Journal of Financial, Accounting, and Management</w:t>
      </w:r>
      <w:r w:rsidRPr="3AFE0DE7">
        <w:rPr>
          <w:rFonts w:ascii="Arial" w:eastAsia="Arial" w:hAnsi="Arial" w:cs="Arial"/>
          <w:color w:val="000000" w:themeColor="text1"/>
          <w:sz w:val="24"/>
          <w:szCs w:val="24"/>
          <w:lang w:val="en-GB"/>
        </w:rPr>
        <w:t>, </w:t>
      </w:r>
      <w:r w:rsidRPr="3AFE0DE7">
        <w:rPr>
          <w:rFonts w:ascii="Arial" w:eastAsia="Arial" w:hAnsi="Arial" w:cs="Arial"/>
          <w:i/>
          <w:iCs/>
          <w:color w:val="000000" w:themeColor="text1"/>
          <w:sz w:val="24"/>
          <w:szCs w:val="24"/>
          <w:lang w:val="en-GB"/>
        </w:rPr>
        <w:t>4</w:t>
      </w:r>
      <w:r w:rsidRPr="3AFE0DE7">
        <w:rPr>
          <w:rFonts w:ascii="Arial" w:eastAsia="Arial" w:hAnsi="Arial" w:cs="Arial"/>
          <w:color w:val="000000" w:themeColor="text1"/>
          <w:sz w:val="24"/>
          <w:szCs w:val="24"/>
          <w:lang w:val="en-GB"/>
        </w:rPr>
        <w:t>(1), pp.49-66.</w:t>
      </w:r>
    </w:p>
    <w:p w14:paraId="08083D3E" w14:textId="61B57E82" w:rsidR="0A6AA3E5" w:rsidRDefault="0A6AA3E5" w:rsidP="3AFE0DE7">
      <w:pPr>
        <w:spacing w:after="200" w:line="360" w:lineRule="auto"/>
        <w:ind w:left="360" w:hanging="720"/>
        <w:jc w:val="both"/>
        <w:rPr>
          <w:rFonts w:ascii="Arial" w:eastAsia="Arial" w:hAnsi="Arial" w:cs="Arial"/>
          <w:color w:val="000000" w:themeColor="text1"/>
          <w:sz w:val="24"/>
          <w:szCs w:val="24"/>
          <w:lang w:val="en-GB"/>
        </w:rPr>
      </w:pPr>
      <w:r w:rsidRPr="3AFE0DE7">
        <w:rPr>
          <w:rFonts w:ascii="Arial" w:eastAsia="Arial" w:hAnsi="Arial" w:cs="Arial"/>
          <w:color w:val="000000" w:themeColor="text1"/>
          <w:sz w:val="24"/>
          <w:szCs w:val="24"/>
          <w:lang w:val="en-GB"/>
        </w:rPr>
        <w:t>Olayinka, A.A., (2022) Financial statement analysis as a tool for investment decisions and assessment of companies’ performance. </w:t>
      </w:r>
      <w:r w:rsidRPr="3AFE0DE7">
        <w:rPr>
          <w:rFonts w:ascii="Arial" w:eastAsia="Arial" w:hAnsi="Arial" w:cs="Arial"/>
          <w:i/>
          <w:iCs/>
          <w:color w:val="000000" w:themeColor="text1"/>
          <w:sz w:val="24"/>
          <w:szCs w:val="24"/>
          <w:lang w:val="en-GB"/>
        </w:rPr>
        <w:t>International Journal of Financial, Accounting, and Management</w:t>
      </w:r>
      <w:r w:rsidRPr="3AFE0DE7">
        <w:rPr>
          <w:rFonts w:ascii="Arial" w:eastAsia="Arial" w:hAnsi="Arial" w:cs="Arial"/>
          <w:color w:val="000000" w:themeColor="text1"/>
          <w:sz w:val="24"/>
          <w:szCs w:val="24"/>
          <w:lang w:val="en-GB"/>
        </w:rPr>
        <w:t>, </w:t>
      </w:r>
      <w:r w:rsidRPr="3AFE0DE7">
        <w:rPr>
          <w:rFonts w:ascii="Arial" w:eastAsia="Arial" w:hAnsi="Arial" w:cs="Arial"/>
          <w:i/>
          <w:iCs/>
          <w:color w:val="000000" w:themeColor="text1"/>
          <w:sz w:val="24"/>
          <w:szCs w:val="24"/>
          <w:lang w:val="en-GB"/>
        </w:rPr>
        <w:t>4</w:t>
      </w:r>
      <w:r w:rsidRPr="3AFE0DE7">
        <w:rPr>
          <w:rFonts w:ascii="Arial" w:eastAsia="Arial" w:hAnsi="Arial" w:cs="Arial"/>
          <w:color w:val="000000" w:themeColor="text1"/>
          <w:sz w:val="24"/>
          <w:szCs w:val="24"/>
          <w:lang w:val="en-GB"/>
        </w:rPr>
        <w:t>(1), pp.49-66.</w:t>
      </w:r>
    </w:p>
    <w:p w14:paraId="5AA7CE65" w14:textId="30933713" w:rsidR="0A6AA3E5" w:rsidRDefault="0A6AA3E5" w:rsidP="3AFE0DE7">
      <w:pPr>
        <w:spacing w:after="200" w:line="360" w:lineRule="auto"/>
        <w:ind w:left="360" w:hanging="720"/>
        <w:jc w:val="both"/>
        <w:rPr>
          <w:rFonts w:ascii="Arial" w:eastAsia="Arial" w:hAnsi="Arial" w:cs="Arial"/>
          <w:color w:val="000000" w:themeColor="text1"/>
          <w:sz w:val="24"/>
          <w:szCs w:val="24"/>
          <w:lang w:val="en-GB"/>
        </w:rPr>
      </w:pPr>
      <w:proofErr w:type="spellStart"/>
      <w:r w:rsidRPr="3AFE0DE7">
        <w:rPr>
          <w:rFonts w:ascii="Arial" w:eastAsia="Arial" w:hAnsi="Arial" w:cs="Arial"/>
          <w:color w:val="000000" w:themeColor="text1"/>
          <w:sz w:val="24"/>
          <w:szCs w:val="24"/>
          <w:lang w:val="en-GB"/>
        </w:rPr>
        <w:t>Phimphaphowat</w:t>
      </w:r>
      <w:proofErr w:type="spellEnd"/>
      <w:r w:rsidRPr="3AFE0DE7">
        <w:rPr>
          <w:rFonts w:ascii="Arial" w:eastAsia="Arial" w:hAnsi="Arial" w:cs="Arial"/>
          <w:color w:val="000000" w:themeColor="text1"/>
          <w:sz w:val="24"/>
          <w:szCs w:val="24"/>
          <w:lang w:val="en-GB"/>
        </w:rPr>
        <w:t>, N., (2022) Strategic human resource management: a case study of Oceanfront Beach Resort.</w:t>
      </w:r>
    </w:p>
    <w:p w14:paraId="3CBAB2A7" w14:textId="20A3C548" w:rsidR="0A6AA3E5" w:rsidRDefault="0A6AA3E5" w:rsidP="3AFE0DE7">
      <w:pPr>
        <w:spacing w:after="200" w:line="360" w:lineRule="auto"/>
        <w:ind w:left="360" w:hanging="720"/>
        <w:jc w:val="both"/>
        <w:rPr>
          <w:rFonts w:ascii="Arial" w:eastAsia="Arial" w:hAnsi="Arial" w:cs="Arial"/>
          <w:color w:val="000000" w:themeColor="text1"/>
          <w:sz w:val="24"/>
          <w:szCs w:val="24"/>
          <w:lang w:val="en-GB"/>
        </w:rPr>
      </w:pPr>
      <w:r w:rsidRPr="3AFE0DE7">
        <w:rPr>
          <w:rFonts w:ascii="Arial" w:eastAsia="Arial" w:hAnsi="Arial" w:cs="Arial"/>
          <w:color w:val="000000" w:themeColor="text1"/>
          <w:sz w:val="24"/>
          <w:szCs w:val="24"/>
          <w:lang w:val="en-GB"/>
        </w:rPr>
        <w:t>PLC, J.W., 2020. Annual Report and Financial Statements 2020. </w:t>
      </w:r>
      <w:r w:rsidRPr="3AFE0DE7">
        <w:rPr>
          <w:rFonts w:ascii="Arial" w:eastAsia="Arial" w:hAnsi="Arial" w:cs="Arial"/>
          <w:i/>
          <w:iCs/>
          <w:color w:val="000000" w:themeColor="text1"/>
          <w:sz w:val="24"/>
          <w:szCs w:val="24"/>
          <w:lang w:val="en-GB"/>
        </w:rPr>
        <w:t xml:space="preserve">Welwyn Garden City: Black Sun Plc. Retrieved </w:t>
      </w:r>
      <w:proofErr w:type="gramStart"/>
      <w:r w:rsidRPr="3AFE0DE7">
        <w:rPr>
          <w:rFonts w:ascii="Arial" w:eastAsia="Arial" w:hAnsi="Arial" w:cs="Arial"/>
          <w:i/>
          <w:iCs/>
          <w:color w:val="000000" w:themeColor="text1"/>
          <w:sz w:val="24"/>
          <w:szCs w:val="24"/>
          <w:lang w:val="en-GB"/>
        </w:rPr>
        <w:t>May</w:t>
      </w:r>
      <w:r w:rsidRPr="3AFE0DE7">
        <w:rPr>
          <w:rFonts w:ascii="Arial" w:eastAsia="Arial" w:hAnsi="Arial" w:cs="Arial"/>
          <w:color w:val="000000" w:themeColor="text1"/>
          <w:sz w:val="24"/>
          <w:szCs w:val="24"/>
          <w:lang w:val="en-GB"/>
        </w:rPr>
        <w:t>,</w:t>
      </w:r>
      <w:proofErr w:type="gramEnd"/>
      <w:r w:rsidRPr="3AFE0DE7">
        <w:rPr>
          <w:rFonts w:ascii="Arial" w:eastAsia="Arial" w:hAnsi="Arial" w:cs="Arial"/>
          <w:color w:val="000000" w:themeColor="text1"/>
          <w:sz w:val="24"/>
          <w:szCs w:val="24"/>
          <w:lang w:val="en-GB"/>
        </w:rPr>
        <w:t> </w:t>
      </w:r>
      <w:r w:rsidRPr="3AFE0DE7">
        <w:rPr>
          <w:rFonts w:ascii="Arial" w:eastAsia="Arial" w:hAnsi="Arial" w:cs="Arial"/>
          <w:i/>
          <w:iCs/>
          <w:color w:val="000000" w:themeColor="text1"/>
          <w:sz w:val="24"/>
          <w:szCs w:val="24"/>
          <w:lang w:val="en-GB"/>
        </w:rPr>
        <w:t>18</w:t>
      </w:r>
      <w:r w:rsidRPr="3AFE0DE7">
        <w:rPr>
          <w:rFonts w:ascii="Arial" w:eastAsia="Arial" w:hAnsi="Arial" w:cs="Arial"/>
          <w:color w:val="000000" w:themeColor="text1"/>
          <w:sz w:val="24"/>
          <w:szCs w:val="24"/>
          <w:lang w:val="en-GB"/>
        </w:rPr>
        <w:t>, p.2020.</w:t>
      </w:r>
    </w:p>
    <w:p w14:paraId="3D926E8B" w14:textId="3A7179C1" w:rsidR="0A6AA3E5" w:rsidRDefault="0A6AA3E5" w:rsidP="3AFE0DE7">
      <w:pPr>
        <w:spacing w:after="200" w:line="360" w:lineRule="auto"/>
        <w:ind w:left="360" w:hanging="720"/>
        <w:jc w:val="both"/>
        <w:rPr>
          <w:rFonts w:ascii="Arial" w:eastAsia="Arial" w:hAnsi="Arial" w:cs="Arial"/>
          <w:color w:val="000000" w:themeColor="text1"/>
          <w:sz w:val="24"/>
          <w:szCs w:val="24"/>
          <w:lang w:val="en-GB"/>
        </w:rPr>
      </w:pPr>
      <w:r w:rsidRPr="3AFE0DE7">
        <w:rPr>
          <w:rFonts w:ascii="Arial" w:eastAsia="Arial" w:hAnsi="Arial" w:cs="Arial"/>
          <w:color w:val="000000" w:themeColor="text1"/>
          <w:sz w:val="24"/>
          <w:szCs w:val="24"/>
          <w:lang w:val="en-GB"/>
        </w:rPr>
        <w:t>Setiawan, C.A. and Rosa, T., (2023) The Analysis of The Effect of Return of Investment (ROI) on Stock Price and Financial Performance of a Company. </w:t>
      </w:r>
      <w:r w:rsidRPr="3AFE0DE7">
        <w:rPr>
          <w:rFonts w:ascii="Arial" w:eastAsia="Arial" w:hAnsi="Arial" w:cs="Arial"/>
          <w:i/>
          <w:iCs/>
          <w:color w:val="000000" w:themeColor="text1"/>
          <w:sz w:val="24"/>
          <w:szCs w:val="24"/>
          <w:lang w:val="en-GB"/>
        </w:rPr>
        <w:t>Journal of Accounting, Management, Economics, and Business (ANALYSIS)</w:t>
      </w:r>
      <w:r w:rsidRPr="3AFE0DE7">
        <w:rPr>
          <w:rFonts w:ascii="Arial" w:eastAsia="Arial" w:hAnsi="Arial" w:cs="Arial"/>
          <w:color w:val="000000" w:themeColor="text1"/>
          <w:sz w:val="24"/>
          <w:szCs w:val="24"/>
          <w:lang w:val="en-GB"/>
        </w:rPr>
        <w:t>, </w:t>
      </w:r>
      <w:r w:rsidRPr="3AFE0DE7">
        <w:rPr>
          <w:rFonts w:ascii="Arial" w:eastAsia="Arial" w:hAnsi="Arial" w:cs="Arial"/>
          <w:i/>
          <w:iCs/>
          <w:color w:val="000000" w:themeColor="text1"/>
          <w:sz w:val="24"/>
          <w:szCs w:val="24"/>
          <w:lang w:val="en-GB"/>
        </w:rPr>
        <w:t>1</w:t>
      </w:r>
      <w:r w:rsidRPr="3AFE0DE7">
        <w:rPr>
          <w:rFonts w:ascii="Arial" w:eastAsia="Arial" w:hAnsi="Arial" w:cs="Arial"/>
          <w:color w:val="000000" w:themeColor="text1"/>
          <w:sz w:val="24"/>
          <w:szCs w:val="24"/>
          <w:lang w:val="en-GB"/>
        </w:rPr>
        <w:t>(1), pp.20-29.</w:t>
      </w:r>
    </w:p>
    <w:p w14:paraId="4310E297" w14:textId="485B5A58" w:rsidR="0A6AA3E5" w:rsidRDefault="0A6AA3E5" w:rsidP="3AFE0DE7">
      <w:pPr>
        <w:spacing w:after="200" w:line="360" w:lineRule="auto"/>
        <w:ind w:left="360" w:hanging="720"/>
        <w:jc w:val="both"/>
        <w:rPr>
          <w:rFonts w:ascii="Arial" w:eastAsia="Arial" w:hAnsi="Arial" w:cs="Arial"/>
          <w:color w:val="000000" w:themeColor="text1"/>
          <w:sz w:val="24"/>
          <w:szCs w:val="24"/>
          <w:lang w:val="en-GB"/>
        </w:rPr>
      </w:pPr>
      <w:proofErr w:type="spellStart"/>
      <w:r w:rsidRPr="3AFE0DE7">
        <w:rPr>
          <w:rFonts w:ascii="Arial" w:eastAsia="Arial" w:hAnsi="Arial" w:cs="Arial"/>
          <w:color w:val="000000" w:themeColor="text1"/>
          <w:sz w:val="24"/>
          <w:szCs w:val="24"/>
          <w:lang w:val="en-GB"/>
        </w:rPr>
        <w:t>Temelkov</w:t>
      </w:r>
      <w:proofErr w:type="spellEnd"/>
      <w:r w:rsidRPr="3AFE0DE7">
        <w:rPr>
          <w:rFonts w:ascii="Arial" w:eastAsia="Arial" w:hAnsi="Arial" w:cs="Arial"/>
          <w:color w:val="000000" w:themeColor="text1"/>
          <w:sz w:val="24"/>
          <w:szCs w:val="24"/>
          <w:lang w:val="en-GB"/>
        </w:rPr>
        <w:t>, Z., (2022) Financial performance of selected hotel groups and resorts during COVID-19 pandemic: 2019/2020 comparison. </w:t>
      </w:r>
      <w:proofErr w:type="spellStart"/>
      <w:r w:rsidRPr="3AFE0DE7">
        <w:rPr>
          <w:rFonts w:ascii="Arial" w:eastAsia="Arial" w:hAnsi="Arial" w:cs="Arial"/>
          <w:i/>
          <w:iCs/>
          <w:color w:val="000000" w:themeColor="text1"/>
          <w:sz w:val="24"/>
          <w:szCs w:val="24"/>
          <w:lang w:val="en-GB"/>
        </w:rPr>
        <w:t>Менаџмент</w:t>
      </w:r>
      <w:proofErr w:type="spellEnd"/>
      <w:r w:rsidRPr="3AFE0DE7">
        <w:rPr>
          <w:rFonts w:ascii="Arial" w:eastAsia="Arial" w:hAnsi="Arial" w:cs="Arial"/>
          <w:i/>
          <w:iCs/>
          <w:color w:val="000000" w:themeColor="text1"/>
          <w:sz w:val="24"/>
          <w:szCs w:val="24"/>
          <w:lang w:val="en-GB"/>
        </w:rPr>
        <w:t xml:space="preserve"> у </w:t>
      </w:r>
      <w:proofErr w:type="spellStart"/>
      <w:r w:rsidRPr="3AFE0DE7">
        <w:rPr>
          <w:rFonts w:ascii="Arial" w:eastAsia="Arial" w:hAnsi="Arial" w:cs="Arial"/>
          <w:i/>
          <w:iCs/>
          <w:color w:val="000000" w:themeColor="text1"/>
          <w:sz w:val="24"/>
          <w:szCs w:val="24"/>
          <w:lang w:val="en-GB"/>
        </w:rPr>
        <w:t>хотелијерству</w:t>
      </w:r>
      <w:proofErr w:type="spellEnd"/>
      <w:r w:rsidRPr="3AFE0DE7">
        <w:rPr>
          <w:rFonts w:ascii="Arial" w:eastAsia="Arial" w:hAnsi="Arial" w:cs="Arial"/>
          <w:i/>
          <w:iCs/>
          <w:color w:val="000000" w:themeColor="text1"/>
          <w:sz w:val="24"/>
          <w:szCs w:val="24"/>
          <w:lang w:val="en-GB"/>
        </w:rPr>
        <w:t xml:space="preserve"> и </w:t>
      </w:r>
      <w:proofErr w:type="spellStart"/>
      <w:r w:rsidRPr="3AFE0DE7">
        <w:rPr>
          <w:rFonts w:ascii="Arial" w:eastAsia="Arial" w:hAnsi="Arial" w:cs="Arial"/>
          <w:i/>
          <w:iCs/>
          <w:color w:val="000000" w:themeColor="text1"/>
          <w:sz w:val="24"/>
          <w:szCs w:val="24"/>
          <w:lang w:val="en-GB"/>
        </w:rPr>
        <w:t>туризму</w:t>
      </w:r>
      <w:proofErr w:type="spellEnd"/>
      <w:r w:rsidRPr="3AFE0DE7">
        <w:rPr>
          <w:rFonts w:ascii="Arial" w:eastAsia="Arial" w:hAnsi="Arial" w:cs="Arial"/>
          <w:color w:val="000000" w:themeColor="text1"/>
          <w:sz w:val="24"/>
          <w:szCs w:val="24"/>
          <w:lang w:val="en-GB"/>
        </w:rPr>
        <w:t>, </w:t>
      </w:r>
      <w:r w:rsidRPr="3AFE0DE7">
        <w:rPr>
          <w:rFonts w:ascii="Arial" w:eastAsia="Arial" w:hAnsi="Arial" w:cs="Arial"/>
          <w:i/>
          <w:iCs/>
          <w:color w:val="000000" w:themeColor="text1"/>
          <w:sz w:val="24"/>
          <w:szCs w:val="24"/>
          <w:lang w:val="en-GB"/>
        </w:rPr>
        <w:t>10</w:t>
      </w:r>
      <w:r w:rsidRPr="3AFE0DE7">
        <w:rPr>
          <w:rFonts w:ascii="Arial" w:eastAsia="Arial" w:hAnsi="Arial" w:cs="Arial"/>
          <w:color w:val="000000" w:themeColor="text1"/>
          <w:sz w:val="24"/>
          <w:szCs w:val="24"/>
          <w:lang w:val="en-GB"/>
        </w:rPr>
        <w:t>(1), pp.41-51.</w:t>
      </w:r>
    </w:p>
    <w:p w14:paraId="6A71CCBA" w14:textId="09374EA6" w:rsidR="0A6AA3E5" w:rsidRDefault="0A6AA3E5" w:rsidP="3AFE0DE7">
      <w:pPr>
        <w:spacing w:after="200" w:line="360" w:lineRule="auto"/>
        <w:ind w:left="360" w:hanging="720"/>
        <w:jc w:val="both"/>
        <w:rPr>
          <w:rFonts w:ascii="Arial" w:eastAsia="Arial" w:hAnsi="Arial" w:cs="Arial"/>
          <w:color w:val="222222"/>
          <w:sz w:val="24"/>
          <w:szCs w:val="24"/>
          <w:lang w:val="en-GB"/>
        </w:rPr>
      </w:pPr>
      <w:r w:rsidRPr="3AFE0DE7">
        <w:rPr>
          <w:rFonts w:ascii="Arial" w:eastAsia="Arial" w:hAnsi="Arial" w:cs="Arial"/>
          <w:color w:val="000000" w:themeColor="text1"/>
          <w:sz w:val="24"/>
          <w:szCs w:val="24"/>
          <w:lang w:val="en-GB"/>
        </w:rPr>
        <w:t xml:space="preserve">Thomas, D., (2023) Universities as tourism destinations, attractions, and generators: the relationship </w:t>
      </w:r>
      <w:r w:rsidRPr="3AFE0DE7">
        <w:rPr>
          <w:rFonts w:ascii="Arial" w:eastAsia="Arial" w:hAnsi="Arial" w:cs="Arial"/>
          <w:color w:val="222222"/>
          <w:sz w:val="24"/>
          <w:szCs w:val="24"/>
          <w:lang w:val="en-GB"/>
        </w:rPr>
        <w:t xml:space="preserve">between university students and VFR tourism. </w:t>
      </w:r>
    </w:p>
    <w:p w14:paraId="6489C170" w14:textId="4EB9E32E" w:rsidR="3AFE0DE7" w:rsidRDefault="3AFE0DE7" w:rsidP="3AFE0DE7">
      <w:pPr>
        <w:spacing w:after="0" w:line="360" w:lineRule="auto"/>
        <w:jc w:val="both"/>
        <w:rPr>
          <w:rFonts w:ascii="Arial" w:eastAsia="Arial" w:hAnsi="Arial" w:cs="Arial"/>
          <w:color w:val="000000" w:themeColor="text1"/>
          <w:sz w:val="24"/>
          <w:szCs w:val="24"/>
          <w:lang w:val="en-GB"/>
        </w:rPr>
      </w:pPr>
    </w:p>
    <w:p w14:paraId="5C264E36" w14:textId="46185FB7" w:rsidR="3AFE0DE7" w:rsidRDefault="3AFE0DE7" w:rsidP="3AFE0DE7">
      <w:pPr>
        <w:rPr>
          <w:lang w:val="en-GB"/>
        </w:rPr>
      </w:pPr>
    </w:p>
    <w:sectPr w:rsidR="3AFE0DE7" w:rsidSect="003340BC">
      <w:headerReference w:type="default" r:id="rId10"/>
      <w:footerReference w:type="default" r:id="rId11"/>
      <w:foot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CA33E" w14:textId="77777777" w:rsidR="00BE4721" w:rsidRDefault="00BE4721">
      <w:pPr>
        <w:spacing w:after="0" w:line="240" w:lineRule="auto"/>
      </w:pPr>
      <w:r>
        <w:separator/>
      </w:r>
    </w:p>
  </w:endnote>
  <w:endnote w:type="continuationSeparator" w:id="0">
    <w:p w14:paraId="3A15F2B6" w14:textId="77777777" w:rsidR="00BE4721" w:rsidRDefault="00BE4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2187180"/>
      <w:docPartObj>
        <w:docPartGallery w:val="Page Numbers (Bottom of Page)"/>
        <w:docPartUnique/>
      </w:docPartObj>
    </w:sdtPr>
    <w:sdtEndPr>
      <w:rPr>
        <w:noProof/>
      </w:rPr>
    </w:sdtEndPr>
    <w:sdtContent>
      <w:p w14:paraId="27147BC0" w14:textId="73E7A5B7" w:rsidR="003340BC" w:rsidRDefault="003340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AE34AF" w14:textId="1FCB519E" w:rsidR="3AFE0DE7" w:rsidRDefault="3AFE0DE7" w:rsidP="3AFE0D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93016" w14:textId="77777777" w:rsidR="003340BC" w:rsidRDefault="003340BC" w:rsidP="003340BC">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DDB84" w14:textId="77777777" w:rsidR="00BE4721" w:rsidRDefault="00BE4721">
      <w:pPr>
        <w:spacing w:after="0" w:line="240" w:lineRule="auto"/>
      </w:pPr>
      <w:r>
        <w:separator/>
      </w:r>
    </w:p>
  </w:footnote>
  <w:footnote w:type="continuationSeparator" w:id="0">
    <w:p w14:paraId="1324F940" w14:textId="77777777" w:rsidR="00BE4721" w:rsidRDefault="00BE47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B67BA" w14:textId="66A06EE9" w:rsidR="003340BC" w:rsidRDefault="003340BC">
    <w:pPr>
      <w:pStyle w:val="Header"/>
      <w:tabs>
        <w:tab w:val="clear" w:pos="4680"/>
        <w:tab w:val="clear" w:pos="9360"/>
      </w:tabs>
      <w:jc w:val="right"/>
      <w:rPr>
        <w:color w:val="7F7F7F" w:themeColor="text1" w:themeTint="80"/>
      </w:rPr>
    </w:pPr>
    <w:r>
      <w:rPr>
        <w:color w:val="7F7F7F" w:themeColor="text1" w:themeTint="80"/>
      </w:rPr>
      <w:t xml:space="preserve"> </w:t>
    </w:r>
    <w:sdt>
      <w:sdtPr>
        <w:rPr>
          <w:color w:val="7F7F7F" w:themeColor="text1" w:themeTint="80"/>
        </w:rPr>
        <w:alias w:val="Title"/>
        <w:tag w:val=""/>
        <w:id w:val="1116400235"/>
        <w:placeholder>
          <w:docPart w:val="9E700A26A0A54228BF88BDE4FFB444B0"/>
        </w:placeholder>
        <w:dataBinding w:prefixMappings="xmlns:ns0='http://purl.org/dc/elements/1.1/' xmlns:ns1='http://schemas.openxmlformats.org/package/2006/metadata/core-properties' " w:xpath="/ns1:coreProperties[1]/ns0:title[1]" w:storeItemID="{6C3C8BC8-F283-45AE-878A-BAB7291924A1}"/>
        <w:text/>
      </w:sdtPr>
      <w:sdtContent>
        <w:r>
          <w:rPr>
            <w:color w:val="7F7F7F" w:themeColor="text1" w:themeTint="80"/>
          </w:rPr>
          <w:t>Financial Management</w:t>
        </w:r>
      </w:sdtContent>
    </w:sdt>
  </w:p>
  <w:p w14:paraId="20A6611A" w14:textId="48AD83CC" w:rsidR="3AFE0DE7" w:rsidRDefault="3AFE0DE7" w:rsidP="3AFE0D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01EEA6"/>
    <w:multiLevelType w:val="hybridMultilevel"/>
    <w:tmpl w:val="FFFFFFFF"/>
    <w:lvl w:ilvl="0" w:tplc="270C5186">
      <w:start w:val="6"/>
      <w:numFmt w:val="decimal"/>
      <w:lvlText w:val="%1."/>
      <w:lvlJc w:val="left"/>
      <w:pPr>
        <w:ind w:left="720" w:hanging="360"/>
      </w:pPr>
    </w:lvl>
    <w:lvl w:ilvl="1" w:tplc="E4F2933E">
      <w:start w:val="1"/>
      <w:numFmt w:val="lowerLetter"/>
      <w:lvlText w:val="%2."/>
      <w:lvlJc w:val="left"/>
      <w:pPr>
        <w:ind w:left="1440" w:hanging="360"/>
      </w:pPr>
    </w:lvl>
    <w:lvl w:ilvl="2" w:tplc="43CEA516">
      <w:start w:val="1"/>
      <w:numFmt w:val="lowerRoman"/>
      <w:lvlText w:val="%3."/>
      <w:lvlJc w:val="right"/>
      <w:pPr>
        <w:ind w:left="2160" w:hanging="180"/>
      </w:pPr>
    </w:lvl>
    <w:lvl w:ilvl="3" w:tplc="C44AF47A">
      <w:start w:val="1"/>
      <w:numFmt w:val="decimal"/>
      <w:lvlText w:val="%4."/>
      <w:lvlJc w:val="left"/>
      <w:pPr>
        <w:ind w:left="2880" w:hanging="360"/>
      </w:pPr>
    </w:lvl>
    <w:lvl w:ilvl="4" w:tplc="81F64C84">
      <w:start w:val="1"/>
      <w:numFmt w:val="lowerLetter"/>
      <w:lvlText w:val="%5."/>
      <w:lvlJc w:val="left"/>
      <w:pPr>
        <w:ind w:left="3600" w:hanging="360"/>
      </w:pPr>
    </w:lvl>
    <w:lvl w:ilvl="5" w:tplc="C7C0C60C">
      <w:start w:val="1"/>
      <w:numFmt w:val="lowerRoman"/>
      <w:lvlText w:val="%6."/>
      <w:lvlJc w:val="right"/>
      <w:pPr>
        <w:ind w:left="4320" w:hanging="180"/>
      </w:pPr>
    </w:lvl>
    <w:lvl w:ilvl="6" w:tplc="2C4A8936">
      <w:start w:val="1"/>
      <w:numFmt w:val="decimal"/>
      <w:lvlText w:val="%7."/>
      <w:lvlJc w:val="left"/>
      <w:pPr>
        <w:ind w:left="5040" w:hanging="360"/>
      </w:pPr>
    </w:lvl>
    <w:lvl w:ilvl="7" w:tplc="425ACA3C">
      <w:start w:val="1"/>
      <w:numFmt w:val="lowerLetter"/>
      <w:lvlText w:val="%8."/>
      <w:lvlJc w:val="left"/>
      <w:pPr>
        <w:ind w:left="5760" w:hanging="360"/>
      </w:pPr>
    </w:lvl>
    <w:lvl w:ilvl="8" w:tplc="03C4D9A2">
      <w:start w:val="1"/>
      <w:numFmt w:val="lowerRoman"/>
      <w:lvlText w:val="%9."/>
      <w:lvlJc w:val="right"/>
      <w:pPr>
        <w:ind w:left="6480" w:hanging="180"/>
      </w:pPr>
    </w:lvl>
  </w:abstractNum>
  <w:abstractNum w:abstractNumId="1" w15:restartNumberingAfterBreak="0">
    <w:nsid w:val="3B4E192B"/>
    <w:multiLevelType w:val="hybridMultilevel"/>
    <w:tmpl w:val="FFFFFFFF"/>
    <w:lvl w:ilvl="0" w:tplc="323A4872">
      <w:start w:val="1"/>
      <w:numFmt w:val="decimal"/>
      <w:lvlText w:val="%1."/>
      <w:lvlJc w:val="left"/>
      <w:pPr>
        <w:ind w:left="720" w:hanging="360"/>
      </w:pPr>
    </w:lvl>
    <w:lvl w:ilvl="1" w:tplc="C398228A">
      <w:start w:val="1"/>
      <w:numFmt w:val="lowerLetter"/>
      <w:lvlText w:val="%2."/>
      <w:lvlJc w:val="left"/>
      <w:pPr>
        <w:ind w:left="1440" w:hanging="360"/>
      </w:pPr>
    </w:lvl>
    <w:lvl w:ilvl="2" w:tplc="49D61E4C">
      <w:start w:val="1"/>
      <w:numFmt w:val="lowerRoman"/>
      <w:lvlText w:val="%3."/>
      <w:lvlJc w:val="right"/>
      <w:pPr>
        <w:ind w:left="2160" w:hanging="180"/>
      </w:pPr>
    </w:lvl>
    <w:lvl w:ilvl="3" w:tplc="8D52154C">
      <w:start w:val="1"/>
      <w:numFmt w:val="decimal"/>
      <w:lvlText w:val="%4."/>
      <w:lvlJc w:val="left"/>
      <w:pPr>
        <w:ind w:left="2880" w:hanging="360"/>
      </w:pPr>
    </w:lvl>
    <w:lvl w:ilvl="4" w:tplc="4266D874">
      <w:start w:val="1"/>
      <w:numFmt w:val="lowerLetter"/>
      <w:lvlText w:val="%5."/>
      <w:lvlJc w:val="left"/>
      <w:pPr>
        <w:ind w:left="3600" w:hanging="360"/>
      </w:pPr>
    </w:lvl>
    <w:lvl w:ilvl="5" w:tplc="63D671F8">
      <w:start w:val="1"/>
      <w:numFmt w:val="lowerRoman"/>
      <w:lvlText w:val="%6."/>
      <w:lvlJc w:val="right"/>
      <w:pPr>
        <w:ind w:left="4320" w:hanging="180"/>
      </w:pPr>
    </w:lvl>
    <w:lvl w:ilvl="6" w:tplc="BEC05760">
      <w:start w:val="1"/>
      <w:numFmt w:val="decimal"/>
      <w:lvlText w:val="%7."/>
      <w:lvlJc w:val="left"/>
      <w:pPr>
        <w:ind w:left="5040" w:hanging="360"/>
      </w:pPr>
    </w:lvl>
    <w:lvl w:ilvl="7" w:tplc="78EEA5E4">
      <w:start w:val="1"/>
      <w:numFmt w:val="lowerLetter"/>
      <w:lvlText w:val="%8."/>
      <w:lvlJc w:val="left"/>
      <w:pPr>
        <w:ind w:left="5760" w:hanging="360"/>
      </w:pPr>
    </w:lvl>
    <w:lvl w:ilvl="8" w:tplc="CB66A9FA">
      <w:start w:val="1"/>
      <w:numFmt w:val="lowerRoman"/>
      <w:lvlText w:val="%9."/>
      <w:lvlJc w:val="right"/>
      <w:pPr>
        <w:ind w:left="6480" w:hanging="180"/>
      </w:pPr>
    </w:lvl>
  </w:abstractNum>
  <w:abstractNum w:abstractNumId="2" w15:restartNumberingAfterBreak="0">
    <w:nsid w:val="4367B604"/>
    <w:multiLevelType w:val="hybridMultilevel"/>
    <w:tmpl w:val="FFFFFFFF"/>
    <w:lvl w:ilvl="0" w:tplc="32FEC828">
      <w:start w:val="1"/>
      <w:numFmt w:val="bullet"/>
      <w:lvlText w:val=""/>
      <w:lvlJc w:val="left"/>
      <w:pPr>
        <w:ind w:left="720" w:hanging="360"/>
      </w:pPr>
      <w:rPr>
        <w:rFonts w:ascii="Symbol" w:hAnsi="Symbol" w:hint="default"/>
      </w:rPr>
    </w:lvl>
    <w:lvl w:ilvl="1" w:tplc="5B44ADDC">
      <w:start w:val="1"/>
      <w:numFmt w:val="bullet"/>
      <w:lvlText w:val="o"/>
      <w:lvlJc w:val="left"/>
      <w:pPr>
        <w:ind w:left="1440" w:hanging="360"/>
      </w:pPr>
      <w:rPr>
        <w:rFonts w:ascii="Courier New" w:hAnsi="Courier New" w:hint="default"/>
      </w:rPr>
    </w:lvl>
    <w:lvl w:ilvl="2" w:tplc="7F5EB376">
      <w:start w:val="1"/>
      <w:numFmt w:val="bullet"/>
      <w:lvlText w:val=""/>
      <w:lvlJc w:val="left"/>
      <w:pPr>
        <w:ind w:left="2160" w:hanging="360"/>
      </w:pPr>
      <w:rPr>
        <w:rFonts w:ascii="Wingdings" w:hAnsi="Wingdings" w:hint="default"/>
      </w:rPr>
    </w:lvl>
    <w:lvl w:ilvl="3" w:tplc="5CDAA628">
      <w:start w:val="1"/>
      <w:numFmt w:val="bullet"/>
      <w:lvlText w:val=""/>
      <w:lvlJc w:val="left"/>
      <w:pPr>
        <w:ind w:left="2880" w:hanging="360"/>
      </w:pPr>
      <w:rPr>
        <w:rFonts w:ascii="Symbol" w:hAnsi="Symbol" w:hint="default"/>
      </w:rPr>
    </w:lvl>
    <w:lvl w:ilvl="4" w:tplc="D5ACE5AE">
      <w:start w:val="1"/>
      <w:numFmt w:val="bullet"/>
      <w:lvlText w:val="o"/>
      <w:lvlJc w:val="left"/>
      <w:pPr>
        <w:ind w:left="3600" w:hanging="360"/>
      </w:pPr>
      <w:rPr>
        <w:rFonts w:ascii="Courier New" w:hAnsi="Courier New" w:hint="default"/>
      </w:rPr>
    </w:lvl>
    <w:lvl w:ilvl="5" w:tplc="CC8EF3CA">
      <w:start w:val="1"/>
      <w:numFmt w:val="bullet"/>
      <w:lvlText w:val=""/>
      <w:lvlJc w:val="left"/>
      <w:pPr>
        <w:ind w:left="4320" w:hanging="360"/>
      </w:pPr>
      <w:rPr>
        <w:rFonts w:ascii="Wingdings" w:hAnsi="Wingdings" w:hint="default"/>
      </w:rPr>
    </w:lvl>
    <w:lvl w:ilvl="6" w:tplc="4B4E6906">
      <w:start w:val="1"/>
      <w:numFmt w:val="bullet"/>
      <w:lvlText w:val=""/>
      <w:lvlJc w:val="left"/>
      <w:pPr>
        <w:ind w:left="5040" w:hanging="360"/>
      </w:pPr>
      <w:rPr>
        <w:rFonts w:ascii="Symbol" w:hAnsi="Symbol" w:hint="default"/>
      </w:rPr>
    </w:lvl>
    <w:lvl w:ilvl="7" w:tplc="7030621E">
      <w:start w:val="1"/>
      <w:numFmt w:val="bullet"/>
      <w:lvlText w:val="o"/>
      <w:lvlJc w:val="left"/>
      <w:pPr>
        <w:ind w:left="5760" w:hanging="360"/>
      </w:pPr>
      <w:rPr>
        <w:rFonts w:ascii="Courier New" w:hAnsi="Courier New" w:hint="default"/>
      </w:rPr>
    </w:lvl>
    <w:lvl w:ilvl="8" w:tplc="837EEE98">
      <w:start w:val="1"/>
      <w:numFmt w:val="bullet"/>
      <w:lvlText w:val=""/>
      <w:lvlJc w:val="left"/>
      <w:pPr>
        <w:ind w:left="6480" w:hanging="360"/>
      </w:pPr>
      <w:rPr>
        <w:rFonts w:ascii="Wingdings" w:hAnsi="Wingdings" w:hint="default"/>
      </w:rPr>
    </w:lvl>
  </w:abstractNum>
  <w:abstractNum w:abstractNumId="3" w15:restartNumberingAfterBreak="0">
    <w:nsid w:val="561D610E"/>
    <w:multiLevelType w:val="hybridMultilevel"/>
    <w:tmpl w:val="FFFFFFFF"/>
    <w:lvl w:ilvl="0" w:tplc="7B944F3E">
      <w:start w:val="5"/>
      <w:numFmt w:val="decimal"/>
      <w:lvlText w:val="%1."/>
      <w:lvlJc w:val="left"/>
      <w:pPr>
        <w:ind w:left="720" w:hanging="360"/>
      </w:pPr>
    </w:lvl>
    <w:lvl w:ilvl="1" w:tplc="8DE05428">
      <w:start w:val="1"/>
      <w:numFmt w:val="lowerLetter"/>
      <w:lvlText w:val="%2."/>
      <w:lvlJc w:val="left"/>
      <w:pPr>
        <w:ind w:left="1440" w:hanging="360"/>
      </w:pPr>
    </w:lvl>
    <w:lvl w:ilvl="2" w:tplc="EB129B70">
      <w:start w:val="1"/>
      <w:numFmt w:val="lowerRoman"/>
      <w:lvlText w:val="%3."/>
      <w:lvlJc w:val="right"/>
      <w:pPr>
        <w:ind w:left="2160" w:hanging="180"/>
      </w:pPr>
    </w:lvl>
    <w:lvl w:ilvl="3" w:tplc="A0684A26">
      <w:start w:val="1"/>
      <w:numFmt w:val="decimal"/>
      <w:lvlText w:val="%4."/>
      <w:lvlJc w:val="left"/>
      <w:pPr>
        <w:ind w:left="2880" w:hanging="360"/>
      </w:pPr>
    </w:lvl>
    <w:lvl w:ilvl="4" w:tplc="1DAA5EC4">
      <w:start w:val="1"/>
      <w:numFmt w:val="lowerLetter"/>
      <w:lvlText w:val="%5."/>
      <w:lvlJc w:val="left"/>
      <w:pPr>
        <w:ind w:left="3600" w:hanging="360"/>
      </w:pPr>
    </w:lvl>
    <w:lvl w:ilvl="5" w:tplc="10CA7490">
      <w:start w:val="1"/>
      <w:numFmt w:val="lowerRoman"/>
      <w:lvlText w:val="%6."/>
      <w:lvlJc w:val="right"/>
      <w:pPr>
        <w:ind w:left="4320" w:hanging="180"/>
      </w:pPr>
    </w:lvl>
    <w:lvl w:ilvl="6" w:tplc="55D2E5F0">
      <w:start w:val="1"/>
      <w:numFmt w:val="decimal"/>
      <w:lvlText w:val="%7."/>
      <w:lvlJc w:val="left"/>
      <w:pPr>
        <w:ind w:left="5040" w:hanging="360"/>
      </w:pPr>
    </w:lvl>
    <w:lvl w:ilvl="7" w:tplc="DC3EBF58">
      <w:start w:val="1"/>
      <w:numFmt w:val="lowerLetter"/>
      <w:lvlText w:val="%8."/>
      <w:lvlJc w:val="left"/>
      <w:pPr>
        <w:ind w:left="5760" w:hanging="360"/>
      </w:pPr>
    </w:lvl>
    <w:lvl w:ilvl="8" w:tplc="296805DA">
      <w:start w:val="1"/>
      <w:numFmt w:val="lowerRoman"/>
      <w:lvlText w:val="%9."/>
      <w:lvlJc w:val="right"/>
      <w:pPr>
        <w:ind w:left="6480" w:hanging="180"/>
      </w:pPr>
    </w:lvl>
  </w:abstractNum>
  <w:abstractNum w:abstractNumId="4" w15:restartNumberingAfterBreak="0">
    <w:nsid w:val="5B9A6232"/>
    <w:multiLevelType w:val="hybridMultilevel"/>
    <w:tmpl w:val="FFFFFFFF"/>
    <w:lvl w:ilvl="0" w:tplc="4BE4F2F4">
      <w:start w:val="2"/>
      <w:numFmt w:val="decimal"/>
      <w:lvlText w:val="%1."/>
      <w:lvlJc w:val="left"/>
      <w:pPr>
        <w:ind w:left="720" w:hanging="360"/>
      </w:pPr>
    </w:lvl>
    <w:lvl w:ilvl="1" w:tplc="FBD25BB6">
      <w:start w:val="1"/>
      <w:numFmt w:val="lowerLetter"/>
      <w:lvlText w:val="%2."/>
      <w:lvlJc w:val="left"/>
      <w:pPr>
        <w:ind w:left="1440" w:hanging="360"/>
      </w:pPr>
    </w:lvl>
    <w:lvl w:ilvl="2" w:tplc="D4984216">
      <w:start w:val="1"/>
      <w:numFmt w:val="lowerRoman"/>
      <w:lvlText w:val="%3."/>
      <w:lvlJc w:val="right"/>
      <w:pPr>
        <w:ind w:left="2160" w:hanging="180"/>
      </w:pPr>
    </w:lvl>
    <w:lvl w:ilvl="3" w:tplc="AABA0C6C">
      <w:start w:val="1"/>
      <w:numFmt w:val="decimal"/>
      <w:lvlText w:val="%4."/>
      <w:lvlJc w:val="left"/>
      <w:pPr>
        <w:ind w:left="2880" w:hanging="360"/>
      </w:pPr>
    </w:lvl>
    <w:lvl w:ilvl="4" w:tplc="F7CE5D40">
      <w:start w:val="1"/>
      <w:numFmt w:val="lowerLetter"/>
      <w:lvlText w:val="%5."/>
      <w:lvlJc w:val="left"/>
      <w:pPr>
        <w:ind w:left="3600" w:hanging="360"/>
      </w:pPr>
    </w:lvl>
    <w:lvl w:ilvl="5" w:tplc="F9A85A98">
      <w:start w:val="1"/>
      <w:numFmt w:val="lowerRoman"/>
      <w:lvlText w:val="%6."/>
      <w:lvlJc w:val="right"/>
      <w:pPr>
        <w:ind w:left="4320" w:hanging="180"/>
      </w:pPr>
    </w:lvl>
    <w:lvl w:ilvl="6" w:tplc="ECCE5408">
      <w:start w:val="1"/>
      <w:numFmt w:val="decimal"/>
      <w:lvlText w:val="%7."/>
      <w:lvlJc w:val="left"/>
      <w:pPr>
        <w:ind w:left="5040" w:hanging="360"/>
      </w:pPr>
    </w:lvl>
    <w:lvl w:ilvl="7" w:tplc="3FE83742">
      <w:start w:val="1"/>
      <w:numFmt w:val="lowerLetter"/>
      <w:lvlText w:val="%8."/>
      <w:lvlJc w:val="left"/>
      <w:pPr>
        <w:ind w:left="5760" w:hanging="360"/>
      </w:pPr>
    </w:lvl>
    <w:lvl w:ilvl="8" w:tplc="52D0651E">
      <w:start w:val="1"/>
      <w:numFmt w:val="lowerRoman"/>
      <w:lvlText w:val="%9."/>
      <w:lvlJc w:val="right"/>
      <w:pPr>
        <w:ind w:left="6480" w:hanging="180"/>
      </w:pPr>
    </w:lvl>
  </w:abstractNum>
  <w:abstractNum w:abstractNumId="5" w15:restartNumberingAfterBreak="0">
    <w:nsid w:val="5DE2447A"/>
    <w:multiLevelType w:val="hybridMultilevel"/>
    <w:tmpl w:val="FFFFFFFF"/>
    <w:lvl w:ilvl="0" w:tplc="3176F476">
      <w:start w:val="1"/>
      <w:numFmt w:val="bullet"/>
      <w:lvlText w:val=""/>
      <w:lvlJc w:val="left"/>
      <w:pPr>
        <w:ind w:left="720" w:hanging="360"/>
      </w:pPr>
      <w:rPr>
        <w:rFonts w:ascii="Symbol" w:hAnsi="Symbol" w:hint="default"/>
      </w:rPr>
    </w:lvl>
    <w:lvl w:ilvl="1" w:tplc="E64A5CD0">
      <w:start w:val="1"/>
      <w:numFmt w:val="bullet"/>
      <w:lvlText w:val="o"/>
      <w:lvlJc w:val="left"/>
      <w:pPr>
        <w:ind w:left="1440" w:hanging="360"/>
      </w:pPr>
      <w:rPr>
        <w:rFonts w:ascii="Courier New" w:hAnsi="Courier New" w:hint="default"/>
      </w:rPr>
    </w:lvl>
    <w:lvl w:ilvl="2" w:tplc="14E6FEBA">
      <w:start w:val="1"/>
      <w:numFmt w:val="bullet"/>
      <w:lvlText w:val=""/>
      <w:lvlJc w:val="left"/>
      <w:pPr>
        <w:ind w:left="2160" w:hanging="360"/>
      </w:pPr>
      <w:rPr>
        <w:rFonts w:ascii="Wingdings" w:hAnsi="Wingdings" w:hint="default"/>
      </w:rPr>
    </w:lvl>
    <w:lvl w:ilvl="3" w:tplc="F0C2EF02">
      <w:start w:val="1"/>
      <w:numFmt w:val="bullet"/>
      <w:lvlText w:val=""/>
      <w:lvlJc w:val="left"/>
      <w:pPr>
        <w:ind w:left="2880" w:hanging="360"/>
      </w:pPr>
      <w:rPr>
        <w:rFonts w:ascii="Symbol" w:hAnsi="Symbol" w:hint="default"/>
      </w:rPr>
    </w:lvl>
    <w:lvl w:ilvl="4" w:tplc="DE66A5DE">
      <w:start w:val="1"/>
      <w:numFmt w:val="bullet"/>
      <w:lvlText w:val="o"/>
      <w:lvlJc w:val="left"/>
      <w:pPr>
        <w:ind w:left="3600" w:hanging="360"/>
      </w:pPr>
      <w:rPr>
        <w:rFonts w:ascii="Courier New" w:hAnsi="Courier New" w:hint="default"/>
      </w:rPr>
    </w:lvl>
    <w:lvl w:ilvl="5" w:tplc="E5FEF160">
      <w:start w:val="1"/>
      <w:numFmt w:val="bullet"/>
      <w:lvlText w:val=""/>
      <w:lvlJc w:val="left"/>
      <w:pPr>
        <w:ind w:left="4320" w:hanging="360"/>
      </w:pPr>
      <w:rPr>
        <w:rFonts w:ascii="Wingdings" w:hAnsi="Wingdings" w:hint="default"/>
      </w:rPr>
    </w:lvl>
    <w:lvl w:ilvl="6" w:tplc="838AC732">
      <w:start w:val="1"/>
      <w:numFmt w:val="bullet"/>
      <w:lvlText w:val=""/>
      <w:lvlJc w:val="left"/>
      <w:pPr>
        <w:ind w:left="5040" w:hanging="360"/>
      </w:pPr>
      <w:rPr>
        <w:rFonts w:ascii="Symbol" w:hAnsi="Symbol" w:hint="default"/>
      </w:rPr>
    </w:lvl>
    <w:lvl w:ilvl="7" w:tplc="564ADBBC">
      <w:start w:val="1"/>
      <w:numFmt w:val="bullet"/>
      <w:lvlText w:val="o"/>
      <w:lvlJc w:val="left"/>
      <w:pPr>
        <w:ind w:left="5760" w:hanging="360"/>
      </w:pPr>
      <w:rPr>
        <w:rFonts w:ascii="Courier New" w:hAnsi="Courier New" w:hint="default"/>
      </w:rPr>
    </w:lvl>
    <w:lvl w:ilvl="8" w:tplc="7C3687F2">
      <w:start w:val="1"/>
      <w:numFmt w:val="bullet"/>
      <w:lvlText w:val=""/>
      <w:lvlJc w:val="left"/>
      <w:pPr>
        <w:ind w:left="6480" w:hanging="360"/>
      </w:pPr>
      <w:rPr>
        <w:rFonts w:ascii="Wingdings" w:hAnsi="Wingdings" w:hint="default"/>
      </w:rPr>
    </w:lvl>
  </w:abstractNum>
  <w:abstractNum w:abstractNumId="6" w15:restartNumberingAfterBreak="0">
    <w:nsid w:val="660F443D"/>
    <w:multiLevelType w:val="hybridMultilevel"/>
    <w:tmpl w:val="FFFFFFFF"/>
    <w:lvl w:ilvl="0" w:tplc="DC2067CA">
      <w:start w:val="4"/>
      <w:numFmt w:val="decimal"/>
      <w:lvlText w:val="%1."/>
      <w:lvlJc w:val="left"/>
      <w:pPr>
        <w:ind w:left="720" w:hanging="360"/>
      </w:pPr>
    </w:lvl>
    <w:lvl w:ilvl="1" w:tplc="1D34BE42">
      <w:start w:val="1"/>
      <w:numFmt w:val="lowerLetter"/>
      <w:lvlText w:val="%2."/>
      <w:lvlJc w:val="left"/>
      <w:pPr>
        <w:ind w:left="1440" w:hanging="360"/>
      </w:pPr>
    </w:lvl>
    <w:lvl w:ilvl="2" w:tplc="8506AB4A">
      <w:start w:val="1"/>
      <w:numFmt w:val="lowerRoman"/>
      <w:lvlText w:val="%3."/>
      <w:lvlJc w:val="right"/>
      <w:pPr>
        <w:ind w:left="2160" w:hanging="180"/>
      </w:pPr>
    </w:lvl>
    <w:lvl w:ilvl="3" w:tplc="C2DAD2E2">
      <w:start w:val="1"/>
      <w:numFmt w:val="decimal"/>
      <w:lvlText w:val="%4."/>
      <w:lvlJc w:val="left"/>
      <w:pPr>
        <w:ind w:left="2880" w:hanging="360"/>
      </w:pPr>
    </w:lvl>
    <w:lvl w:ilvl="4" w:tplc="9DEE48FE">
      <w:start w:val="1"/>
      <w:numFmt w:val="lowerLetter"/>
      <w:lvlText w:val="%5."/>
      <w:lvlJc w:val="left"/>
      <w:pPr>
        <w:ind w:left="3600" w:hanging="360"/>
      </w:pPr>
    </w:lvl>
    <w:lvl w:ilvl="5" w:tplc="9670E0CE">
      <w:start w:val="1"/>
      <w:numFmt w:val="lowerRoman"/>
      <w:lvlText w:val="%6."/>
      <w:lvlJc w:val="right"/>
      <w:pPr>
        <w:ind w:left="4320" w:hanging="180"/>
      </w:pPr>
    </w:lvl>
    <w:lvl w:ilvl="6" w:tplc="D1AC6CBE">
      <w:start w:val="1"/>
      <w:numFmt w:val="decimal"/>
      <w:lvlText w:val="%7."/>
      <w:lvlJc w:val="left"/>
      <w:pPr>
        <w:ind w:left="5040" w:hanging="360"/>
      </w:pPr>
    </w:lvl>
    <w:lvl w:ilvl="7" w:tplc="19065D14">
      <w:start w:val="1"/>
      <w:numFmt w:val="lowerLetter"/>
      <w:lvlText w:val="%8."/>
      <w:lvlJc w:val="left"/>
      <w:pPr>
        <w:ind w:left="5760" w:hanging="360"/>
      </w:pPr>
    </w:lvl>
    <w:lvl w:ilvl="8" w:tplc="4D645DB6">
      <w:start w:val="1"/>
      <w:numFmt w:val="lowerRoman"/>
      <w:lvlText w:val="%9."/>
      <w:lvlJc w:val="right"/>
      <w:pPr>
        <w:ind w:left="6480" w:hanging="180"/>
      </w:pPr>
    </w:lvl>
  </w:abstractNum>
  <w:abstractNum w:abstractNumId="7" w15:restartNumberingAfterBreak="0">
    <w:nsid w:val="68DFFA9A"/>
    <w:multiLevelType w:val="hybridMultilevel"/>
    <w:tmpl w:val="FFFFFFFF"/>
    <w:lvl w:ilvl="0" w:tplc="6BD6827A">
      <w:start w:val="1"/>
      <w:numFmt w:val="bullet"/>
      <w:lvlText w:val=""/>
      <w:lvlJc w:val="left"/>
      <w:pPr>
        <w:ind w:left="720" w:hanging="360"/>
      </w:pPr>
      <w:rPr>
        <w:rFonts w:ascii="Symbol" w:hAnsi="Symbol" w:hint="default"/>
      </w:rPr>
    </w:lvl>
    <w:lvl w:ilvl="1" w:tplc="148A5F34">
      <w:start w:val="1"/>
      <w:numFmt w:val="bullet"/>
      <w:lvlText w:val="o"/>
      <w:lvlJc w:val="left"/>
      <w:pPr>
        <w:ind w:left="1440" w:hanging="360"/>
      </w:pPr>
      <w:rPr>
        <w:rFonts w:ascii="Courier New" w:hAnsi="Courier New" w:hint="default"/>
      </w:rPr>
    </w:lvl>
    <w:lvl w:ilvl="2" w:tplc="B70AA2C4">
      <w:start w:val="1"/>
      <w:numFmt w:val="bullet"/>
      <w:lvlText w:val=""/>
      <w:lvlJc w:val="left"/>
      <w:pPr>
        <w:ind w:left="2160" w:hanging="360"/>
      </w:pPr>
      <w:rPr>
        <w:rFonts w:ascii="Wingdings" w:hAnsi="Wingdings" w:hint="default"/>
      </w:rPr>
    </w:lvl>
    <w:lvl w:ilvl="3" w:tplc="A0BA6F16">
      <w:start w:val="1"/>
      <w:numFmt w:val="bullet"/>
      <w:lvlText w:val=""/>
      <w:lvlJc w:val="left"/>
      <w:pPr>
        <w:ind w:left="2880" w:hanging="360"/>
      </w:pPr>
      <w:rPr>
        <w:rFonts w:ascii="Symbol" w:hAnsi="Symbol" w:hint="default"/>
      </w:rPr>
    </w:lvl>
    <w:lvl w:ilvl="4" w:tplc="08DE9B06">
      <w:start w:val="1"/>
      <w:numFmt w:val="bullet"/>
      <w:lvlText w:val="o"/>
      <w:lvlJc w:val="left"/>
      <w:pPr>
        <w:ind w:left="3600" w:hanging="360"/>
      </w:pPr>
      <w:rPr>
        <w:rFonts w:ascii="Courier New" w:hAnsi="Courier New" w:hint="default"/>
      </w:rPr>
    </w:lvl>
    <w:lvl w:ilvl="5" w:tplc="B2502D62">
      <w:start w:val="1"/>
      <w:numFmt w:val="bullet"/>
      <w:lvlText w:val=""/>
      <w:lvlJc w:val="left"/>
      <w:pPr>
        <w:ind w:left="4320" w:hanging="360"/>
      </w:pPr>
      <w:rPr>
        <w:rFonts w:ascii="Wingdings" w:hAnsi="Wingdings" w:hint="default"/>
      </w:rPr>
    </w:lvl>
    <w:lvl w:ilvl="6" w:tplc="69929C4E">
      <w:start w:val="1"/>
      <w:numFmt w:val="bullet"/>
      <w:lvlText w:val=""/>
      <w:lvlJc w:val="left"/>
      <w:pPr>
        <w:ind w:left="5040" w:hanging="360"/>
      </w:pPr>
      <w:rPr>
        <w:rFonts w:ascii="Symbol" w:hAnsi="Symbol" w:hint="default"/>
      </w:rPr>
    </w:lvl>
    <w:lvl w:ilvl="7" w:tplc="EBACB7F4">
      <w:start w:val="1"/>
      <w:numFmt w:val="bullet"/>
      <w:lvlText w:val="o"/>
      <w:lvlJc w:val="left"/>
      <w:pPr>
        <w:ind w:left="5760" w:hanging="360"/>
      </w:pPr>
      <w:rPr>
        <w:rFonts w:ascii="Courier New" w:hAnsi="Courier New" w:hint="default"/>
      </w:rPr>
    </w:lvl>
    <w:lvl w:ilvl="8" w:tplc="9F10944C">
      <w:start w:val="1"/>
      <w:numFmt w:val="bullet"/>
      <w:lvlText w:val=""/>
      <w:lvlJc w:val="left"/>
      <w:pPr>
        <w:ind w:left="6480" w:hanging="360"/>
      </w:pPr>
      <w:rPr>
        <w:rFonts w:ascii="Wingdings" w:hAnsi="Wingdings" w:hint="default"/>
      </w:rPr>
    </w:lvl>
  </w:abstractNum>
  <w:abstractNum w:abstractNumId="8" w15:restartNumberingAfterBreak="0">
    <w:nsid w:val="6B2677AF"/>
    <w:multiLevelType w:val="hybridMultilevel"/>
    <w:tmpl w:val="FFFFFFFF"/>
    <w:lvl w:ilvl="0" w:tplc="89589A10">
      <w:start w:val="3"/>
      <w:numFmt w:val="decimal"/>
      <w:lvlText w:val="%1."/>
      <w:lvlJc w:val="left"/>
      <w:pPr>
        <w:ind w:left="720" w:hanging="360"/>
      </w:pPr>
    </w:lvl>
    <w:lvl w:ilvl="1" w:tplc="E45AF640">
      <w:start w:val="1"/>
      <w:numFmt w:val="lowerLetter"/>
      <w:lvlText w:val="%2."/>
      <w:lvlJc w:val="left"/>
      <w:pPr>
        <w:ind w:left="1440" w:hanging="360"/>
      </w:pPr>
    </w:lvl>
    <w:lvl w:ilvl="2" w:tplc="907EB78E">
      <w:start w:val="1"/>
      <w:numFmt w:val="lowerRoman"/>
      <w:lvlText w:val="%3."/>
      <w:lvlJc w:val="right"/>
      <w:pPr>
        <w:ind w:left="2160" w:hanging="180"/>
      </w:pPr>
    </w:lvl>
    <w:lvl w:ilvl="3" w:tplc="5F20B538">
      <w:start w:val="1"/>
      <w:numFmt w:val="decimal"/>
      <w:lvlText w:val="%4."/>
      <w:lvlJc w:val="left"/>
      <w:pPr>
        <w:ind w:left="2880" w:hanging="360"/>
      </w:pPr>
    </w:lvl>
    <w:lvl w:ilvl="4" w:tplc="D9BED246">
      <w:start w:val="1"/>
      <w:numFmt w:val="lowerLetter"/>
      <w:lvlText w:val="%5."/>
      <w:lvlJc w:val="left"/>
      <w:pPr>
        <w:ind w:left="3600" w:hanging="360"/>
      </w:pPr>
    </w:lvl>
    <w:lvl w:ilvl="5" w:tplc="73A29670">
      <w:start w:val="1"/>
      <w:numFmt w:val="lowerRoman"/>
      <w:lvlText w:val="%6."/>
      <w:lvlJc w:val="right"/>
      <w:pPr>
        <w:ind w:left="4320" w:hanging="180"/>
      </w:pPr>
    </w:lvl>
    <w:lvl w:ilvl="6" w:tplc="AD96C962">
      <w:start w:val="1"/>
      <w:numFmt w:val="decimal"/>
      <w:lvlText w:val="%7."/>
      <w:lvlJc w:val="left"/>
      <w:pPr>
        <w:ind w:left="5040" w:hanging="360"/>
      </w:pPr>
    </w:lvl>
    <w:lvl w:ilvl="7" w:tplc="3FF06246">
      <w:start w:val="1"/>
      <w:numFmt w:val="lowerLetter"/>
      <w:lvlText w:val="%8."/>
      <w:lvlJc w:val="left"/>
      <w:pPr>
        <w:ind w:left="5760" w:hanging="360"/>
      </w:pPr>
    </w:lvl>
    <w:lvl w:ilvl="8" w:tplc="6CF45DBC">
      <w:start w:val="1"/>
      <w:numFmt w:val="lowerRoman"/>
      <w:lvlText w:val="%9."/>
      <w:lvlJc w:val="right"/>
      <w:pPr>
        <w:ind w:left="6480" w:hanging="180"/>
      </w:pPr>
    </w:lvl>
  </w:abstractNum>
  <w:num w:numId="1" w16cid:durableId="1365709164">
    <w:abstractNumId w:val="0"/>
  </w:num>
  <w:num w:numId="2" w16cid:durableId="2071615035">
    <w:abstractNumId w:val="3"/>
  </w:num>
  <w:num w:numId="3" w16cid:durableId="1928465606">
    <w:abstractNumId w:val="6"/>
  </w:num>
  <w:num w:numId="4" w16cid:durableId="1520503890">
    <w:abstractNumId w:val="8"/>
  </w:num>
  <w:num w:numId="5" w16cid:durableId="1293099323">
    <w:abstractNumId w:val="5"/>
  </w:num>
  <w:num w:numId="6" w16cid:durableId="498279721">
    <w:abstractNumId w:val="2"/>
  </w:num>
  <w:num w:numId="7" w16cid:durableId="1385985236">
    <w:abstractNumId w:val="7"/>
  </w:num>
  <w:num w:numId="8" w16cid:durableId="247615508">
    <w:abstractNumId w:val="4"/>
  </w:num>
  <w:num w:numId="9" w16cid:durableId="12257499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649565"/>
    <w:rsid w:val="001649CE"/>
    <w:rsid w:val="001F169B"/>
    <w:rsid w:val="001F34C2"/>
    <w:rsid w:val="003340BC"/>
    <w:rsid w:val="00BE4721"/>
    <w:rsid w:val="00CD35D0"/>
    <w:rsid w:val="02A9A038"/>
    <w:rsid w:val="02B8380F"/>
    <w:rsid w:val="02F43D1A"/>
    <w:rsid w:val="04457099"/>
    <w:rsid w:val="045DA47C"/>
    <w:rsid w:val="09455046"/>
    <w:rsid w:val="094ACCD4"/>
    <w:rsid w:val="0A6AA3E5"/>
    <w:rsid w:val="0B143283"/>
    <w:rsid w:val="0C50827E"/>
    <w:rsid w:val="0DEC52DF"/>
    <w:rsid w:val="113AEFF4"/>
    <w:rsid w:val="11416F4A"/>
    <w:rsid w:val="137FCADD"/>
    <w:rsid w:val="163DA583"/>
    <w:rsid w:val="16D1FF5A"/>
    <w:rsid w:val="17F12A20"/>
    <w:rsid w:val="1E46E642"/>
    <w:rsid w:val="1EDD113F"/>
    <w:rsid w:val="1F452FAE"/>
    <w:rsid w:val="1F628C7B"/>
    <w:rsid w:val="2054A372"/>
    <w:rsid w:val="2078E1A0"/>
    <w:rsid w:val="21856C43"/>
    <w:rsid w:val="22461039"/>
    <w:rsid w:val="24CB18C1"/>
    <w:rsid w:val="262FDF7E"/>
    <w:rsid w:val="27CBAFDF"/>
    <w:rsid w:val="27F74766"/>
    <w:rsid w:val="28266CAC"/>
    <w:rsid w:val="28D263C9"/>
    <w:rsid w:val="28EB36CC"/>
    <w:rsid w:val="2A0E890F"/>
    <w:rsid w:val="2B18314C"/>
    <w:rsid w:val="2BBB9447"/>
    <w:rsid w:val="2C19576C"/>
    <w:rsid w:val="2D5764A8"/>
    <w:rsid w:val="2EBBC550"/>
    <w:rsid w:val="2EF33509"/>
    <w:rsid w:val="303A1BC9"/>
    <w:rsid w:val="30849C86"/>
    <w:rsid w:val="30969179"/>
    <w:rsid w:val="322AD5CB"/>
    <w:rsid w:val="322AF2E1"/>
    <w:rsid w:val="32E2184C"/>
    <w:rsid w:val="361C800B"/>
    <w:rsid w:val="36A12D3C"/>
    <w:rsid w:val="3A0B847C"/>
    <w:rsid w:val="3A29D5C0"/>
    <w:rsid w:val="3A560B11"/>
    <w:rsid w:val="3AFE0DE7"/>
    <w:rsid w:val="3C038063"/>
    <w:rsid w:val="3C163102"/>
    <w:rsid w:val="3C579E24"/>
    <w:rsid w:val="3D8DABD3"/>
    <w:rsid w:val="3E23E4DA"/>
    <w:rsid w:val="3FF2BD15"/>
    <w:rsid w:val="416E88F3"/>
    <w:rsid w:val="43FF20E6"/>
    <w:rsid w:val="44A629B5"/>
    <w:rsid w:val="44AF1BDA"/>
    <w:rsid w:val="44E92F47"/>
    <w:rsid w:val="4578A628"/>
    <w:rsid w:val="4672F18F"/>
    <w:rsid w:val="47491FFE"/>
    <w:rsid w:val="47AD9DFE"/>
    <w:rsid w:val="4864868F"/>
    <w:rsid w:val="49799AD8"/>
    <w:rsid w:val="498AD5AF"/>
    <w:rsid w:val="49F6DF4E"/>
    <w:rsid w:val="4AFCD937"/>
    <w:rsid w:val="4B9ACF0B"/>
    <w:rsid w:val="4DABBD23"/>
    <w:rsid w:val="4E965908"/>
    <w:rsid w:val="50EC0951"/>
    <w:rsid w:val="517996EC"/>
    <w:rsid w:val="53286AA4"/>
    <w:rsid w:val="53E85F8A"/>
    <w:rsid w:val="56884290"/>
    <w:rsid w:val="580D169E"/>
    <w:rsid w:val="5A4EF5EE"/>
    <w:rsid w:val="5C752795"/>
    <w:rsid w:val="6006EDAC"/>
    <w:rsid w:val="634FC945"/>
    <w:rsid w:val="647354F7"/>
    <w:rsid w:val="64EB99A6"/>
    <w:rsid w:val="650BBD07"/>
    <w:rsid w:val="65391498"/>
    <w:rsid w:val="6539B490"/>
    <w:rsid w:val="6596BCAE"/>
    <w:rsid w:val="65AD0BDF"/>
    <w:rsid w:val="6748DC40"/>
    <w:rsid w:val="68D996D0"/>
    <w:rsid w:val="69526234"/>
    <w:rsid w:val="69DF2E2A"/>
    <w:rsid w:val="6A807D02"/>
    <w:rsid w:val="6B6A7594"/>
    <w:rsid w:val="6C1C4D63"/>
    <w:rsid w:val="6CE94522"/>
    <w:rsid w:val="7050A33D"/>
    <w:rsid w:val="707B7107"/>
    <w:rsid w:val="7169BE4C"/>
    <w:rsid w:val="71EA400F"/>
    <w:rsid w:val="738843FF"/>
    <w:rsid w:val="74275F48"/>
    <w:rsid w:val="75C32FA9"/>
    <w:rsid w:val="7646E5BE"/>
    <w:rsid w:val="76BDB132"/>
    <w:rsid w:val="78598193"/>
    <w:rsid w:val="78649565"/>
    <w:rsid w:val="78E99594"/>
    <w:rsid w:val="7A96A0CC"/>
    <w:rsid w:val="7AAFC929"/>
    <w:rsid w:val="7C99B474"/>
    <w:rsid w:val="7FA3EA8D"/>
    <w:rsid w:val="7FC7D51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49565"/>
  <w15:chartTrackingRefBased/>
  <w15:docId w15:val="{EB52B6CC-9D5E-4A65-AEFE-F2E710ABB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3AFE0DE7"/>
    <w:pPr>
      <w:widowControl w:val="0"/>
      <w:spacing w:after="0" w:line="240" w:lineRule="auto"/>
      <w:jc w:val="both"/>
    </w:pPr>
    <w:rPr>
      <w:rFonts w:ascii="Arial MT" w:eastAsia="Arial MT" w:hAnsi="Arial MT" w:cs="Arial MT"/>
      <w:lang w:val="en-US"/>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pPr>
      <w:spacing w:after="100"/>
    </w:p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link w:val="NoSpacingChar"/>
    <w:uiPriority w:val="1"/>
    <w:qFormat/>
    <w:rsid w:val="003340B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340B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nvestors.agcocorp.com/static-files/3ad6435c-fbea-47b1-bb78-e66ec5926713"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E700A26A0A54228BF88BDE4FFB444B0"/>
        <w:category>
          <w:name w:val="General"/>
          <w:gallery w:val="placeholder"/>
        </w:category>
        <w:types>
          <w:type w:val="bbPlcHdr"/>
        </w:types>
        <w:behaviors>
          <w:behavior w:val="content"/>
        </w:behaviors>
        <w:guid w:val="{13D65C4D-96F3-4A94-B501-0D357B783915}"/>
      </w:docPartPr>
      <w:docPartBody>
        <w:p w:rsidR="00A5431C" w:rsidRDefault="008D0C9A" w:rsidP="008D0C9A">
          <w:pPr>
            <w:pStyle w:val="9E700A26A0A54228BF88BDE4FFB444B0"/>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C9A"/>
    <w:rsid w:val="00286D96"/>
    <w:rsid w:val="008D0C9A"/>
    <w:rsid w:val="00A5431C"/>
    <w:rsid w:val="00E12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700A26A0A54228BF88BDE4FFB444B0">
    <w:name w:val="9E700A26A0A54228BF88BDE4FFB444B0"/>
    <w:rsid w:val="008D0C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F8458-84EF-42ED-8CFD-1018B69C6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3493</Words>
  <Characters>19913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dc:title>
  <dc:subject/>
  <dc:creator>Marina-Georgiana Hogea (2131351)</dc:creator>
  <cp:keywords/>
  <dc:description/>
  <cp:lastModifiedBy>Marina Hogea</cp:lastModifiedBy>
  <cp:revision>3</cp:revision>
  <dcterms:created xsi:type="dcterms:W3CDTF">2024-02-16T06:24:00Z</dcterms:created>
  <dcterms:modified xsi:type="dcterms:W3CDTF">2024-02-16T06:26:00Z</dcterms:modified>
</cp:coreProperties>
</file>