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78CAE" w14:textId="63FD27F5" w:rsidR="00D23C03" w:rsidRPr="00FC5AF5" w:rsidRDefault="00D23C03" w:rsidP="00FC5AF5">
      <w:pPr>
        <w:spacing w:line="360" w:lineRule="auto"/>
        <w:rPr>
          <w:rFonts w:eastAsia="Times New Roman"/>
          <w:b/>
          <w:iCs/>
          <w:sz w:val="24"/>
          <w:szCs w:val="24"/>
          <w:lang w:val="en-GB"/>
        </w:rPr>
      </w:pPr>
      <w:bookmarkStart w:id="0" w:name="_csvuhwvyvwzd" w:colFirst="0" w:colLast="0"/>
      <w:bookmarkEnd w:id="0"/>
      <w:r w:rsidRPr="00FC5AF5">
        <w:rPr>
          <w:rFonts w:eastAsia="Times New Roman"/>
          <w:b/>
          <w:iCs/>
          <w:sz w:val="24"/>
          <w:szCs w:val="24"/>
          <w:lang w:val="en-GB"/>
        </w:rPr>
        <w:t xml:space="preserve">Student’s </w:t>
      </w:r>
      <w:r w:rsidR="00FC5AF5" w:rsidRPr="00FC5AF5">
        <w:rPr>
          <w:rFonts w:eastAsia="Times New Roman"/>
          <w:b/>
          <w:iCs/>
          <w:sz w:val="24"/>
          <w:szCs w:val="24"/>
          <w:lang w:val="en-GB"/>
        </w:rPr>
        <w:t>name: Iulian Vasile Purice</w:t>
      </w:r>
    </w:p>
    <w:p w14:paraId="76BCD064" w14:textId="23647994" w:rsidR="00D23C03" w:rsidRPr="00FC5AF5" w:rsidRDefault="00D23C03" w:rsidP="00FC5AF5">
      <w:pPr>
        <w:spacing w:line="360" w:lineRule="auto"/>
        <w:rPr>
          <w:rFonts w:eastAsia="Times New Roman"/>
          <w:b/>
          <w:iCs/>
          <w:sz w:val="24"/>
          <w:szCs w:val="24"/>
          <w:lang w:val="en-GB"/>
        </w:rPr>
      </w:pPr>
      <w:r w:rsidRPr="00FC5AF5">
        <w:rPr>
          <w:rFonts w:eastAsia="Times New Roman"/>
          <w:b/>
          <w:iCs/>
          <w:sz w:val="24"/>
          <w:szCs w:val="24"/>
          <w:lang w:val="en-GB"/>
        </w:rPr>
        <w:t>Student’s id:</w:t>
      </w:r>
      <w:r w:rsidR="00FC5AF5" w:rsidRPr="00FC5AF5">
        <w:rPr>
          <w:rFonts w:eastAsia="Times New Roman"/>
          <w:b/>
          <w:iCs/>
          <w:sz w:val="24"/>
          <w:szCs w:val="24"/>
          <w:lang w:val="en-GB"/>
        </w:rPr>
        <w:t>1919243</w:t>
      </w:r>
    </w:p>
    <w:p w14:paraId="5E7099FE" w14:textId="77777777" w:rsidR="00A91E0C" w:rsidRPr="00A91E0C" w:rsidRDefault="00A91E0C" w:rsidP="00FC5AF5">
      <w:pPr>
        <w:pStyle w:val="Normal1"/>
        <w:rPr>
          <w:b/>
          <w:bCs/>
          <w:sz w:val="24"/>
          <w:szCs w:val="24"/>
        </w:rPr>
      </w:pPr>
      <w:bookmarkStart w:id="1" w:name="_3gcmdhdjk6n6" w:colFirst="0" w:colLast="0"/>
      <w:bookmarkEnd w:id="1"/>
      <w:r w:rsidRPr="00A91E0C">
        <w:rPr>
          <w:b/>
          <w:bCs/>
          <w:sz w:val="24"/>
          <w:szCs w:val="24"/>
        </w:rPr>
        <w:t xml:space="preserve">Module Coordinator/ Lecturer: Dr John-Paul Okeke </w:t>
      </w:r>
    </w:p>
    <w:p w14:paraId="7DD9A43B" w14:textId="62E3F666" w:rsidR="00FC5AF5" w:rsidRPr="00A91E0C" w:rsidRDefault="00A91E0C" w:rsidP="00A91E0C">
      <w:pPr>
        <w:pStyle w:val="Normal1"/>
        <w:jc w:val="center"/>
        <w:rPr>
          <w:b/>
          <w:bCs/>
          <w:sz w:val="24"/>
          <w:szCs w:val="24"/>
          <w:lang w:val="en-GB"/>
        </w:rPr>
      </w:pPr>
      <w:r w:rsidRPr="00A91E0C">
        <w:rPr>
          <w:b/>
          <w:bCs/>
          <w:sz w:val="24"/>
          <w:szCs w:val="24"/>
        </w:rPr>
        <w:t>Dr Hossein Shokri - GP1&amp;2</w:t>
      </w:r>
    </w:p>
    <w:p w14:paraId="1E80E65D" w14:textId="52124112" w:rsidR="00FC5AF5" w:rsidRPr="00A91E0C" w:rsidRDefault="00FC5AF5" w:rsidP="00A91E0C">
      <w:pPr>
        <w:pStyle w:val="Normal1"/>
        <w:jc w:val="center"/>
        <w:rPr>
          <w:b/>
          <w:bCs/>
          <w:sz w:val="24"/>
          <w:szCs w:val="24"/>
          <w:lang w:val="en-GB"/>
        </w:rPr>
      </w:pPr>
    </w:p>
    <w:p w14:paraId="21572DBA" w14:textId="2881F869" w:rsidR="00FC5AF5" w:rsidRPr="00A91E0C" w:rsidRDefault="00FC5AF5" w:rsidP="00FC5AF5">
      <w:pPr>
        <w:pStyle w:val="Normal1"/>
        <w:rPr>
          <w:b/>
          <w:bCs/>
          <w:sz w:val="24"/>
          <w:szCs w:val="24"/>
          <w:lang w:val="en-GB"/>
        </w:rPr>
      </w:pPr>
    </w:p>
    <w:p w14:paraId="1D23A4B2" w14:textId="7B71FE40" w:rsidR="00FC5AF5" w:rsidRPr="00A91E0C" w:rsidRDefault="00FC5AF5" w:rsidP="00FC5AF5">
      <w:pPr>
        <w:pStyle w:val="Normal1"/>
        <w:rPr>
          <w:b/>
          <w:bCs/>
          <w:sz w:val="24"/>
          <w:szCs w:val="24"/>
          <w:lang w:val="en-GB"/>
        </w:rPr>
      </w:pPr>
    </w:p>
    <w:p w14:paraId="5F33E94A" w14:textId="6589A874" w:rsidR="00FC5AF5" w:rsidRDefault="00FC5AF5" w:rsidP="00FC5AF5">
      <w:pPr>
        <w:pStyle w:val="Normal1"/>
        <w:rPr>
          <w:lang w:val="en-GB"/>
        </w:rPr>
      </w:pPr>
    </w:p>
    <w:p w14:paraId="6D104B8C" w14:textId="252F18CC" w:rsidR="00FC5AF5" w:rsidRDefault="00FC5AF5" w:rsidP="00FC5AF5">
      <w:pPr>
        <w:pStyle w:val="Normal1"/>
        <w:rPr>
          <w:lang w:val="en-GB"/>
        </w:rPr>
      </w:pPr>
    </w:p>
    <w:p w14:paraId="1AD702FC" w14:textId="459A2BDA" w:rsidR="00FC5AF5" w:rsidRDefault="00FC5AF5" w:rsidP="00FC5AF5">
      <w:pPr>
        <w:pStyle w:val="Normal1"/>
        <w:rPr>
          <w:lang w:val="en-GB"/>
        </w:rPr>
      </w:pPr>
    </w:p>
    <w:p w14:paraId="46912DC6" w14:textId="77777777" w:rsidR="00FC5AF5" w:rsidRDefault="00FC5AF5" w:rsidP="00FC5AF5">
      <w:pPr>
        <w:pStyle w:val="Normal1"/>
        <w:rPr>
          <w:lang w:val="en-GB"/>
        </w:rPr>
      </w:pPr>
    </w:p>
    <w:p w14:paraId="0AAC15B0" w14:textId="06C8BFBB" w:rsidR="00FC5AF5" w:rsidRDefault="00FC5AF5" w:rsidP="00FC5AF5">
      <w:pPr>
        <w:pStyle w:val="Normal1"/>
        <w:rPr>
          <w:lang w:val="en-GB"/>
        </w:rPr>
      </w:pPr>
    </w:p>
    <w:p w14:paraId="5E7024A6" w14:textId="0F3AEB98" w:rsidR="00FC5AF5" w:rsidRDefault="00FC5AF5" w:rsidP="00FC5AF5">
      <w:pPr>
        <w:pStyle w:val="Normal1"/>
        <w:rPr>
          <w:lang w:val="en-GB"/>
        </w:rPr>
      </w:pPr>
    </w:p>
    <w:p w14:paraId="626CE049" w14:textId="05E547F6" w:rsidR="00FC5AF5" w:rsidRDefault="00FC5AF5" w:rsidP="00FC5AF5">
      <w:pPr>
        <w:pStyle w:val="Normal1"/>
        <w:rPr>
          <w:lang w:val="en-GB"/>
        </w:rPr>
      </w:pPr>
    </w:p>
    <w:p w14:paraId="48064A03" w14:textId="34521DEC" w:rsidR="00FC5AF5" w:rsidRDefault="00FC5AF5" w:rsidP="00FC5AF5">
      <w:pPr>
        <w:pStyle w:val="Normal1"/>
        <w:rPr>
          <w:lang w:val="en-GB"/>
        </w:rPr>
      </w:pPr>
    </w:p>
    <w:p w14:paraId="4D52AF7D" w14:textId="77777777" w:rsidR="00FC5AF5" w:rsidRPr="00FC5AF5" w:rsidRDefault="00FC5AF5" w:rsidP="00FC5AF5">
      <w:pPr>
        <w:pStyle w:val="Normal1"/>
        <w:rPr>
          <w:sz w:val="40"/>
          <w:szCs w:val="40"/>
          <w:lang w:val="en-GB"/>
        </w:rPr>
      </w:pPr>
    </w:p>
    <w:p w14:paraId="26D83B7B" w14:textId="502DD1E4" w:rsidR="0092497A" w:rsidRPr="00FC5AF5" w:rsidRDefault="00FC5AF5" w:rsidP="00FC5AF5">
      <w:pPr>
        <w:pStyle w:val="Title"/>
        <w:spacing w:line="360" w:lineRule="auto"/>
        <w:jc w:val="center"/>
        <w:rPr>
          <w:rFonts w:eastAsia="Times New Roman"/>
          <w:b/>
          <w:sz w:val="40"/>
          <w:szCs w:val="40"/>
          <w:lang w:val="en-GB"/>
        </w:rPr>
      </w:pPr>
      <w:bookmarkStart w:id="2" w:name="_h0aygt65m60s" w:colFirst="0" w:colLast="0"/>
      <w:bookmarkStart w:id="3" w:name="_gumbb6uc55ga" w:colFirst="0" w:colLast="0"/>
      <w:bookmarkEnd w:id="2"/>
      <w:bookmarkEnd w:id="3"/>
      <w:r w:rsidRPr="00FC5AF5">
        <w:rPr>
          <w:b/>
          <w:bCs/>
          <w:sz w:val="40"/>
          <w:szCs w:val="40"/>
        </w:rPr>
        <w:t xml:space="preserve">Module </w:t>
      </w:r>
      <w:r w:rsidRPr="00FC5AF5">
        <w:rPr>
          <w:b/>
          <w:bCs/>
          <w:sz w:val="40"/>
          <w:szCs w:val="40"/>
        </w:rPr>
        <w:t>code</w:t>
      </w:r>
      <w:r w:rsidRPr="00FC5AF5">
        <w:rPr>
          <w:sz w:val="40"/>
          <w:szCs w:val="40"/>
        </w:rPr>
        <w:t>:</w:t>
      </w:r>
      <w:r w:rsidRPr="00FC5AF5">
        <w:rPr>
          <w:rFonts w:eastAsia="Times New Roman"/>
          <w:b/>
          <w:sz w:val="40"/>
          <w:szCs w:val="40"/>
          <w:lang w:val="en-GB"/>
        </w:rPr>
        <w:t xml:space="preserve"> LCBB</w:t>
      </w:r>
      <w:r w:rsidR="00D23C03" w:rsidRPr="00FC5AF5">
        <w:rPr>
          <w:rFonts w:eastAsia="Times New Roman"/>
          <w:b/>
          <w:sz w:val="40"/>
          <w:szCs w:val="40"/>
          <w:lang w:val="en-GB"/>
        </w:rPr>
        <w:t>6004</w:t>
      </w:r>
      <w:bookmarkStart w:id="4" w:name="_tn3knw3a68ny" w:colFirst="0" w:colLast="0"/>
      <w:bookmarkEnd w:id="4"/>
    </w:p>
    <w:p w14:paraId="26D83B7D" w14:textId="77777777" w:rsidR="0092497A" w:rsidRPr="00FC5AF5" w:rsidRDefault="0092497A" w:rsidP="00FC5AF5">
      <w:pPr>
        <w:pStyle w:val="Title"/>
        <w:spacing w:line="360" w:lineRule="auto"/>
        <w:rPr>
          <w:rFonts w:ascii="Times New Roman" w:eastAsia="Times New Roman" w:hAnsi="Times New Roman" w:cs="Times New Roman"/>
          <w:b/>
          <w:sz w:val="40"/>
          <w:szCs w:val="40"/>
          <w:lang w:val="en-GB"/>
        </w:rPr>
      </w:pPr>
      <w:bookmarkStart w:id="5" w:name="_wq3sox3stgzd" w:colFirst="0" w:colLast="0"/>
      <w:bookmarkStart w:id="6" w:name="_uk4zk6uuel07" w:colFirst="0" w:colLast="0"/>
      <w:bookmarkEnd w:id="5"/>
      <w:bookmarkEnd w:id="6"/>
    </w:p>
    <w:p w14:paraId="2BB2357A" w14:textId="76ADBD9D" w:rsidR="00D23C03" w:rsidRPr="00FC5AF5" w:rsidRDefault="0013558E" w:rsidP="00E02B28">
      <w:pPr>
        <w:pStyle w:val="Title"/>
        <w:spacing w:line="360" w:lineRule="auto"/>
        <w:jc w:val="center"/>
        <w:rPr>
          <w:rFonts w:eastAsia="Times New Roman"/>
          <w:b/>
          <w:sz w:val="40"/>
          <w:szCs w:val="40"/>
          <w:u w:val="single"/>
          <w:lang w:val="en-GB"/>
        </w:rPr>
      </w:pPr>
      <w:bookmarkStart w:id="7" w:name="_1vbwmw8valsi" w:colFirst="0" w:colLast="0"/>
      <w:bookmarkEnd w:id="7"/>
      <w:r w:rsidRPr="00FC5AF5">
        <w:rPr>
          <w:rFonts w:eastAsia="Times New Roman"/>
          <w:b/>
          <w:sz w:val="40"/>
          <w:szCs w:val="40"/>
          <w:u w:val="single"/>
          <w:lang w:val="en-GB"/>
        </w:rPr>
        <w:t>Strategic Management and</w:t>
      </w:r>
      <w:bookmarkStart w:id="8" w:name="_pity6oym52da" w:colFirst="0" w:colLast="0"/>
      <w:bookmarkEnd w:id="8"/>
      <w:r w:rsidR="00E02B28" w:rsidRPr="00FC5AF5">
        <w:rPr>
          <w:rFonts w:eastAsia="Times New Roman"/>
          <w:b/>
          <w:sz w:val="40"/>
          <w:szCs w:val="40"/>
          <w:u w:val="single"/>
          <w:lang w:val="en-GB"/>
        </w:rPr>
        <w:t xml:space="preserve"> </w:t>
      </w:r>
      <w:r w:rsidRPr="00FC5AF5">
        <w:rPr>
          <w:rFonts w:eastAsia="Times New Roman"/>
          <w:b/>
          <w:sz w:val="40"/>
          <w:szCs w:val="40"/>
          <w:u w:val="single"/>
          <w:lang w:val="en-GB"/>
        </w:rPr>
        <w:t xml:space="preserve">Sustainability </w:t>
      </w:r>
    </w:p>
    <w:p w14:paraId="26D83B7E" w14:textId="76F4E2EA" w:rsidR="005D3E05" w:rsidRPr="00FC5AF5" w:rsidRDefault="0013558E" w:rsidP="00E02B28">
      <w:pPr>
        <w:pStyle w:val="Title"/>
        <w:spacing w:line="360" w:lineRule="auto"/>
        <w:jc w:val="center"/>
        <w:rPr>
          <w:rFonts w:eastAsia="Times New Roman"/>
          <w:b/>
          <w:sz w:val="40"/>
          <w:szCs w:val="40"/>
          <w:u w:val="single"/>
          <w:lang w:val="en-GB"/>
        </w:rPr>
      </w:pPr>
      <w:r w:rsidRPr="00FC5AF5">
        <w:rPr>
          <w:rFonts w:eastAsia="Times New Roman"/>
          <w:b/>
          <w:sz w:val="40"/>
          <w:szCs w:val="40"/>
          <w:u w:val="single"/>
          <w:lang w:val="en-GB"/>
        </w:rPr>
        <w:t>Assessment 1</w:t>
      </w:r>
    </w:p>
    <w:p w14:paraId="26D83B83" w14:textId="77777777" w:rsidR="0092497A" w:rsidRPr="00027064" w:rsidRDefault="0013558E" w:rsidP="005D3E05">
      <w:pPr>
        <w:pStyle w:val="Title"/>
        <w:spacing w:line="360" w:lineRule="auto"/>
        <w:jc w:val="center"/>
        <w:rPr>
          <w:rFonts w:ascii="Times New Roman" w:eastAsia="Times New Roman" w:hAnsi="Times New Roman" w:cs="Times New Roman"/>
          <w:b/>
          <w:sz w:val="36"/>
          <w:szCs w:val="36"/>
          <w:lang w:val="en-GB"/>
        </w:rPr>
      </w:pPr>
      <w:r w:rsidRPr="00027064">
        <w:rPr>
          <w:lang w:val="en-GB"/>
        </w:rPr>
        <w:br w:type="page"/>
      </w:r>
    </w:p>
    <w:p w14:paraId="26D83B84" w14:textId="77777777" w:rsidR="0092497A" w:rsidRPr="00D23C03" w:rsidRDefault="00027064" w:rsidP="005D3E05">
      <w:pPr>
        <w:pStyle w:val="Heading1"/>
        <w:rPr>
          <w:rFonts w:ascii="Arial" w:hAnsi="Arial" w:cs="Arial"/>
        </w:rPr>
      </w:pPr>
      <w:r w:rsidRPr="00D23C03">
        <w:rPr>
          <w:rFonts w:ascii="Arial" w:hAnsi="Arial" w:cs="Arial"/>
        </w:rPr>
        <w:lastRenderedPageBreak/>
        <w:t>Introduction</w:t>
      </w:r>
    </w:p>
    <w:p w14:paraId="26D83B85"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 xml:space="preserve">As opined by </w:t>
      </w:r>
      <w:r w:rsidRPr="00D23C03">
        <w:rPr>
          <w:rFonts w:eastAsia="Times New Roman"/>
          <w:color w:val="222222"/>
          <w:sz w:val="24"/>
          <w:szCs w:val="24"/>
          <w:highlight w:val="white"/>
          <w:lang w:val="en-GB"/>
        </w:rPr>
        <w:t xml:space="preserve">Grover </w:t>
      </w:r>
      <w:r w:rsidRPr="00D23C03">
        <w:rPr>
          <w:rFonts w:eastAsia="Times New Roman"/>
          <w:i/>
          <w:color w:val="222222"/>
          <w:sz w:val="24"/>
          <w:szCs w:val="24"/>
          <w:highlight w:val="white"/>
          <w:lang w:val="en-GB"/>
        </w:rPr>
        <w:t>et al</w:t>
      </w:r>
      <w:r w:rsidRPr="00D23C03">
        <w:rPr>
          <w:rFonts w:eastAsia="Times New Roman"/>
          <w:color w:val="222222"/>
          <w:sz w:val="24"/>
          <w:szCs w:val="24"/>
          <w:highlight w:val="white"/>
          <w:lang w:val="en-GB"/>
        </w:rPr>
        <w:t xml:space="preserve">., (2018, p. 392), </w:t>
      </w:r>
      <w:r w:rsidRPr="00D23C03">
        <w:rPr>
          <w:rFonts w:eastAsia="Times New Roman"/>
          <w:sz w:val="24"/>
          <w:szCs w:val="24"/>
          <w:lang w:val="en-GB"/>
        </w:rPr>
        <w:t>strategic management relates to the process of setting goals, objectives as well as procedures to make an organization more competitive in its performance. Strategic management entails analysis of the company's internal processes, resource availability and internal capacities to determine its process of advancement. Sustainability has been a governing aspect in the contemporary business environment and substantial changes in corporate strategy are required for optimal operations of the business (</w:t>
      </w:r>
      <w:proofErr w:type="spellStart"/>
      <w:r w:rsidRPr="00D23C03">
        <w:rPr>
          <w:rFonts w:eastAsia="Times New Roman"/>
          <w:color w:val="222222"/>
          <w:sz w:val="24"/>
          <w:szCs w:val="24"/>
          <w:highlight w:val="white"/>
          <w:lang w:val="en-GB"/>
        </w:rPr>
        <w:t>Haessler</w:t>
      </w:r>
      <w:proofErr w:type="spellEnd"/>
      <w:r w:rsidRPr="00D23C03">
        <w:rPr>
          <w:rFonts w:eastAsia="Times New Roman"/>
          <w:color w:val="222222"/>
          <w:sz w:val="24"/>
          <w:szCs w:val="24"/>
          <w:highlight w:val="white"/>
          <w:lang w:val="en-GB"/>
        </w:rPr>
        <w:t>, 2020, p. 63</w:t>
      </w:r>
      <w:r w:rsidRPr="00D23C03">
        <w:rPr>
          <w:rFonts w:eastAsia="Times New Roman"/>
          <w:sz w:val="24"/>
          <w:szCs w:val="24"/>
          <w:lang w:val="en-GB"/>
        </w:rPr>
        <w:t>). Extending on the same view the current essay intends to discuss the various aspects related to the Volkswagen case study by analysing its past performances and making appropriate recommendations for future improvement.</w:t>
      </w:r>
    </w:p>
    <w:p w14:paraId="26D83B86" w14:textId="77777777" w:rsidR="0092497A" w:rsidRPr="00D23C03" w:rsidRDefault="00027064" w:rsidP="005D3E05">
      <w:pPr>
        <w:pStyle w:val="Heading1"/>
        <w:rPr>
          <w:rFonts w:ascii="Arial" w:hAnsi="Arial" w:cs="Arial"/>
          <w:i/>
        </w:rPr>
      </w:pPr>
      <w:r w:rsidRPr="00D23C03">
        <w:rPr>
          <w:rFonts w:ascii="Arial" w:hAnsi="Arial" w:cs="Arial"/>
          <w:i/>
        </w:rPr>
        <w:t>Overview of the case study</w:t>
      </w:r>
    </w:p>
    <w:p w14:paraId="26D83B87" w14:textId="2F61DF55"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 xml:space="preserve">The case study centres </w:t>
      </w:r>
      <w:r w:rsidR="00027064" w:rsidRPr="00D23C03">
        <w:rPr>
          <w:rFonts w:eastAsia="Times New Roman"/>
          <w:sz w:val="24"/>
          <w:szCs w:val="24"/>
          <w:lang w:val="en-GB"/>
        </w:rPr>
        <w:t>on</w:t>
      </w:r>
      <w:r w:rsidRPr="00D23C03">
        <w:rPr>
          <w:rFonts w:eastAsia="Times New Roman"/>
          <w:sz w:val="24"/>
          <w:szCs w:val="24"/>
          <w:lang w:val="en-GB"/>
        </w:rPr>
        <w:t xml:space="preserve"> the operational failures currently being experienced by VW in its functionality in England. The company had to relent £193m to several drivers in England and Wales due to its loss in a claim against establishing emission cheat devices in its vehicles. The company failed to maintain the appropriate standards of nitrogen dioxide </w:t>
      </w:r>
      <w:r w:rsidR="00027064" w:rsidRPr="00D23C03">
        <w:rPr>
          <w:rFonts w:eastAsia="Times New Roman"/>
          <w:sz w:val="24"/>
          <w:szCs w:val="24"/>
          <w:lang w:val="en-GB"/>
        </w:rPr>
        <w:t>emissions;</w:t>
      </w:r>
      <w:r w:rsidRPr="00D23C03">
        <w:rPr>
          <w:rFonts w:eastAsia="Times New Roman"/>
          <w:sz w:val="24"/>
          <w:szCs w:val="24"/>
          <w:lang w:val="en-GB"/>
        </w:rPr>
        <w:t xml:space="preserve"> consequently, it implemented false measures to overcome the pollution standards. For instance, the sustainability ratings of its vehicles were faked which violates the consumers' code of trust, based on this allegation the company faced trials in the High Court and was forced to pay the claimants (BBC, </w:t>
      </w:r>
      <w:r w:rsidR="00FC5AF5" w:rsidRPr="00D23C03">
        <w:rPr>
          <w:rFonts w:eastAsia="Times New Roman"/>
          <w:sz w:val="24"/>
          <w:szCs w:val="24"/>
          <w:lang w:val="en-GB"/>
        </w:rPr>
        <w:t>2022)</w:t>
      </w:r>
      <w:r w:rsidRPr="00D23C03">
        <w:rPr>
          <w:rFonts w:eastAsia="Times New Roman"/>
          <w:sz w:val="24"/>
          <w:szCs w:val="24"/>
          <w:lang w:val="en-GB"/>
        </w:rPr>
        <w:t>.</w:t>
      </w:r>
    </w:p>
    <w:p w14:paraId="26D83B88" w14:textId="77777777" w:rsidR="0092497A" w:rsidRPr="00D23C03" w:rsidRDefault="00027064" w:rsidP="005D3E05">
      <w:pPr>
        <w:pStyle w:val="Heading1"/>
        <w:rPr>
          <w:rFonts w:ascii="Arial" w:hAnsi="Arial" w:cs="Arial"/>
        </w:rPr>
      </w:pPr>
      <w:r w:rsidRPr="00D23C03">
        <w:rPr>
          <w:rFonts w:ascii="Arial" w:hAnsi="Arial" w:cs="Arial"/>
        </w:rPr>
        <w:t>Discussion</w:t>
      </w:r>
    </w:p>
    <w:p w14:paraId="26D83B89" w14:textId="77777777" w:rsidR="0092497A" w:rsidRPr="00D23C03" w:rsidRDefault="0013558E" w:rsidP="005D3E05">
      <w:pPr>
        <w:pStyle w:val="Normal1"/>
        <w:spacing w:line="360" w:lineRule="auto"/>
        <w:jc w:val="both"/>
        <w:rPr>
          <w:rFonts w:eastAsia="Times New Roman"/>
          <w:b/>
          <w:sz w:val="24"/>
          <w:szCs w:val="24"/>
          <w:lang w:val="en-GB"/>
        </w:rPr>
      </w:pPr>
      <w:r w:rsidRPr="00D23C03">
        <w:rPr>
          <w:rFonts w:eastAsia="Times New Roman"/>
          <w:b/>
          <w:sz w:val="24"/>
          <w:szCs w:val="24"/>
          <w:lang w:val="en-GB"/>
        </w:rPr>
        <w:t xml:space="preserve">Key business strategies used by VW over the past five years </w:t>
      </w:r>
      <w:proofErr w:type="gramStart"/>
      <w:r w:rsidRPr="00D23C03">
        <w:rPr>
          <w:rFonts w:eastAsia="Times New Roman"/>
          <w:b/>
          <w:sz w:val="24"/>
          <w:szCs w:val="24"/>
          <w:lang w:val="en-GB"/>
        </w:rPr>
        <w:t>through the use of</w:t>
      </w:r>
      <w:proofErr w:type="gramEnd"/>
      <w:r w:rsidRPr="00D23C03">
        <w:rPr>
          <w:rFonts w:eastAsia="Times New Roman"/>
          <w:b/>
          <w:sz w:val="24"/>
          <w:szCs w:val="24"/>
          <w:lang w:val="en-GB"/>
        </w:rPr>
        <w:t xml:space="preserve"> relevant frameworks to explain and justify its use </w:t>
      </w:r>
    </w:p>
    <w:p w14:paraId="26D83B8A"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 xml:space="preserve">Volkswagen's strategic venture in the past five years relied on the sustainability aspect of business development which is </w:t>
      </w:r>
      <w:r w:rsidR="00027064" w:rsidRPr="00D23C03">
        <w:rPr>
          <w:rFonts w:eastAsia="Times New Roman"/>
          <w:sz w:val="24"/>
          <w:szCs w:val="24"/>
          <w:lang w:val="en-GB"/>
        </w:rPr>
        <w:t>fuelled</w:t>
      </w:r>
      <w:r w:rsidRPr="00D23C03">
        <w:rPr>
          <w:rFonts w:eastAsia="Times New Roman"/>
          <w:sz w:val="24"/>
          <w:szCs w:val="24"/>
          <w:lang w:val="en-GB"/>
        </w:rPr>
        <w:t xml:space="preserve"> by transitions from conventional combustion engine models to zero-emissions electric cars</w:t>
      </w:r>
      <w:r w:rsidR="005D3E05" w:rsidRPr="00D23C03">
        <w:rPr>
          <w:rFonts w:eastAsia="Times New Roman"/>
          <w:sz w:val="24"/>
          <w:szCs w:val="24"/>
          <w:lang w:val="en-GB"/>
        </w:rPr>
        <w:t>,</w:t>
      </w:r>
      <w:r w:rsidRPr="00D23C03">
        <w:rPr>
          <w:rFonts w:eastAsia="Times New Roman"/>
          <w:sz w:val="24"/>
          <w:szCs w:val="24"/>
          <w:lang w:val="en-GB"/>
        </w:rPr>
        <w:t xml:space="preserve"> (Strategy, 2022). However, in the race to gain a competitive advantage in the sector the company has undergone several strategic alterations and sometimes at the expense of quality. In the following sections, the various strategies in use by Volkswagen over the past years are to be examined using strategic tools of business analysis.</w:t>
      </w:r>
    </w:p>
    <w:p w14:paraId="26D83B8B" w14:textId="77777777" w:rsidR="0092497A" w:rsidRPr="00D23C03" w:rsidRDefault="0013558E" w:rsidP="005D3E05">
      <w:pPr>
        <w:pStyle w:val="Normal1"/>
        <w:spacing w:line="360" w:lineRule="auto"/>
        <w:jc w:val="both"/>
        <w:rPr>
          <w:rFonts w:eastAsia="Times New Roman"/>
          <w:b/>
          <w:i/>
          <w:color w:val="202124"/>
          <w:sz w:val="24"/>
          <w:szCs w:val="24"/>
          <w:highlight w:val="white"/>
          <w:lang w:val="en-GB"/>
        </w:rPr>
      </w:pPr>
      <w:r w:rsidRPr="00D23C03">
        <w:rPr>
          <w:rFonts w:eastAsia="Times New Roman"/>
          <w:b/>
          <w:i/>
          <w:color w:val="202124"/>
          <w:sz w:val="24"/>
          <w:szCs w:val="24"/>
          <w:highlight w:val="white"/>
          <w:lang w:val="en-GB"/>
        </w:rPr>
        <w:t>Ansoff Matrix</w:t>
      </w:r>
    </w:p>
    <w:p w14:paraId="26D83B8C" w14:textId="77777777" w:rsidR="0092497A" w:rsidRPr="00D23C03" w:rsidRDefault="0013558E" w:rsidP="005D3E05">
      <w:pPr>
        <w:pStyle w:val="Normal1"/>
        <w:spacing w:line="360" w:lineRule="auto"/>
        <w:jc w:val="both"/>
        <w:rPr>
          <w:rFonts w:eastAsia="Times New Roman"/>
          <w:color w:val="202124"/>
          <w:sz w:val="24"/>
          <w:szCs w:val="24"/>
          <w:highlight w:val="white"/>
          <w:lang w:val="en-GB"/>
        </w:rPr>
      </w:pPr>
      <w:r w:rsidRPr="00D23C03">
        <w:rPr>
          <w:rFonts w:eastAsia="Times New Roman"/>
          <w:color w:val="202124"/>
          <w:sz w:val="24"/>
          <w:szCs w:val="24"/>
          <w:highlight w:val="white"/>
          <w:lang w:val="en-GB"/>
        </w:rPr>
        <w:t xml:space="preserve">The company had set a corporate-wide strategy in 2018 which envisaged </w:t>
      </w:r>
      <w:r w:rsidR="00271069" w:rsidRPr="00D23C03">
        <w:rPr>
          <w:rFonts w:eastAsia="Times New Roman"/>
          <w:color w:val="202124"/>
          <w:sz w:val="24"/>
          <w:szCs w:val="24"/>
          <w:highlight w:val="white"/>
          <w:lang w:val="en-GB"/>
        </w:rPr>
        <w:t>making</w:t>
      </w:r>
      <w:r w:rsidRPr="00D23C03">
        <w:rPr>
          <w:rFonts w:eastAsia="Times New Roman"/>
          <w:color w:val="202124"/>
          <w:sz w:val="24"/>
          <w:szCs w:val="24"/>
          <w:highlight w:val="white"/>
          <w:lang w:val="en-GB"/>
        </w:rPr>
        <w:t xml:space="preserve"> the company the most in-demand and fascinating vehicle in 2018. In order to achieve this </w:t>
      </w:r>
      <w:proofErr w:type="gramStart"/>
      <w:r w:rsidRPr="00D23C03">
        <w:rPr>
          <w:rFonts w:eastAsia="Times New Roman"/>
          <w:color w:val="202124"/>
          <w:sz w:val="24"/>
          <w:szCs w:val="24"/>
          <w:highlight w:val="white"/>
          <w:lang w:val="en-GB"/>
        </w:rPr>
        <w:lastRenderedPageBreak/>
        <w:t>objective</w:t>
      </w:r>
      <w:proofErr w:type="gramEnd"/>
      <w:r w:rsidRPr="00D23C03">
        <w:rPr>
          <w:rFonts w:eastAsia="Times New Roman"/>
          <w:color w:val="202124"/>
          <w:sz w:val="24"/>
          <w:szCs w:val="24"/>
          <w:highlight w:val="white"/>
          <w:lang w:val="en-GB"/>
        </w:rPr>
        <w:t xml:space="preserve"> the company put forward innovations and technologies as strategic tools in its agenda. Consequently, the company tapped into the resource capability of </w:t>
      </w:r>
      <w:r w:rsidR="00271069" w:rsidRPr="00D23C03">
        <w:rPr>
          <w:rFonts w:eastAsia="Times New Roman"/>
          <w:color w:val="202124"/>
          <w:sz w:val="24"/>
          <w:szCs w:val="24"/>
          <w:highlight w:val="white"/>
          <w:lang w:val="en-GB"/>
        </w:rPr>
        <w:t>big</w:t>
      </w:r>
      <w:r w:rsidRPr="00D23C03">
        <w:rPr>
          <w:rFonts w:eastAsia="Times New Roman"/>
          <w:color w:val="202124"/>
          <w:sz w:val="24"/>
          <w:szCs w:val="24"/>
          <w:highlight w:val="white"/>
          <w:lang w:val="en-GB"/>
        </w:rPr>
        <w:t xml:space="preserve"> data to broadly define its opportunities for growth and success. The analysis of this roadmap of VW is to be made against the strategic dimensions covered under the Ansoff matrix. The Ansoff matrix entails four distinct directions related to market development, market penetration, product diversification and development</w:t>
      </w:r>
      <w:r w:rsidR="005D3E05" w:rsidRPr="00D23C03">
        <w:rPr>
          <w:rFonts w:eastAsia="Times New Roman"/>
          <w:color w:val="202124"/>
          <w:sz w:val="24"/>
          <w:szCs w:val="24"/>
          <w:highlight w:val="white"/>
          <w:lang w:val="en-GB"/>
        </w:rPr>
        <w:t>,</w:t>
      </w:r>
      <w:r w:rsidRPr="00D23C03">
        <w:rPr>
          <w:rFonts w:eastAsia="Times New Roman"/>
          <w:color w:val="202124"/>
          <w:sz w:val="24"/>
          <w:szCs w:val="24"/>
          <w:highlight w:val="white"/>
          <w:lang w:val="en-GB"/>
        </w:rPr>
        <w:t xml:space="preserve"> (</w:t>
      </w:r>
      <w:r w:rsidRPr="00D23C03">
        <w:rPr>
          <w:rFonts w:eastAsia="Times New Roman"/>
          <w:color w:val="222222"/>
          <w:sz w:val="24"/>
          <w:szCs w:val="24"/>
          <w:highlight w:val="white"/>
          <w:lang w:val="en-GB"/>
        </w:rPr>
        <w:t xml:space="preserve">Liu </w:t>
      </w:r>
      <w:r w:rsidRPr="00D23C03">
        <w:rPr>
          <w:rFonts w:eastAsia="Times New Roman"/>
          <w:i/>
          <w:color w:val="222222"/>
          <w:sz w:val="24"/>
          <w:szCs w:val="24"/>
          <w:highlight w:val="white"/>
          <w:lang w:val="en-GB"/>
        </w:rPr>
        <w:t>et al</w:t>
      </w:r>
      <w:r w:rsidRPr="00D23C03">
        <w:rPr>
          <w:rFonts w:eastAsia="Times New Roman"/>
          <w:color w:val="222222"/>
          <w:sz w:val="24"/>
          <w:szCs w:val="24"/>
          <w:highlight w:val="white"/>
          <w:lang w:val="en-GB"/>
        </w:rPr>
        <w:t>., 2018, p. 513</w:t>
      </w:r>
      <w:r w:rsidRPr="00D23C03">
        <w:rPr>
          <w:rFonts w:eastAsia="Times New Roman"/>
          <w:color w:val="202124"/>
          <w:sz w:val="24"/>
          <w:szCs w:val="24"/>
          <w:highlight w:val="white"/>
          <w:lang w:val="en-GB"/>
        </w:rPr>
        <w:t xml:space="preserve">). The strategic venture of the company in the past five years has been motivated by the dimensions of </w:t>
      </w:r>
      <w:r w:rsidRPr="00D23C03">
        <w:rPr>
          <w:rFonts w:eastAsia="Times New Roman"/>
          <w:i/>
          <w:color w:val="202124"/>
          <w:sz w:val="24"/>
          <w:szCs w:val="24"/>
          <w:highlight w:val="white"/>
          <w:lang w:val="en-GB"/>
        </w:rPr>
        <w:t>market penetration</w:t>
      </w:r>
      <w:r w:rsidRPr="00D23C03">
        <w:rPr>
          <w:rFonts w:eastAsia="Times New Roman"/>
          <w:color w:val="202124"/>
          <w:sz w:val="24"/>
          <w:szCs w:val="24"/>
          <w:highlight w:val="white"/>
          <w:lang w:val="en-GB"/>
        </w:rPr>
        <w:t xml:space="preserve"> and </w:t>
      </w:r>
      <w:r w:rsidRPr="00D23C03">
        <w:rPr>
          <w:rFonts w:eastAsia="Times New Roman"/>
          <w:i/>
          <w:color w:val="202124"/>
          <w:sz w:val="24"/>
          <w:szCs w:val="24"/>
          <w:highlight w:val="white"/>
          <w:lang w:val="en-GB"/>
        </w:rPr>
        <w:t>product diversification</w:t>
      </w:r>
      <w:r w:rsidRPr="00D23C03">
        <w:rPr>
          <w:rFonts w:eastAsia="Times New Roman"/>
          <w:color w:val="202124"/>
          <w:sz w:val="24"/>
          <w:szCs w:val="24"/>
          <w:highlight w:val="white"/>
          <w:lang w:val="en-GB"/>
        </w:rPr>
        <w:t xml:space="preserve">. The company intended to gain a higher market share in the existing markets of UK </w:t>
      </w:r>
      <w:proofErr w:type="gramStart"/>
      <w:r w:rsidRPr="00D23C03">
        <w:rPr>
          <w:rFonts w:eastAsia="Times New Roman"/>
          <w:color w:val="202124"/>
          <w:sz w:val="24"/>
          <w:szCs w:val="24"/>
          <w:highlight w:val="white"/>
          <w:lang w:val="en-GB"/>
        </w:rPr>
        <w:t>through the use of</w:t>
      </w:r>
      <w:proofErr w:type="gramEnd"/>
      <w:r w:rsidRPr="00D23C03">
        <w:rPr>
          <w:rFonts w:eastAsia="Times New Roman"/>
          <w:color w:val="202124"/>
          <w:sz w:val="24"/>
          <w:szCs w:val="24"/>
          <w:highlight w:val="white"/>
          <w:lang w:val="en-GB"/>
        </w:rPr>
        <w:t xml:space="preserve"> product diversification as a tool of development. Subsequently, the company introduced several new models under its name which were in alignment with the product requirements of the concerned UK market. VW polo and VW Jetta are some of the key products that the company introduced in the markets for gaining higher access. </w:t>
      </w:r>
    </w:p>
    <w:p w14:paraId="26D83B8D" w14:textId="77777777" w:rsidR="0092497A" w:rsidRPr="00D23C03" w:rsidRDefault="0013558E" w:rsidP="005D3E05">
      <w:pPr>
        <w:pStyle w:val="Normal1"/>
        <w:spacing w:line="360" w:lineRule="auto"/>
        <w:jc w:val="center"/>
        <w:rPr>
          <w:rFonts w:eastAsia="Times New Roman"/>
          <w:color w:val="202124"/>
          <w:sz w:val="24"/>
          <w:szCs w:val="24"/>
          <w:highlight w:val="white"/>
          <w:lang w:val="en-GB"/>
        </w:rPr>
      </w:pPr>
      <w:r w:rsidRPr="00D23C03">
        <w:rPr>
          <w:rFonts w:eastAsia="Times New Roman"/>
          <w:noProof/>
          <w:color w:val="202124"/>
          <w:sz w:val="24"/>
          <w:szCs w:val="24"/>
          <w:highlight w:val="white"/>
          <w:lang w:eastAsia="en-IN"/>
        </w:rPr>
        <w:drawing>
          <wp:inline distT="114300" distB="114300" distL="114300" distR="114300" wp14:anchorId="26D83C0B" wp14:editId="26D83C0C">
            <wp:extent cx="4378163" cy="34004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6"/>
                    <a:srcRect l="17607" r="5884"/>
                    <a:stretch>
                      <a:fillRect/>
                    </a:stretch>
                  </pic:blipFill>
                  <pic:spPr>
                    <a:xfrm>
                      <a:off x="0" y="0"/>
                      <a:ext cx="4378163" cy="3400425"/>
                    </a:xfrm>
                    <a:prstGeom prst="rect">
                      <a:avLst/>
                    </a:prstGeom>
                  </pic:spPr>
                </pic:pic>
              </a:graphicData>
            </a:graphic>
          </wp:inline>
        </w:drawing>
      </w:r>
    </w:p>
    <w:p w14:paraId="26D83B8E" w14:textId="77777777" w:rsidR="0092497A" w:rsidRPr="00D23C03" w:rsidRDefault="0013558E" w:rsidP="005D3E05">
      <w:pPr>
        <w:pStyle w:val="Normal1"/>
        <w:spacing w:line="360" w:lineRule="auto"/>
        <w:jc w:val="center"/>
        <w:rPr>
          <w:rFonts w:eastAsia="Times New Roman"/>
          <w:b/>
          <w:color w:val="202124"/>
          <w:sz w:val="24"/>
          <w:szCs w:val="24"/>
          <w:highlight w:val="white"/>
          <w:lang w:val="en-GB"/>
        </w:rPr>
      </w:pPr>
      <w:r w:rsidRPr="00D23C03">
        <w:rPr>
          <w:rFonts w:eastAsia="Times New Roman"/>
          <w:b/>
          <w:color w:val="202124"/>
          <w:sz w:val="24"/>
          <w:szCs w:val="24"/>
          <w:highlight w:val="white"/>
          <w:lang w:val="en-GB"/>
        </w:rPr>
        <w:t>Figure 1: Ansoff matrix of VW</w:t>
      </w:r>
    </w:p>
    <w:p w14:paraId="26D83B8F" w14:textId="77777777" w:rsidR="0092497A" w:rsidRPr="00D23C03" w:rsidRDefault="0013558E" w:rsidP="005D3E05">
      <w:pPr>
        <w:pStyle w:val="Normal1"/>
        <w:spacing w:line="360" w:lineRule="auto"/>
        <w:jc w:val="center"/>
        <w:rPr>
          <w:rFonts w:eastAsia="Times New Roman"/>
          <w:color w:val="202124"/>
          <w:sz w:val="24"/>
          <w:szCs w:val="24"/>
          <w:highlight w:val="white"/>
          <w:lang w:val="en-GB"/>
        </w:rPr>
      </w:pPr>
      <w:r w:rsidRPr="00D23C03">
        <w:rPr>
          <w:rFonts w:eastAsia="Times New Roman"/>
          <w:color w:val="202124"/>
          <w:sz w:val="24"/>
          <w:szCs w:val="24"/>
          <w:highlight w:val="white"/>
          <w:lang w:val="en-GB"/>
        </w:rPr>
        <w:t>(Source: Developed by the author)</w:t>
      </w:r>
    </w:p>
    <w:p w14:paraId="26D83B90" w14:textId="77777777" w:rsidR="0092497A" w:rsidRPr="00D23C03" w:rsidRDefault="0013558E" w:rsidP="005D3E05">
      <w:pPr>
        <w:pStyle w:val="Normal1"/>
        <w:spacing w:line="360" w:lineRule="auto"/>
        <w:jc w:val="both"/>
        <w:rPr>
          <w:rFonts w:eastAsia="Times New Roman"/>
          <w:b/>
          <w:i/>
          <w:color w:val="202124"/>
          <w:sz w:val="24"/>
          <w:szCs w:val="24"/>
          <w:highlight w:val="white"/>
          <w:lang w:val="en-GB"/>
        </w:rPr>
      </w:pPr>
      <w:r w:rsidRPr="00D23C03">
        <w:rPr>
          <w:rFonts w:eastAsia="Times New Roman"/>
          <w:b/>
          <w:i/>
          <w:color w:val="202124"/>
          <w:sz w:val="24"/>
          <w:szCs w:val="24"/>
          <w:highlight w:val="white"/>
          <w:lang w:val="en-GB"/>
        </w:rPr>
        <w:t xml:space="preserve">Porter’s generic strategy </w:t>
      </w:r>
    </w:p>
    <w:p w14:paraId="26D83B91" w14:textId="77777777" w:rsidR="0092497A" w:rsidRPr="00D23C03" w:rsidRDefault="0013558E" w:rsidP="005D3E05">
      <w:pPr>
        <w:pStyle w:val="Normal1"/>
        <w:spacing w:line="360" w:lineRule="auto"/>
        <w:jc w:val="both"/>
        <w:rPr>
          <w:rFonts w:eastAsia="Times New Roman"/>
          <w:color w:val="202124"/>
          <w:sz w:val="24"/>
          <w:szCs w:val="24"/>
          <w:highlight w:val="white"/>
          <w:lang w:val="en-GB"/>
        </w:rPr>
      </w:pPr>
      <w:r w:rsidRPr="00D23C03">
        <w:rPr>
          <w:rFonts w:eastAsia="Times New Roman"/>
          <w:color w:val="202124"/>
          <w:sz w:val="24"/>
          <w:szCs w:val="24"/>
          <w:highlight w:val="white"/>
          <w:lang w:val="en-GB"/>
        </w:rPr>
        <w:t xml:space="preserve">As opined by </w:t>
      </w:r>
      <w:r w:rsidRPr="00D23C03">
        <w:rPr>
          <w:rFonts w:eastAsia="Times New Roman"/>
          <w:color w:val="222222"/>
          <w:sz w:val="24"/>
          <w:szCs w:val="24"/>
          <w:highlight w:val="white"/>
          <w:lang w:val="en-GB"/>
        </w:rPr>
        <w:t xml:space="preserve">Yu </w:t>
      </w:r>
      <w:r w:rsidRPr="00D23C03">
        <w:rPr>
          <w:rFonts w:eastAsia="Times New Roman"/>
          <w:i/>
          <w:color w:val="222222"/>
          <w:sz w:val="24"/>
          <w:szCs w:val="24"/>
          <w:highlight w:val="white"/>
          <w:lang w:val="en-GB"/>
        </w:rPr>
        <w:t>et al</w:t>
      </w:r>
      <w:r w:rsidRPr="00D23C03">
        <w:rPr>
          <w:rFonts w:eastAsia="Times New Roman"/>
          <w:color w:val="222222"/>
          <w:sz w:val="24"/>
          <w:szCs w:val="24"/>
          <w:highlight w:val="white"/>
          <w:lang w:val="en-GB"/>
        </w:rPr>
        <w:t xml:space="preserve">., (2022, p. 803), </w:t>
      </w:r>
      <w:r w:rsidRPr="00D23C03">
        <w:rPr>
          <w:rFonts w:eastAsia="Times New Roman"/>
          <w:color w:val="202124"/>
          <w:sz w:val="24"/>
          <w:szCs w:val="24"/>
          <w:highlight w:val="white"/>
          <w:lang w:val="en-GB"/>
        </w:rPr>
        <w:t xml:space="preserve">Porter's generic strategy is another business analytic tool that is used to determine the type of strategic direction ventured by an organization. It entails a division of strategic direction based on the axes of the market </w:t>
      </w:r>
      <w:r w:rsidRPr="00D23C03">
        <w:rPr>
          <w:rFonts w:eastAsia="Times New Roman"/>
          <w:color w:val="202124"/>
          <w:sz w:val="24"/>
          <w:szCs w:val="24"/>
          <w:highlight w:val="white"/>
          <w:lang w:val="en-GB"/>
        </w:rPr>
        <w:lastRenderedPageBreak/>
        <w:t xml:space="preserve">scope and their relevance in achieving competitive advantage. The four key strategies are namely cost leadership, differentiation focus, </w:t>
      </w:r>
      <w:proofErr w:type="gramStart"/>
      <w:r w:rsidRPr="00D23C03">
        <w:rPr>
          <w:rFonts w:eastAsia="Times New Roman"/>
          <w:color w:val="202124"/>
          <w:sz w:val="24"/>
          <w:szCs w:val="24"/>
          <w:highlight w:val="white"/>
          <w:lang w:val="en-GB"/>
        </w:rPr>
        <w:t>differentiation</w:t>
      </w:r>
      <w:proofErr w:type="gramEnd"/>
      <w:r w:rsidRPr="00D23C03">
        <w:rPr>
          <w:rFonts w:eastAsia="Times New Roman"/>
          <w:color w:val="202124"/>
          <w:sz w:val="24"/>
          <w:szCs w:val="24"/>
          <w:highlight w:val="white"/>
          <w:lang w:val="en-GB"/>
        </w:rPr>
        <w:t xml:space="preserve"> and cost focus. Each strategic direction has a distinct value associated with its application and plays an immersive role in business development</w:t>
      </w:r>
      <w:r w:rsidR="00027064" w:rsidRPr="00D23C03">
        <w:rPr>
          <w:rFonts w:eastAsia="Times New Roman"/>
          <w:color w:val="202124"/>
          <w:sz w:val="24"/>
          <w:szCs w:val="24"/>
          <w:highlight w:val="white"/>
          <w:lang w:val="en-GB"/>
        </w:rPr>
        <w:t>,</w:t>
      </w:r>
      <w:r w:rsidRPr="00D23C03">
        <w:rPr>
          <w:rFonts w:eastAsia="Times New Roman"/>
          <w:color w:val="202124"/>
          <w:sz w:val="24"/>
          <w:szCs w:val="24"/>
          <w:highlight w:val="white"/>
          <w:lang w:val="en-GB"/>
        </w:rPr>
        <w:t xml:space="preserve"> (</w:t>
      </w:r>
      <w:r w:rsidRPr="00D23C03">
        <w:rPr>
          <w:rFonts w:eastAsia="Times New Roman"/>
          <w:color w:val="222222"/>
          <w:sz w:val="24"/>
          <w:szCs w:val="24"/>
          <w:highlight w:val="white"/>
          <w:lang w:val="en-GB"/>
        </w:rPr>
        <w:t xml:space="preserve">Mohiuddin </w:t>
      </w:r>
      <w:r w:rsidRPr="00D23C03">
        <w:rPr>
          <w:rFonts w:eastAsia="Times New Roman"/>
          <w:i/>
          <w:color w:val="222222"/>
          <w:sz w:val="24"/>
          <w:szCs w:val="24"/>
          <w:highlight w:val="white"/>
          <w:lang w:val="en-GB"/>
        </w:rPr>
        <w:t>et al</w:t>
      </w:r>
      <w:r w:rsidRPr="00D23C03">
        <w:rPr>
          <w:rFonts w:eastAsia="Times New Roman"/>
          <w:color w:val="222222"/>
          <w:sz w:val="24"/>
          <w:szCs w:val="24"/>
          <w:highlight w:val="white"/>
          <w:lang w:val="en-GB"/>
        </w:rPr>
        <w:t>., 2018, p. 1534</w:t>
      </w:r>
      <w:r w:rsidRPr="00D23C03">
        <w:rPr>
          <w:rFonts w:eastAsia="Times New Roman"/>
          <w:color w:val="202124"/>
          <w:sz w:val="24"/>
          <w:szCs w:val="24"/>
          <w:highlight w:val="white"/>
          <w:lang w:val="en-GB"/>
        </w:rPr>
        <w:t xml:space="preserve">). VW has been focussed on generating higher revenues by enhancing its market access. </w:t>
      </w:r>
      <w:proofErr w:type="gramStart"/>
      <w:r w:rsidRPr="00D23C03">
        <w:rPr>
          <w:rFonts w:eastAsia="Times New Roman"/>
          <w:color w:val="202124"/>
          <w:sz w:val="24"/>
          <w:szCs w:val="24"/>
          <w:highlight w:val="white"/>
          <w:lang w:val="en-GB"/>
        </w:rPr>
        <w:t>In order to</w:t>
      </w:r>
      <w:proofErr w:type="gramEnd"/>
      <w:r w:rsidRPr="00D23C03">
        <w:rPr>
          <w:rFonts w:eastAsia="Times New Roman"/>
          <w:color w:val="202124"/>
          <w:sz w:val="24"/>
          <w:szCs w:val="24"/>
          <w:highlight w:val="white"/>
          <w:lang w:val="en-GB"/>
        </w:rPr>
        <w:t xml:space="preserve"> achieve </w:t>
      </w:r>
      <w:r w:rsidR="00027064" w:rsidRPr="00D23C03">
        <w:rPr>
          <w:rFonts w:eastAsia="Times New Roman"/>
          <w:color w:val="202124"/>
          <w:sz w:val="24"/>
          <w:szCs w:val="24"/>
          <w:highlight w:val="white"/>
          <w:lang w:val="en-GB"/>
        </w:rPr>
        <w:t>this</w:t>
      </w:r>
      <w:r w:rsidRPr="00D23C03">
        <w:rPr>
          <w:rFonts w:eastAsia="Times New Roman"/>
          <w:color w:val="202124"/>
          <w:sz w:val="24"/>
          <w:szCs w:val="24"/>
          <w:highlight w:val="white"/>
          <w:lang w:val="en-GB"/>
        </w:rPr>
        <w:t xml:space="preserve"> company has been emphasising the implementation of </w:t>
      </w:r>
      <w:r w:rsidRPr="00D23C03">
        <w:rPr>
          <w:rFonts w:eastAsia="Times New Roman"/>
          <w:i/>
          <w:color w:val="202124"/>
          <w:sz w:val="24"/>
          <w:szCs w:val="24"/>
          <w:highlight w:val="white"/>
          <w:lang w:val="en-GB"/>
        </w:rPr>
        <w:t xml:space="preserve">differentiation </w:t>
      </w:r>
      <w:r w:rsidRPr="00D23C03">
        <w:rPr>
          <w:rFonts w:eastAsia="Times New Roman"/>
          <w:color w:val="202124"/>
          <w:sz w:val="24"/>
          <w:szCs w:val="24"/>
          <w:highlight w:val="white"/>
          <w:lang w:val="en-GB"/>
        </w:rPr>
        <w:t xml:space="preserve">as a strategic direction. This is emphasised through developing differentiated products in its existing market. Porter's generic strategy is generally used in combination with the Ansoff matrix of business development. The combined analysis of these tools demonstrates the company has been vying on the strategic dimension of variation as a measure to gain higher market access over the past five years. </w:t>
      </w:r>
      <w:proofErr w:type="gramStart"/>
      <w:r w:rsidRPr="00D23C03">
        <w:rPr>
          <w:rFonts w:eastAsia="Times New Roman"/>
          <w:color w:val="202124"/>
          <w:sz w:val="24"/>
          <w:szCs w:val="24"/>
          <w:highlight w:val="white"/>
          <w:lang w:val="en-GB"/>
        </w:rPr>
        <w:t>Consequently</w:t>
      </w:r>
      <w:proofErr w:type="gramEnd"/>
      <w:r w:rsidRPr="00D23C03">
        <w:rPr>
          <w:rFonts w:eastAsia="Times New Roman"/>
          <w:color w:val="202124"/>
          <w:sz w:val="24"/>
          <w:szCs w:val="24"/>
          <w:highlight w:val="white"/>
          <w:lang w:val="en-GB"/>
        </w:rPr>
        <w:t xml:space="preserve"> enhancing engine efficiency, and reducing their emission and pollutants volume were some of the metrics that the company deployed to bring variations in its product availability. </w:t>
      </w:r>
    </w:p>
    <w:p w14:paraId="26D83B92" w14:textId="77777777" w:rsidR="0092497A" w:rsidRPr="00D23C03" w:rsidRDefault="0013558E" w:rsidP="005D3E05">
      <w:pPr>
        <w:pStyle w:val="Normal1"/>
        <w:spacing w:line="360" w:lineRule="auto"/>
        <w:jc w:val="center"/>
        <w:rPr>
          <w:rFonts w:eastAsia="Times New Roman"/>
          <w:color w:val="202124"/>
          <w:sz w:val="24"/>
          <w:szCs w:val="24"/>
          <w:highlight w:val="white"/>
          <w:lang w:val="en-GB"/>
        </w:rPr>
      </w:pPr>
      <w:r w:rsidRPr="00D23C03">
        <w:rPr>
          <w:rFonts w:eastAsia="Times New Roman"/>
          <w:noProof/>
          <w:color w:val="202124"/>
          <w:sz w:val="24"/>
          <w:szCs w:val="24"/>
          <w:highlight w:val="white"/>
          <w:lang w:eastAsia="en-IN"/>
        </w:rPr>
        <w:drawing>
          <wp:inline distT="114300" distB="114300" distL="114300" distR="114300" wp14:anchorId="26D83C0D" wp14:editId="26D83C0E">
            <wp:extent cx="4382575" cy="367188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382575" cy="3671888"/>
                    </a:xfrm>
                    <a:prstGeom prst="rect">
                      <a:avLst/>
                    </a:prstGeom>
                  </pic:spPr>
                </pic:pic>
              </a:graphicData>
            </a:graphic>
          </wp:inline>
        </w:drawing>
      </w:r>
    </w:p>
    <w:p w14:paraId="26D83B93" w14:textId="77777777" w:rsidR="0092497A" w:rsidRPr="00D23C03" w:rsidRDefault="0013558E" w:rsidP="005D3E05">
      <w:pPr>
        <w:pStyle w:val="Normal1"/>
        <w:spacing w:line="360" w:lineRule="auto"/>
        <w:jc w:val="center"/>
        <w:rPr>
          <w:rFonts w:eastAsia="Times New Roman"/>
          <w:b/>
          <w:color w:val="202124"/>
          <w:sz w:val="24"/>
          <w:szCs w:val="24"/>
          <w:highlight w:val="white"/>
          <w:lang w:val="en-GB"/>
        </w:rPr>
      </w:pPr>
      <w:r w:rsidRPr="00D23C03">
        <w:rPr>
          <w:rFonts w:eastAsia="Times New Roman"/>
          <w:b/>
          <w:color w:val="202124"/>
          <w:sz w:val="24"/>
          <w:szCs w:val="24"/>
          <w:highlight w:val="white"/>
          <w:lang w:val="en-GB"/>
        </w:rPr>
        <w:t>Figure 2: porter's generic strategy for VW</w:t>
      </w:r>
    </w:p>
    <w:p w14:paraId="26D83B94" w14:textId="77777777" w:rsidR="0092497A" w:rsidRPr="00D23C03" w:rsidRDefault="0013558E" w:rsidP="005D3E05">
      <w:pPr>
        <w:pStyle w:val="Normal1"/>
        <w:spacing w:line="360" w:lineRule="auto"/>
        <w:jc w:val="center"/>
        <w:rPr>
          <w:rFonts w:eastAsia="Times New Roman"/>
          <w:color w:val="202124"/>
          <w:sz w:val="24"/>
          <w:szCs w:val="24"/>
          <w:highlight w:val="white"/>
          <w:lang w:val="en-GB"/>
        </w:rPr>
      </w:pPr>
      <w:r w:rsidRPr="00D23C03">
        <w:rPr>
          <w:rFonts w:eastAsia="Times New Roman"/>
          <w:color w:val="202124"/>
          <w:sz w:val="24"/>
          <w:szCs w:val="24"/>
          <w:highlight w:val="white"/>
          <w:lang w:val="en-GB"/>
        </w:rPr>
        <w:t>(Source: Developed by the author)</w:t>
      </w:r>
    </w:p>
    <w:p w14:paraId="4FC4D144" w14:textId="77777777" w:rsidR="00D23C03" w:rsidRDefault="00D23C03" w:rsidP="005D3E05">
      <w:pPr>
        <w:pStyle w:val="Normal1"/>
        <w:spacing w:line="360" w:lineRule="auto"/>
        <w:jc w:val="both"/>
        <w:rPr>
          <w:rFonts w:eastAsia="Times New Roman"/>
          <w:b/>
          <w:sz w:val="24"/>
          <w:szCs w:val="24"/>
          <w:lang w:val="en-GB"/>
        </w:rPr>
      </w:pPr>
    </w:p>
    <w:p w14:paraId="3EE8091D" w14:textId="77777777" w:rsidR="00D23C03" w:rsidRDefault="00D23C03" w:rsidP="005D3E05">
      <w:pPr>
        <w:pStyle w:val="Normal1"/>
        <w:spacing w:line="360" w:lineRule="auto"/>
        <w:jc w:val="both"/>
        <w:rPr>
          <w:rFonts w:eastAsia="Times New Roman"/>
          <w:b/>
          <w:sz w:val="24"/>
          <w:szCs w:val="24"/>
          <w:lang w:val="en-GB"/>
        </w:rPr>
      </w:pPr>
    </w:p>
    <w:p w14:paraId="26D83B95" w14:textId="4C9D057A" w:rsidR="0092497A" w:rsidRPr="00D23C03" w:rsidRDefault="0013558E" w:rsidP="005D3E05">
      <w:pPr>
        <w:pStyle w:val="Normal1"/>
        <w:spacing w:line="360" w:lineRule="auto"/>
        <w:jc w:val="both"/>
        <w:rPr>
          <w:rFonts w:eastAsia="Times New Roman"/>
          <w:b/>
          <w:sz w:val="24"/>
          <w:szCs w:val="24"/>
          <w:lang w:val="en-GB"/>
        </w:rPr>
      </w:pPr>
      <w:r w:rsidRPr="00D23C03">
        <w:rPr>
          <w:rFonts w:eastAsia="Times New Roman"/>
          <w:b/>
          <w:sz w:val="24"/>
          <w:szCs w:val="24"/>
          <w:lang w:val="en-GB"/>
        </w:rPr>
        <w:lastRenderedPageBreak/>
        <w:t xml:space="preserve">Identification of the resources and capabilities of the case study company over the past five years </w:t>
      </w:r>
    </w:p>
    <w:p w14:paraId="26D83B96" w14:textId="77777777" w:rsidR="0092497A" w:rsidRPr="00D23C03" w:rsidRDefault="0092497A" w:rsidP="005D3E05">
      <w:pPr>
        <w:pStyle w:val="Normal1"/>
        <w:spacing w:line="360" w:lineRule="auto"/>
        <w:jc w:val="both"/>
        <w:rPr>
          <w:rFonts w:eastAsia="Times New Roman"/>
          <w:b/>
          <w:sz w:val="24"/>
          <w:szCs w:val="24"/>
          <w:lang w:val="en-GB"/>
        </w:rPr>
      </w:pP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0"/>
        <w:gridCol w:w="6030"/>
      </w:tblGrid>
      <w:tr w:rsidR="0092497A" w:rsidRPr="00D23C03" w14:paraId="26D83B99" w14:textId="77777777">
        <w:trPr>
          <w:cantSplit/>
          <w:tblHeader/>
        </w:trPr>
        <w:tc>
          <w:tcPr>
            <w:tcW w:w="2970" w:type="dxa"/>
            <w:shd w:val="clear" w:color="auto" w:fill="auto"/>
            <w:tcMar>
              <w:top w:w="100" w:type="dxa"/>
              <w:left w:w="100" w:type="dxa"/>
              <w:bottom w:w="100" w:type="dxa"/>
              <w:right w:w="100" w:type="dxa"/>
            </w:tcMar>
          </w:tcPr>
          <w:p w14:paraId="26D83B97"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b/>
                <w:sz w:val="24"/>
                <w:szCs w:val="24"/>
                <w:lang w:val="en-GB"/>
              </w:rPr>
            </w:pPr>
            <w:r w:rsidRPr="00D23C03">
              <w:rPr>
                <w:rFonts w:eastAsia="Times New Roman"/>
                <w:b/>
                <w:sz w:val="24"/>
                <w:szCs w:val="24"/>
                <w:lang w:val="en-GB"/>
              </w:rPr>
              <w:t xml:space="preserve">Financial </w:t>
            </w:r>
          </w:p>
        </w:tc>
        <w:tc>
          <w:tcPr>
            <w:tcW w:w="6030" w:type="dxa"/>
            <w:shd w:val="clear" w:color="auto" w:fill="auto"/>
            <w:tcMar>
              <w:top w:w="100" w:type="dxa"/>
              <w:left w:w="100" w:type="dxa"/>
              <w:bottom w:w="100" w:type="dxa"/>
              <w:right w:w="100" w:type="dxa"/>
            </w:tcMar>
          </w:tcPr>
          <w:p w14:paraId="26D83B98"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The </w:t>
            </w:r>
            <w:r w:rsidR="00027064" w:rsidRPr="00D23C03">
              <w:rPr>
                <w:rFonts w:eastAsia="Times New Roman"/>
                <w:sz w:val="24"/>
                <w:szCs w:val="24"/>
                <w:lang w:val="en-GB"/>
              </w:rPr>
              <w:t>sale</w:t>
            </w:r>
            <w:r w:rsidRPr="00D23C03">
              <w:rPr>
                <w:rFonts w:eastAsia="Times New Roman"/>
                <w:sz w:val="24"/>
                <w:szCs w:val="24"/>
                <w:lang w:val="en-GB"/>
              </w:rPr>
              <w:t xml:space="preserve"> revenue of the company has risen by 7% to 76.1 billion Euros as well as the firm has achieved a return on sales of 3.3%, which is an increase of 06% from 2020. The company has been growing globally and its diverse investor portfolio has been its major financial strength.</w:t>
            </w:r>
          </w:p>
        </w:tc>
      </w:tr>
      <w:tr w:rsidR="0092497A" w:rsidRPr="00D23C03" w14:paraId="26D83B9C" w14:textId="77777777">
        <w:trPr>
          <w:cantSplit/>
          <w:tblHeader/>
        </w:trPr>
        <w:tc>
          <w:tcPr>
            <w:tcW w:w="2970" w:type="dxa"/>
            <w:shd w:val="clear" w:color="auto" w:fill="auto"/>
            <w:tcMar>
              <w:top w:w="100" w:type="dxa"/>
              <w:left w:w="100" w:type="dxa"/>
              <w:bottom w:w="100" w:type="dxa"/>
              <w:right w:w="100" w:type="dxa"/>
            </w:tcMar>
          </w:tcPr>
          <w:p w14:paraId="26D83B9A"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b/>
                <w:sz w:val="24"/>
                <w:szCs w:val="24"/>
                <w:lang w:val="en-GB"/>
              </w:rPr>
            </w:pPr>
            <w:r w:rsidRPr="00D23C03">
              <w:rPr>
                <w:rFonts w:eastAsia="Times New Roman"/>
                <w:b/>
                <w:sz w:val="24"/>
                <w:szCs w:val="24"/>
                <w:lang w:val="en-GB"/>
              </w:rPr>
              <w:t xml:space="preserve">Operational </w:t>
            </w:r>
          </w:p>
        </w:tc>
        <w:tc>
          <w:tcPr>
            <w:tcW w:w="6030" w:type="dxa"/>
            <w:shd w:val="clear" w:color="auto" w:fill="auto"/>
            <w:tcMar>
              <w:top w:w="100" w:type="dxa"/>
              <w:left w:w="100" w:type="dxa"/>
              <w:bottom w:w="100" w:type="dxa"/>
              <w:right w:w="100" w:type="dxa"/>
            </w:tcMar>
          </w:tcPr>
          <w:p w14:paraId="26D83B9B"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The company operates 120 production plants in 19 European countries and sells its vehicles in over 153 distinct regions across the globe. Consequently, it has several brands under its name such as VW commercial vehicles, Bentley, </w:t>
            </w:r>
            <w:proofErr w:type="gramStart"/>
            <w:r w:rsidRPr="00D23C03">
              <w:rPr>
                <w:rFonts w:eastAsia="Times New Roman"/>
                <w:sz w:val="24"/>
                <w:szCs w:val="24"/>
                <w:lang w:val="en-GB"/>
              </w:rPr>
              <w:t>SKODA</w:t>
            </w:r>
            <w:proofErr w:type="gramEnd"/>
            <w:r w:rsidRPr="00D23C03">
              <w:rPr>
                <w:rFonts w:eastAsia="Times New Roman"/>
                <w:sz w:val="24"/>
                <w:szCs w:val="24"/>
                <w:lang w:val="en-GB"/>
              </w:rPr>
              <w:t xml:space="preserve"> and Lamborghini.</w:t>
            </w:r>
          </w:p>
        </w:tc>
      </w:tr>
      <w:tr w:rsidR="0092497A" w:rsidRPr="00D23C03" w14:paraId="26D83B9F" w14:textId="77777777">
        <w:trPr>
          <w:cantSplit/>
          <w:tblHeader/>
        </w:trPr>
        <w:tc>
          <w:tcPr>
            <w:tcW w:w="2970" w:type="dxa"/>
            <w:shd w:val="clear" w:color="auto" w:fill="auto"/>
            <w:tcMar>
              <w:top w:w="100" w:type="dxa"/>
              <w:left w:w="100" w:type="dxa"/>
              <w:bottom w:w="100" w:type="dxa"/>
              <w:right w:w="100" w:type="dxa"/>
            </w:tcMar>
          </w:tcPr>
          <w:p w14:paraId="26D83B9D"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b/>
                <w:sz w:val="24"/>
                <w:szCs w:val="24"/>
                <w:lang w:val="en-GB"/>
              </w:rPr>
            </w:pPr>
            <w:r w:rsidRPr="00D23C03">
              <w:rPr>
                <w:rFonts w:eastAsia="Times New Roman"/>
                <w:b/>
                <w:sz w:val="24"/>
                <w:szCs w:val="24"/>
                <w:lang w:val="en-GB"/>
              </w:rPr>
              <w:t xml:space="preserve">Human Resources </w:t>
            </w:r>
          </w:p>
        </w:tc>
        <w:tc>
          <w:tcPr>
            <w:tcW w:w="6030" w:type="dxa"/>
            <w:shd w:val="clear" w:color="auto" w:fill="auto"/>
            <w:tcMar>
              <w:top w:w="100" w:type="dxa"/>
              <w:left w:w="100" w:type="dxa"/>
              <w:bottom w:w="100" w:type="dxa"/>
              <w:right w:w="100" w:type="dxa"/>
            </w:tcMar>
          </w:tcPr>
          <w:p w14:paraId="26D83B9E"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The current employee strength of VW is estimated to be 662,575 composed of several members from diverse backgrounds. The presence of an innovative and technologically inclined employee base enables the company to fuel its strategic direction progression.</w:t>
            </w:r>
          </w:p>
        </w:tc>
      </w:tr>
      <w:tr w:rsidR="0092497A" w:rsidRPr="00D23C03" w14:paraId="26D83BA2" w14:textId="77777777">
        <w:trPr>
          <w:cantSplit/>
          <w:tblHeader/>
        </w:trPr>
        <w:tc>
          <w:tcPr>
            <w:tcW w:w="2970" w:type="dxa"/>
            <w:shd w:val="clear" w:color="auto" w:fill="auto"/>
            <w:tcMar>
              <w:top w:w="100" w:type="dxa"/>
              <w:left w:w="100" w:type="dxa"/>
              <w:bottom w:w="100" w:type="dxa"/>
              <w:right w:w="100" w:type="dxa"/>
            </w:tcMar>
          </w:tcPr>
          <w:p w14:paraId="26D83BA0"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b/>
                <w:sz w:val="24"/>
                <w:szCs w:val="24"/>
                <w:lang w:val="en-GB"/>
              </w:rPr>
            </w:pPr>
            <w:r w:rsidRPr="00D23C03">
              <w:rPr>
                <w:rFonts w:eastAsia="Times New Roman"/>
                <w:b/>
                <w:sz w:val="24"/>
                <w:szCs w:val="24"/>
                <w:lang w:val="en-GB"/>
              </w:rPr>
              <w:t xml:space="preserve">Intangible </w:t>
            </w:r>
          </w:p>
        </w:tc>
        <w:tc>
          <w:tcPr>
            <w:tcW w:w="6030" w:type="dxa"/>
            <w:shd w:val="clear" w:color="auto" w:fill="auto"/>
            <w:tcMar>
              <w:top w:w="100" w:type="dxa"/>
              <w:left w:w="100" w:type="dxa"/>
              <w:bottom w:w="100" w:type="dxa"/>
              <w:right w:w="100" w:type="dxa"/>
            </w:tcMar>
          </w:tcPr>
          <w:p w14:paraId="26D83BA1"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Higher brand recognition and goodwill of the company are some of the intangible assets in the resource capability of the company. The company has reported an aggregate of 23,318m GBP as of 2020 under its goodwill by operating segments in its annual reports.  </w:t>
            </w:r>
          </w:p>
        </w:tc>
      </w:tr>
    </w:tbl>
    <w:p w14:paraId="26D83BA3" w14:textId="77777777" w:rsidR="0092497A" w:rsidRPr="00D23C03" w:rsidRDefault="0092497A" w:rsidP="005D3E05">
      <w:pPr>
        <w:pStyle w:val="Normal1"/>
        <w:spacing w:line="360" w:lineRule="auto"/>
        <w:jc w:val="both"/>
        <w:rPr>
          <w:rFonts w:eastAsia="Times New Roman"/>
          <w:b/>
          <w:sz w:val="24"/>
          <w:szCs w:val="24"/>
          <w:lang w:val="en-GB"/>
        </w:rPr>
      </w:pPr>
    </w:p>
    <w:p w14:paraId="26D83BA4" w14:textId="77777777" w:rsidR="0092497A" w:rsidRPr="00D23C03" w:rsidRDefault="0013558E" w:rsidP="005D3E05">
      <w:pPr>
        <w:pStyle w:val="Normal1"/>
        <w:spacing w:line="360" w:lineRule="auto"/>
        <w:jc w:val="both"/>
        <w:rPr>
          <w:rFonts w:eastAsia="Times New Roman"/>
          <w:b/>
          <w:i/>
          <w:sz w:val="24"/>
          <w:szCs w:val="24"/>
          <w:lang w:val="en-GB"/>
        </w:rPr>
      </w:pPr>
      <w:r w:rsidRPr="00D23C03">
        <w:rPr>
          <w:rFonts w:eastAsia="Times New Roman"/>
          <w:b/>
          <w:i/>
          <w:sz w:val="24"/>
          <w:szCs w:val="24"/>
          <w:lang w:val="en-GB"/>
        </w:rPr>
        <w:t xml:space="preserve">VRIO </w:t>
      </w:r>
    </w:p>
    <w:p w14:paraId="26D83BA5" w14:textId="77777777" w:rsidR="0092497A" w:rsidRPr="00D23C03" w:rsidRDefault="0092497A" w:rsidP="005D3E05">
      <w:pPr>
        <w:pStyle w:val="Normal1"/>
        <w:spacing w:line="360" w:lineRule="auto"/>
        <w:jc w:val="both"/>
        <w:rPr>
          <w:rFonts w:eastAsia="Times New Roman"/>
          <w:sz w:val="24"/>
          <w:szCs w:val="24"/>
          <w:lang w:val="en-GB"/>
        </w:rPr>
      </w:pPr>
    </w:p>
    <w:p w14:paraId="26D83BA6" w14:textId="77777777" w:rsidR="0092497A" w:rsidRPr="00D23C03" w:rsidRDefault="0013558E" w:rsidP="005D3E05">
      <w:pPr>
        <w:pStyle w:val="Normal1"/>
        <w:spacing w:line="360" w:lineRule="auto"/>
        <w:jc w:val="center"/>
        <w:rPr>
          <w:rFonts w:eastAsia="Times New Roman"/>
          <w:sz w:val="24"/>
          <w:szCs w:val="24"/>
          <w:lang w:val="en-GB"/>
        </w:rPr>
      </w:pPr>
      <w:r w:rsidRPr="00D23C03">
        <w:rPr>
          <w:rFonts w:eastAsia="Times New Roman"/>
          <w:noProof/>
          <w:sz w:val="24"/>
          <w:szCs w:val="24"/>
          <w:lang w:eastAsia="en-IN"/>
        </w:rPr>
        <w:lastRenderedPageBreak/>
        <w:drawing>
          <wp:inline distT="114300" distB="114300" distL="114300" distR="114300" wp14:anchorId="26D83C0F" wp14:editId="26D83C10">
            <wp:extent cx="5043488" cy="2840103"/>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043488" cy="2840103"/>
                    </a:xfrm>
                    <a:prstGeom prst="rect">
                      <a:avLst/>
                    </a:prstGeom>
                  </pic:spPr>
                </pic:pic>
              </a:graphicData>
            </a:graphic>
          </wp:inline>
        </w:drawing>
      </w:r>
    </w:p>
    <w:p w14:paraId="26D83BA7" w14:textId="77777777" w:rsidR="0092497A" w:rsidRPr="00D23C03" w:rsidRDefault="0013558E" w:rsidP="005D3E05">
      <w:pPr>
        <w:pStyle w:val="Normal1"/>
        <w:spacing w:line="360" w:lineRule="auto"/>
        <w:jc w:val="center"/>
        <w:rPr>
          <w:rFonts w:eastAsia="Times New Roman"/>
          <w:b/>
          <w:sz w:val="24"/>
          <w:szCs w:val="24"/>
          <w:lang w:val="en-GB"/>
        </w:rPr>
      </w:pPr>
      <w:r w:rsidRPr="00D23C03">
        <w:rPr>
          <w:rFonts w:eastAsia="Times New Roman"/>
          <w:b/>
          <w:sz w:val="24"/>
          <w:szCs w:val="24"/>
          <w:lang w:val="en-GB"/>
        </w:rPr>
        <w:t>Figure 3: VRIO framework</w:t>
      </w:r>
    </w:p>
    <w:p w14:paraId="26D83BA8" w14:textId="77777777" w:rsidR="00027064" w:rsidRPr="00D23C03" w:rsidRDefault="0013558E" w:rsidP="005D3E05">
      <w:pPr>
        <w:pStyle w:val="Normal1"/>
        <w:spacing w:line="360" w:lineRule="auto"/>
        <w:jc w:val="center"/>
        <w:rPr>
          <w:rFonts w:eastAsia="Times New Roman"/>
          <w:sz w:val="24"/>
          <w:szCs w:val="24"/>
          <w:lang w:val="en-GB"/>
        </w:rPr>
      </w:pPr>
      <w:r w:rsidRPr="00D23C03">
        <w:rPr>
          <w:rFonts w:eastAsia="Times New Roman"/>
          <w:sz w:val="24"/>
          <w:szCs w:val="24"/>
          <w:lang w:val="en-GB"/>
        </w:rPr>
        <w:t xml:space="preserve">(Source: Bruin, 2021) </w:t>
      </w:r>
    </w:p>
    <w:p w14:paraId="26D83BA9" w14:textId="77777777" w:rsidR="00027064" w:rsidRPr="00D23C03" w:rsidRDefault="00027064" w:rsidP="005D3E05">
      <w:pPr>
        <w:spacing w:line="360" w:lineRule="auto"/>
        <w:rPr>
          <w:rFonts w:eastAsia="Times New Roman"/>
          <w:sz w:val="24"/>
          <w:szCs w:val="24"/>
          <w:lang w:val="en-GB"/>
        </w:rPr>
      </w:pPr>
      <w:r w:rsidRPr="00D23C03">
        <w:rPr>
          <w:rFonts w:eastAsia="Times New Roman"/>
          <w:sz w:val="24"/>
          <w:szCs w:val="24"/>
          <w:lang w:val="en-GB"/>
        </w:rPr>
        <w:br w:type="page"/>
      </w:r>
    </w:p>
    <w:p w14:paraId="26D83BAA" w14:textId="77777777" w:rsidR="0092497A" w:rsidRPr="00D23C03" w:rsidRDefault="0092497A" w:rsidP="005D3E05">
      <w:pPr>
        <w:pStyle w:val="Normal1"/>
        <w:spacing w:line="360" w:lineRule="auto"/>
        <w:jc w:val="center"/>
        <w:rPr>
          <w:rFonts w:eastAsia="Times New Roman"/>
          <w:sz w:val="24"/>
          <w:szCs w:val="24"/>
          <w:lang w:val="en-GB"/>
        </w:rPr>
      </w:pP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6"/>
        <w:gridCol w:w="1081"/>
        <w:gridCol w:w="1725"/>
        <w:gridCol w:w="1509"/>
        <w:gridCol w:w="1509"/>
        <w:gridCol w:w="1509"/>
      </w:tblGrid>
      <w:tr w:rsidR="0092497A" w:rsidRPr="00D23C03" w14:paraId="26D83BB1" w14:textId="77777777">
        <w:trPr>
          <w:cantSplit/>
          <w:tblHeader/>
        </w:trPr>
        <w:tc>
          <w:tcPr>
            <w:tcW w:w="1695" w:type="dxa"/>
            <w:shd w:val="clear" w:color="auto" w:fill="auto"/>
            <w:tcMar>
              <w:top w:w="100" w:type="dxa"/>
              <w:left w:w="100" w:type="dxa"/>
              <w:bottom w:w="100" w:type="dxa"/>
              <w:right w:w="100" w:type="dxa"/>
            </w:tcMar>
          </w:tcPr>
          <w:p w14:paraId="26D83BAB"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b/>
                <w:sz w:val="24"/>
                <w:szCs w:val="24"/>
                <w:lang w:val="en-GB"/>
              </w:rPr>
            </w:pPr>
            <w:r w:rsidRPr="00D23C03">
              <w:rPr>
                <w:rFonts w:eastAsia="Times New Roman"/>
                <w:b/>
                <w:sz w:val="24"/>
                <w:szCs w:val="24"/>
                <w:lang w:val="en-GB"/>
              </w:rPr>
              <w:t xml:space="preserve">Attributes </w:t>
            </w:r>
          </w:p>
        </w:tc>
        <w:tc>
          <w:tcPr>
            <w:tcW w:w="1080" w:type="dxa"/>
            <w:shd w:val="clear" w:color="auto" w:fill="auto"/>
            <w:tcMar>
              <w:top w:w="100" w:type="dxa"/>
              <w:left w:w="100" w:type="dxa"/>
              <w:bottom w:w="100" w:type="dxa"/>
              <w:right w:w="100" w:type="dxa"/>
            </w:tcMar>
          </w:tcPr>
          <w:p w14:paraId="26D83BAC"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b/>
                <w:sz w:val="24"/>
                <w:szCs w:val="24"/>
                <w:lang w:val="en-GB"/>
              </w:rPr>
            </w:pPr>
            <w:r w:rsidRPr="00D23C03">
              <w:rPr>
                <w:rFonts w:eastAsia="Times New Roman"/>
                <w:b/>
                <w:sz w:val="24"/>
                <w:szCs w:val="24"/>
                <w:lang w:val="en-GB"/>
              </w:rPr>
              <w:t xml:space="preserve">Valuable </w:t>
            </w:r>
          </w:p>
        </w:tc>
        <w:tc>
          <w:tcPr>
            <w:tcW w:w="1725" w:type="dxa"/>
            <w:shd w:val="clear" w:color="auto" w:fill="auto"/>
            <w:tcMar>
              <w:top w:w="100" w:type="dxa"/>
              <w:left w:w="100" w:type="dxa"/>
              <w:bottom w:w="100" w:type="dxa"/>
              <w:right w:w="100" w:type="dxa"/>
            </w:tcMar>
          </w:tcPr>
          <w:p w14:paraId="26D83BAD"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b/>
                <w:sz w:val="24"/>
                <w:szCs w:val="24"/>
                <w:lang w:val="en-GB"/>
              </w:rPr>
            </w:pPr>
            <w:r w:rsidRPr="00D23C03">
              <w:rPr>
                <w:rFonts w:eastAsia="Times New Roman"/>
                <w:b/>
                <w:sz w:val="24"/>
                <w:szCs w:val="24"/>
                <w:lang w:val="en-GB"/>
              </w:rPr>
              <w:t>Rare</w:t>
            </w:r>
          </w:p>
        </w:tc>
        <w:tc>
          <w:tcPr>
            <w:tcW w:w="1509" w:type="dxa"/>
            <w:shd w:val="clear" w:color="auto" w:fill="auto"/>
            <w:tcMar>
              <w:top w:w="100" w:type="dxa"/>
              <w:left w:w="100" w:type="dxa"/>
              <w:bottom w:w="100" w:type="dxa"/>
              <w:right w:w="100" w:type="dxa"/>
            </w:tcMar>
          </w:tcPr>
          <w:p w14:paraId="26D83BAE"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b/>
                <w:sz w:val="24"/>
                <w:szCs w:val="24"/>
                <w:lang w:val="en-GB"/>
              </w:rPr>
            </w:pPr>
            <w:proofErr w:type="spellStart"/>
            <w:r w:rsidRPr="00D23C03">
              <w:rPr>
                <w:rFonts w:eastAsia="Times New Roman"/>
                <w:b/>
                <w:sz w:val="24"/>
                <w:szCs w:val="24"/>
                <w:lang w:val="en-GB"/>
              </w:rPr>
              <w:t>Immitable</w:t>
            </w:r>
            <w:proofErr w:type="spellEnd"/>
            <w:r w:rsidRPr="00D23C03">
              <w:rPr>
                <w:rFonts w:eastAsia="Times New Roman"/>
                <w:b/>
                <w:sz w:val="24"/>
                <w:szCs w:val="24"/>
                <w:lang w:val="en-GB"/>
              </w:rPr>
              <w:t xml:space="preserve"> </w:t>
            </w:r>
          </w:p>
        </w:tc>
        <w:tc>
          <w:tcPr>
            <w:tcW w:w="1509" w:type="dxa"/>
            <w:shd w:val="clear" w:color="auto" w:fill="auto"/>
            <w:tcMar>
              <w:top w:w="100" w:type="dxa"/>
              <w:left w:w="100" w:type="dxa"/>
              <w:bottom w:w="100" w:type="dxa"/>
              <w:right w:w="100" w:type="dxa"/>
            </w:tcMar>
          </w:tcPr>
          <w:p w14:paraId="26D83BAF"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b/>
                <w:sz w:val="24"/>
                <w:szCs w:val="24"/>
                <w:lang w:val="en-GB"/>
              </w:rPr>
            </w:pPr>
            <w:r w:rsidRPr="00D23C03">
              <w:rPr>
                <w:rFonts w:eastAsia="Times New Roman"/>
                <w:b/>
                <w:sz w:val="24"/>
                <w:szCs w:val="24"/>
                <w:lang w:val="en-GB"/>
              </w:rPr>
              <w:t xml:space="preserve">Organization capability </w:t>
            </w:r>
          </w:p>
        </w:tc>
        <w:tc>
          <w:tcPr>
            <w:tcW w:w="1509" w:type="dxa"/>
            <w:shd w:val="clear" w:color="auto" w:fill="auto"/>
            <w:tcMar>
              <w:top w:w="100" w:type="dxa"/>
              <w:left w:w="100" w:type="dxa"/>
              <w:bottom w:w="100" w:type="dxa"/>
              <w:right w:w="100" w:type="dxa"/>
            </w:tcMar>
          </w:tcPr>
          <w:p w14:paraId="26D83BB0"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b/>
                <w:sz w:val="24"/>
                <w:szCs w:val="24"/>
                <w:lang w:val="en-GB"/>
              </w:rPr>
            </w:pPr>
            <w:r w:rsidRPr="00D23C03">
              <w:rPr>
                <w:rFonts w:eastAsia="Times New Roman"/>
                <w:b/>
                <w:sz w:val="24"/>
                <w:szCs w:val="24"/>
                <w:lang w:val="en-GB"/>
              </w:rPr>
              <w:t xml:space="preserve">Competitive advantage </w:t>
            </w:r>
          </w:p>
        </w:tc>
      </w:tr>
      <w:tr w:rsidR="0092497A" w:rsidRPr="00D23C03" w14:paraId="26D83BB8" w14:textId="77777777">
        <w:trPr>
          <w:cantSplit/>
          <w:tblHeader/>
        </w:trPr>
        <w:tc>
          <w:tcPr>
            <w:tcW w:w="1695" w:type="dxa"/>
            <w:shd w:val="clear" w:color="auto" w:fill="auto"/>
            <w:tcMar>
              <w:top w:w="100" w:type="dxa"/>
              <w:left w:w="100" w:type="dxa"/>
              <w:bottom w:w="100" w:type="dxa"/>
              <w:right w:w="100" w:type="dxa"/>
            </w:tcMar>
          </w:tcPr>
          <w:p w14:paraId="26D83BB2"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Resources</w:t>
            </w:r>
          </w:p>
        </w:tc>
        <w:tc>
          <w:tcPr>
            <w:tcW w:w="1080" w:type="dxa"/>
            <w:shd w:val="clear" w:color="auto" w:fill="auto"/>
            <w:tcMar>
              <w:top w:w="100" w:type="dxa"/>
              <w:left w:w="100" w:type="dxa"/>
              <w:bottom w:w="100" w:type="dxa"/>
              <w:right w:w="100" w:type="dxa"/>
            </w:tcMar>
          </w:tcPr>
          <w:p w14:paraId="26D83BB3"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Yes</w:t>
            </w:r>
          </w:p>
        </w:tc>
        <w:tc>
          <w:tcPr>
            <w:tcW w:w="1725" w:type="dxa"/>
            <w:shd w:val="clear" w:color="auto" w:fill="auto"/>
            <w:tcMar>
              <w:top w:w="100" w:type="dxa"/>
              <w:left w:w="100" w:type="dxa"/>
              <w:bottom w:w="100" w:type="dxa"/>
              <w:right w:w="100" w:type="dxa"/>
            </w:tcMar>
          </w:tcPr>
          <w:p w14:paraId="26D83BB4"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Yes </w:t>
            </w:r>
          </w:p>
        </w:tc>
        <w:tc>
          <w:tcPr>
            <w:tcW w:w="1509" w:type="dxa"/>
            <w:shd w:val="clear" w:color="auto" w:fill="auto"/>
            <w:tcMar>
              <w:top w:w="100" w:type="dxa"/>
              <w:left w:w="100" w:type="dxa"/>
              <w:bottom w:w="100" w:type="dxa"/>
              <w:right w:w="100" w:type="dxa"/>
            </w:tcMar>
          </w:tcPr>
          <w:p w14:paraId="26D83BB5"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No</w:t>
            </w:r>
          </w:p>
        </w:tc>
        <w:tc>
          <w:tcPr>
            <w:tcW w:w="1509" w:type="dxa"/>
            <w:shd w:val="clear" w:color="auto" w:fill="auto"/>
            <w:tcMar>
              <w:top w:w="100" w:type="dxa"/>
              <w:left w:w="100" w:type="dxa"/>
              <w:bottom w:w="100" w:type="dxa"/>
              <w:right w:w="100" w:type="dxa"/>
            </w:tcMar>
          </w:tcPr>
          <w:p w14:paraId="26D83BB6"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Provides operational strength and stability in functionality </w:t>
            </w:r>
          </w:p>
        </w:tc>
        <w:tc>
          <w:tcPr>
            <w:tcW w:w="1509" w:type="dxa"/>
            <w:shd w:val="clear" w:color="auto" w:fill="auto"/>
            <w:tcMar>
              <w:top w:w="100" w:type="dxa"/>
              <w:left w:w="100" w:type="dxa"/>
              <w:bottom w:w="100" w:type="dxa"/>
              <w:right w:w="100" w:type="dxa"/>
            </w:tcMar>
          </w:tcPr>
          <w:p w14:paraId="26D83BB7"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Enables the firm to strategically position itself in the automotive industry </w:t>
            </w:r>
          </w:p>
        </w:tc>
      </w:tr>
      <w:tr w:rsidR="0092497A" w:rsidRPr="00D23C03" w14:paraId="26D83BBF" w14:textId="77777777">
        <w:trPr>
          <w:cantSplit/>
          <w:tblHeader/>
        </w:trPr>
        <w:tc>
          <w:tcPr>
            <w:tcW w:w="1695" w:type="dxa"/>
            <w:shd w:val="clear" w:color="auto" w:fill="auto"/>
            <w:tcMar>
              <w:top w:w="100" w:type="dxa"/>
              <w:left w:w="100" w:type="dxa"/>
              <w:bottom w:w="100" w:type="dxa"/>
              <w:right w:w="100" w:type="dxa"/>
            </w:tcMar>
          </w:tcPr>
          <w:p w14:paraId="26D83BB9"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Sustainability strategy </w:t>
            </w:r>
          </w:p>
        </w:tc>
        <w:tc>
          <w:tcPr>
            <w:tcW w:w="1080" w:type="dxa"/>
            <w:shd w:val="clear" w:color="auto" w:fill="auto"/>
            <w:tcMar>
              <w:top w:w="100" w:type="dxa"/>
              <w:left w:w="100" w:type="dxa"/>
              <w:bottom w:w="100" w:type="dxa"/>
              <w:right w:w="100" w:type="dxa"/>
            </w:tcMar>
          </w:tcPr>
          <w:p w14:paraId="26D83BBA"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Yes </w:t>
            </w:r>
          </w:p>
        </w:tc>
        <w:tc>
          <w:tcPr>
            <w:tcW w:w="1725" w:type="dxa"/>
            <w:shd w:val="clear" w:color="auto" w:fill="auto"/>
            <w:tcMar>
              <w:top w:w="100" w:type="dxa"/>
              <w:left w:w="100" w:type="dxa"/>
              <w:bottom w:w="100" w:type="dxa"/>
              <w:right w:w="100" w:type="dxa"/>
            </w:tcMar>
          </w:tcPr>
          <w:p w14:paraId="26D83BBB"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No</w:t>
            </w:r>
          </w:p>
        </w:tc>
        <w:tc>
          <w:tcPr>
            <w:tcW w:w="1509" w:type="dxa"/>
            <w:shd w:val="clear" w:color="auto" w:fill="auto"/>
            <w:tcMar>
              <w:top w:w="100" w:type="dxa"/>
              <w:left w:w="100" w:type="dxa"/>
              <w:bottom w:w="100" w:type="dxa"/>
              <w:right w:w="100" w:type="dxa"/>
            </w:tcMar>
          </w:tcPr>
          <w:p w14:paraId="26D83BBC"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Yes </w:t>
            </w:r>
          </w:p>
        </w:tc>
        <w:tc>
          <w:tcPr>
            <w:tcW w:w="1509" w:type="dxa"/>
            <w:shd w:val="clear" w:color="auto" w:fill="auto"/>
            <w:tcMar>
              <w:top w:w="100" w:type="dxa"/>
              <w:left w:w="100" w:type="dxa"/>
              <w:bottom w:w="100" w:type="dxa"/>
              <w:right w:w="100" w:type="dxa"/>
            </w:tcMar>
          </w:tcPr>
          <w:p w14:paraId="26D83BBD"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Provides the company with the ability to diversify its products to meet consumer preferences </w:t>
            </w:r>
          </w:p>
        </w:tc>
        <w:tc>
          <w:tcPr>
            <w:tcW w:w="1509" w:type="dxa"/>
            <w:shd w:val="clear" w:color="auto" w:fill="auto"/>
            <w:tcMar>
              <w:top w:w="100" w:type="dxa"/>
              <w:left w:w="100" w:type="dxa"/>
              <w:bottom w:w="100" w:type="dxa"/>
              <w:right w:w="100" w:type="dxa"/>
            </w:tcMar>
          </w:tcPr>
          <w:p w14:paraId="26D83BBE"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Enhances market outreach of the company</w:t>
            </w:r>
          </w:p>
        </w:tc>
      </w:tr>
      <w:tr w:rsidR="0092497A" w:rsidRPr="00D23C03" w14:paraId="26D83BC6" w14:textId="77777777">
        <w:trPr>
          <w:cantSplit/>
          <w:tblHeader/>
        </w:trPr>
        <w:tc>
          <w:tcPr>
            <w:tcW w:w="1695" w:type="dxa"/>
            <w:shd w:val="clear" w:color="auto" w:fill="auto"/>
            <w:tcMar>
              <w:top w:w="100" w:type="dxa"/>
              <w:left w:w="100" w:type="dxa"/>
              <w:bottom w:w="100" w:type="dxa"/>
              <w:right w:w="100" w:type="dxa"/>
            </w:tcMar>
          </w:tcPr>
          <w:p w14:paraId="26D83BC0"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Consumer base </w:t>
            </w:r>
          </w:p>
        </w:tc>
        <w:tc>
          <w:tcPr>
            <w:tcW w:w="1080" w:type="dxa"/>
            <w:shd w:val="clear" w:color="auto" w:fill="auto"/>
            <w:tcMar>
              <w:top w:w="100" w:type="dxa"/>
              <w:left w:w="100" w:type="dxa"/>
              <w:bottom w:w="100" w:type="dxa"/>
              <w:right w:w="100" w:type="dxa"/>
            </w:tcMar>
          </w:tcPr>
          <w:p w14:paraId="26D83BC1"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Yes </w:t>
            </w:r>
          </w:p>
        </w:tc>
        <w:tc>
          <w:tcPr>
            <w:tcW w:w="1725" w:type="dxa"/>
            <w:shd w:val="clear" w:color="auto" w:fill="auto"/>
            <w:tcMar>
              <w:top w:w="100" w:type="dxa"/>
              <w:left w:w="100" w:type="dxa"/>
              <w:bottom w:w="100" w:type="dxa"/>
              <w:right w:w="100" w:type="dxa"/>
            </w:tcMar>
          </w:tcPr>
          <w:p w14:paraId="26D83BC2"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No</w:t>
            </w:r>
          </w:p>
        </w:tc>
        <w:tc>
          <w:tcPr>
            <w:tcW w:w="1509" w:type="dxa"/>
            <w:shd w:val="clear" w:color="auto" w:fill="auto"/>
            <w:tcMar>
              <w:top w:w="100" w:type="dxa"/>
              <w:left w:w="100" w:type="dxa"/>
              <w:bottom w:w="100" w:type="dxa"/>
              <w:right w:w="100" w:type="dxa"/>
            </w:tcMar>
          </w:tcPr>
          <w:p w14:paraId="26D83BC3"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Yes </w:t>
            </w:r>
          </w:p>
        </w:tc>
        <w:tc>
          <w:tcPr>
            <w:tcW w:w="1509" w:type="dxa"/>
            <w:shd w:val="clear" w:color="auto" w:fill="auto"/>
            <w:tcMar>
              <w:top w:w="100" w:type="dxa"/>
              <w:left w:w="100" w:type="dxa"/>
              <w:bottom w:w="100" w:type="dxa"/>
              <w:right w:w="100" w:type="dxa"/>
            </w:tcMar>
          </w:tcPr>
          <w:p w14:paraId="26D83BC4"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Brand loyalty and recognition metrics are influenced</w:t>
            </w:r>
          </w:p>
        </w:tc>
        <w:tc>
          <w:tcPr>
            <w:tcW w:w="1509" w:type="dxa"/>
            <w:shd w:val="clear" w:color="auto" w:fill="auto"/>
            <w:tcMar>
              <w:top w:w="100" w:type="dxa"/>
              <w:left w:w="100" w:type="dxa"/>
              <w:bottom w:w="100" w:type="dxa"/>
              <w:right w:w="100" w:type="dxa"/>
            </w:tcMar>
          </w:tcPr>
          <w:p w14:paraId="26D83BC5"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Required to gain higher brand recognition in the industry</w:t>
            </w:r>
          </w:p>
        </w:tc>
      </w:tr>
    </w:tbl>
    <w:p w14:paraId="26D83BC7" w14:textId="77777777" w:rsidR="0092497A" w:rsidRPr="00D23C03" w:rsidRDefault="0092497A" w:rsidP="005D3E05">
      <w:pPr>
        <w:pStyle w:val="Normal1"/>
        <w:spacing w:line="360" w:lineRule="auto"/>
        <w:jc w:val="both"/>
        <w:rPr>
          <w:rFonts w:eastAsia="Times New Roman"/>
          <w:sz w:val="24"/>
          <w:szCs w:val="24"/>
          <w:lang w:val="en-GB"/>
        </w:rPr>
      </w:pPr>
    </w:p>
    <w:p w14:paraId="26D83BC8" w14:textId="77777777" w:rsidR="0092497A" w:rsidRPr="00D23C03" w:rsidRDefault="0013558E" w:rsidP="005D3E05">
      <w:pPr>
        <w:pStyle w:val="Normal1"/>
        <w:spacing w:line="360" w:lineRule="auto"/>
        <w:jc w:val="both"/>
        <w:rPr>
          <w:rFonts w:eastAsia="Times New Roman"/>
          <w:b/>
          <w:sz w:val="24"/>
          <w:szCs w:val="24"/>
          <w:lang w:val="en-GB"/>
        </w:rPr>
      </w:pPr>
      <w:r w:rsidRPr="00D23C03">
        <w:rPr>
          <w:rFonts w:eastAsia="Times New Roman"/>
          <w:b/>
          <w:sz w:val="24"/>
          <w:szCs w:val="24"/>
          <w:lang w:val="en-GB"/>
        </w:rPr>
        <w:t>Analysis of the extent to which the company has aligned its resources and capabilities to its current business strategies</w:t>
      </w:r>
    </w:p>
    <w:p w14:paraId="26D83BC9"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lastRenderedPageBreak/>
        <w:t xml:space="preserve">The resource capability of the company has been discussed </w:t>
      </w:r>
      <w:proofErr w:type="gramStart"/>
      <w:r w:rsidRPr="00D23C03">
        <w:rPr>
          <w:rFonts w:eastAsia="Times New Roman"/>
          <w:sz w:val="24"/>
          <w:szCs w:val="24"/>
          <w:lang w:val="en-GB"/>
        </w:rPr>
        <w:t>through the use of</w:t>
      </w:r>
      <w:proofErr w:type="gramEnd"/>
      <w:r w:rsidRPr="00D23C03">
        <w:rPr>
          <w:rFonts w:eastAsia="Times New Roman"/>
          <w:sz w:val="24"/>
          <w:szCs w:val="24"/>
          <w:lang w:val="en-GB"/>
        </w:rPr>
        <w:t xml:space="preserve"> analytical tools as well as dimensions of resource distinction</w:t>
      </w:r>
      <w:r w:rsidR="00027064" w:rsidRPr="00D23C03">
        <w:rPr>
          <w:rFonts w:eastAsia="Times New Roman"/>
          <w:sz w:val="24"/>
          <w:szCs w:val="24"/>
          <w:lang w:val="en-GB"/>
        </w:rPr>
        <w:t>,</w:t>
      </w:r>
      <w:r w:rsidRPr="00D23C03">
        <w:rPr>
          <w:rFonts w:eastAsia="Times New Roman"/>
          <w:sz w:val="24"/>
          <w:szCs w:val="24"/>
          <w:lang w:val="en-GB"/>
        </w:rPr>
        <w:t xml:space="preserve"> (</w:t>
      </w:r>
      <w:proofErr w:type="spellStart"/>
      <w:r w:rsidRPr="00D23C03">
        <w:rPr>
          <w:rFonts w:eastAsia="Times New Roman"/>
          <w:color w:val="222222"/>
          <w:sz w:val="24"/>
          <w:szCs w:val="24"/>
          <w:highlight w:val="white"/>
          <w:lang w:val="en-GB"/>
        </w:rPr>
        <w:t>Sharipov</w:t>
      </w:r>
      <w:proofErr w:type="spellEnd"/>
      <w:r w:rsidRPr="00D23C03">
        <w:rPr>
          <w:rFonts w:eastAsia="Times New Roman"/>
          <w:color w:val="222222"/>
          <w:sz w:val="24"/>
          <w:szCs w:val="24"/>
          <w:highlight w:val="white"/>
          <w:lang w:val="en-GB"/>
        </w:rPr>
        <w:t xml:space="preserve"> and </w:t>
      </w:r>
      <w:proofErr w:type="spellStart"/>
      <w:r w:rsidRPr="00D23C03">
        <w:rPr>
          <w:rFonts w:eastAsia="Times New Roman"/>
          <w:color w:val="222222"/>
          <w:sz w:val="24"/>
          <w:szCs w:val="24"/>
          <w:highlight w:val="white"/>
          <w:lang w:val="en-GB"/>
        </w:rPr>
        <w:t>Zaynuidinova</w:t>
      </w:r>
      <w:proofErr w:type="spellEnd"/>
      <w:r w:rsidRPr="00D23C03">
        <w:rPr>
          <w:rFonts w:eastAsia="Times New Roman"/>
          <w:color w:val="222222"/>
          <w:sz w:val="24"/>
          <w:szCs w:val="24"/>
          <w:highlight w:val="white"/>
          <w:lang w:val="en-GB"/>
        </w:rPr>
        <w:t xml:space="preserve">, 2020, p. </w:t>
      </w:r>
      <w:r w:rsidR="00027064" w:rsidRPr="00D23C03">
        <w:rPr>
          <w:rFonts w:eastAsia="Times New Roman"/>
          <w:color w:val="222222"/>
          <w:sz w:val="24"/>
          <w:szCs w:val="24"/>
          <w:highlight w:val="white"/>
          <w:lang w:val="en-GB"/>
        </w:rPr>
        <w:t>73)</w:t>
      </w:r>
      <w:r w:rsidRPr="00D23C03">
        <w:rPr>
          <w:rFonts w:eastAsia="Times New Roman"/>
          <w:sz w:val="24"/>
          <w:szCs w:val="24"/>
          <w:lang w:val="en-GB"/>
        </w:rPr>
        <w:t xml:space="preserve">. VW's major strength lies in its consumer base which it has aggregated over the years through building trust and virtue. However, as discussed in the case study the company's consumer base seems to be losing trust in the brand due to its false practices and violations of product quality metrics to sustain a competitive advantage in the industry. Consequently, to rectify its brand image the company has reasoned that it has not agreed to the liability but rather has vied for the settlement option as it is a better choice financially. The company stated that six months of prudent trial in English courts can be a prudent action commercially and therefore it settled for making payments worth £193m to the claimants. However, the company is still in a strategic advantage position because of its prevalent operational and financial strength. As mentioned above VW has operational plants spread across European </w:t>
      </w:r>
      <w:r w:rsidR="00027064" w:rsidRPr="00D23C03">
        <w:rPr>
          <w:rFonts w:eastAsia="Times New Roman"/>
          <w:sz w:val="24"/>
          <w:szCs w:val="24"/>
          <w:lang w:val="en-GB"/>
        </w:rPr>
        <w:t>nations which provide</w:t>
      </w:r>
      <w:r w:rsidRPr="00D23C03">
        <w:rPr>
          <w:rFonts w:eastAsia="Times New Roman"/>
          <w:sz w:val="24"/>
          <w:szCs w:val="24"/>
          <w:lang w:val="en-GB"/>
        </w:rPr>
        <w:t xml:space="preserve"> it with a higher supremacy over the automobile supply chain in UK. Further analysis of the ability of the company to utilise its resource capabilities optimally and a value chain analysis of the firm has been performed.</w:t>
      </w:r>
    </w:p>
    <w:p w14:paraId="26D83BCA" w14:textId="77777777" w:rsidR="0092497A" w:rsidRPr="00D23C03" w:rsidRDefault="0092497A" w:rsidP="005D3E05">
      <w:pPr>
        <w:pStyle w:val="Normal1"/>
        <w:spacing w:line="360" w:lineRule="auto"/>
        <w:jc w:val="both"/>
        <w:rPr>
          <w:rFonts w:eastAsia="Times New Roman"/>
          <w:b/>
          <w:sz w:val="24"/>
          <w:szCs w:val="24"/>
          <w:lang w:val="en-GB"/>
        </w:rPr>
      </w:pPr>
    </w:p>
    <w:p w14:paraId="26D83BCB" w14:textId="77777777" w:rsidR="0092497A" w:rsidRPr="00D23C03" w:rsidRDefault="0013558E" w:rsidP="005D3E05">
      <w:pPr>
        <w:pStyle w:val="Normal1"/>
        <w:spacing w:line="360" w:lineRule="auto"/>
        <w:jc w:val="both"/>
        <w:rPr>
          <w:rFonts w:eastAsia="Times New Roman"/>
          <w:b/>
          <w:i/>
          <w:sz w:val="24"/>
          <w:szCs w:val="24"/>
          <w:lang w:val="en-GB"/>
        </w:rPr>
      </w:pPr>
      <w:r w:rsidRPr="00D23C03">
        <w:rPr>
          <w:rFonts w:eastAsia="Times New Roman"/>
          <w:b/>
          <w:i/>
          <w:sz w:val="24"/>
          <w:szCs w:val="24"/>
          <w:lang w:val="en-GB"/>
        </w:rPr>
        <w:t xml:space="preserve">Value chain analysis </w:t>
      </w:r>
    </w:p>
    <w:p w14:paraId="26D83BCC"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Value chain analysis is a tool that enables the identification and evaluation of each of a company's activities to comprehend where opportunities lie</w:t>
      </w:r>
      <w:r w:rsidR="00027064" w:rsidRPr="00D23C03">
        <w:rPr>
          <w:rFonts w:eastAsia="Times New Roman"/>
          <w:sz w:val="24"/>
          <w:szCs w:val="24"/>
          <w:lang w:val="en-GB"/>
        </w:rPr>
        <w:t>,</w:t>
      </w:r>
      <w:r w:rsidRPr="00D23C03">
        <w:rPr>
          <w:rFonts w:eastAsia="Times New Roman"/>
          <w:sz w:val="24"/>
          <w:szCs w:val="24"/>
          <w:lang w:val="en-GB"/>
        </w:rPr>
        <w:t xml:space="preserve"> (</w:t>
      </w:r>
      <w:proofErr w:type="spellStart"/>
      <w:r w:rsidRPr="00D23C03">
        <w:rPr>
          <w:rFonts w:eastAsia="Times New Roman"/>
          <w:color w:val="222222"/>
          <w:sz w:val="24"/>
          <w:szCs w:val="24"/>
          <w:highlight w:val="white"/>
          <w:lang w:val="en-GB"/>
        </w:rPr>
        <w:t>Ke</w:t>
      </w:r>
      <w:proofErr w:type="spellEnd"/>
      <w:r w:rsidRPr="00D23C03">
        <w:rPr>
          <w:rFonts w:eastAsia="Times New Roman"/>
          <w:color w:val="222222"/>
          <w:sz w:val="24"/>
          <w:szCs w:val="24"/>
          <w:highlight w:val="white"/>
          <w:lang w:val="en-GB"/>
        </w:rPr>
        <w:t xml:space="preserve"> </w:t>
      </w:r>
      <w:r w:rsidRPr="00D23C03">
        <w:rPr>
          <w:rFonts w:eastAsia="Times New Roman"/>
          <w:i/>
          <w:color w:val="222222"/>
          <w:sz w:val="24"/>
          <w:szCs w:val="24"/>
          <w:highlight w:val="white"/>
          <w:lang w:val="en-GB"/>
        </w:rPr>
        <w:t>et al</w:t>
      </w:r>
      <w:r w:rsidRPr="00D23C03">
        <w:rPr>
          <w:rFonts w:eastAsia="Times New Roman"/>
          <w:color w:val="222222"/>
          <w:sz w:val="24"/>
          <w:szCs w:val="24"/>
          <w:highlight w:val="white"/>
          <w:lang w:val="en-GB"/>
        </w:rPr>
        <w:t>., 2019, p. 615</w:t>
      </w:r>
      <w:r w:rsidRPr="00D23C03">
        <w:rPr>
          <w:rFonts w:eastAsia="Times New Roman"/>
          <w:sz w:val="24"/>
          <w:szCs w:val="24"/>
          <w:lang w:val="en-GB"/>
        </w:rPr>
        <w:t>). The Primary activities of VW are concerned with the production, and manufacture of automobiles and the management of inbound and outbound logistics. Subsequently, this domain also entails activities that the company executes in relation to marketing and sales as well as service. Further, the support activities of the firm are majorly HRM, technology development using big data, procurement of raw materials by exercising a global supply chain and maintenance of firm infrastructure</w:t>
      </w:r>
      <w:r w:rsidR="00027064" w:rsidRPr="00D23C03">
        <w:rPr>
          <w:rFonts w:eastAsia="Times New Roman"/>
          <w:sz w:val="24"/>
          <w:szCs w:val="24"/>
          <w:lang w:val="en-GB"/>
        </w:rPr>
        <w:t>,</w:t>
      </w:r>
      <w:r w:rsidRPr="00D23C03">
        <w:rPr>
          <w:rFonts w:eastAsia="Times New Roman"/>
          <w:sz w:val="24"/>
          <w:szCs w:val="24"/>
          <w:lang w:val="en-GB"/>
        </w:rPr>
        <w:t xml:space="preserve"> (</w:t>
      </w:r>
      <w:proofErr w:type="spellStart"/>
      <w:r w:rsidRPr="00D23C03">
        <w:rPr>
          <w:rFonts w:eastAsia="Times New Roman"/>
          <w:color w:val="222222"/>
          <w:sz w:val="24"/>
          <w:szCs w:val="24"/>
          <w:highlight w:val="white"/>
          <w:lang w:val="en-GB"/>
        </w:rPr>
        <w:t>Baars</w:t>
      </w:r>
      <w:proofErr w:type="spellEnd"/>
      <w:r w:rsidRPr="00D23C03">
        <w:rPr>
          <w:rFonts w:eastAsia="Times New Roman"/>
          <w:color w:val="222222"/>
          <w:sz w:val="24"/>
          <w:szCs w:val="24"/>
          <w:highlight w:val="white"/>
          <w:lang w:val="en-GB"/>
        </w:rPr>
        <w:t xml:space="preserve"> </w:t>
      </w:r>
      <w:r w:rsidRPr="00D23C03">
        <w:rPr>
          <w:rFonts w:eastAsia="Times New Roman"/>
          <w:i/>
          <w:color w:val="222222"/>
          <w:sz w:val="24"/>
          <w:szCs w:val="24"/>
          <w:highlight w:val="white"/>
          <w:lang w:val="en-GB"/>
        </w:rPr>
        <w:t>et al</w:t>
      </w:r>
      <w:r w:rsidRPr="00D23C03">
        <w:rPr>
          <w:rFonts w:eastAsia="Times New Roman"/>
          <w:color w:val="222222"/>
          <w:sz w:val="24"/>
          <w:szCs w:val="24"/>
          <w:highlight w:val="white"/>
          <w:lang w:val="en-GB"/>
        </w:rPr>
        <w:t>., 2021, p. 76</w:t>
      </w:r>
      <w:r w:rsidRPr="00D23C03">
        <w:rPr>
          <w:rFonts w:eastAsia="Times New Roman"/>
          <w:sz w:val="24"/>
          <w:szCs w:val="24"/>
          <w:lang w:val="en-GB"/>
        </w:rPr>
        <w:t xml:space="preserve">). The combined use of these two activities enables the firm to generate and maintain profit margins in its operations. </w:t>
      </w:r>
    </w:p>
    <w:p w14:paraId="26D83BCD"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 xml:space="preserve">Resource utilization can also be comprehended </w:t>
      </w:r>
      <w:proofErr w:type="gramStart"/>
      <w:r w:rsidRPr="00D23C03">
        <w:rPr>
          <w:rFonts w:eastAsia="Times New Roman"/>
          <w:sz w:val="24"/>
          <w:szCs w:val="24"/>
          <w:lang w:val="en-GB"/>
        </w:rPr>
        <w:t>through the use of</w:t>
      </w:r>
      <w:proofErr w:type="gramEnd"/>
      <w:r w:rsidRPr="00D23C03">
        <w:rPr>
          <w:rFonts w:eastAsia="Times New Roman"/>
          <w:sz w:val="24"/>
          <w:szCs w:val="24"/>
          <w:lang w:val="en-GB"/>
        </w:rPr>
        <w:t xml:space="preserve"> a value chain analysis framework.</w:t>
      </w:r>
    </w:p>
    <w:tbl>
      <w:tblPr>
        <w:tblStyle w:val="Table3"/>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6465"/>
      </w:tblGrid>
      <w:tr w:rsidR="0092497A" w:rsidRPr="00D23C03" w14:paraId="26D83BD0" w14:textId="77777777" w:rsidTr="00E02B28">
        <w:trPr>
          <w:cantSplit/>
          <w:tblHeader/>
          <w:jc w:val="center"/>
        </w:trPr>
        <w:tc>
          <w:tcPr>
            <w:tcW w:w="2535" w:type="dxa"/>
            <w:shd w:val="clear" w:color="auto" w:fill="auto"/>
            <w:tcMar>
              <w:top w:w="100" w:type="dxa"/>
              <w:left w:w="100" w:type="dxa"/>
              <w:bottom w:w="100" w:type="dxa"/>
              <w:right w:w="100" w:type="dxa"/>
            </w:tcMar>
          </w:tcPr>
          <w:p w14:paraId="26D83BCE"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lastRenderedPageBreak/>
              <w:t xml:space="preserve">Financial </w:t>
            </w:r>
          </w:p>
        </w:tc>
        <w:tc>
          <w:tcPr>
            <w:tcW w:w="6465" w:type="dxa"/>
            <w:shd w:val="clear" w:color="auto" w:fill="auto"/>
            <w:tcMar>
              <w:top w:w="100" w:type="dxa"/>
              <w:left w:w="100" w:type="dxa"/>
              <w:bottom w:w="100" w:type="dxa"/>
              <w:right w:w="100" w:type="dxa"/>
            </w:tcMar>
          </w:tcPr>
          <w:p w14:paraId="26D83BCF"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It is a significant part of the support activity of the firm where it manages its investor relations and maintains a steady supply of funds to fuel its primary activities.</w:t>
            </w:r>
          </w:p>
        </w:tc>
      </w:tr>
      <w:tr w:rsidR="0092497A" w:rsidRPr="00D23C03" w14:paraId="26D83BD3" w14:textId="77777777" w:rsidTr="00E02B28">
        <w:trPr>
          <w:cantSplit/>
          <w:tblHeader/>
          <w:jc w:val="center"/>
        </w:trPr>
        <w:tc>
          <w:tcPr>
            <w:tcW w:w="2535" w:type="dxa"/>
            <w:shd w:val="clear" w:color="auto" w:fill="auto"/>
            <w:tcMar>
              <w:top w:w="100" w:type="dxa"/>
              <w:left w:w="100" w:type="dxa"/>
              <w:bottom w:w="100" w:type="dxa"/>
              <w:right w:w="100" w:type="dxa"/>
            </w:tcMar>
          </w:tcPr>
          <w:p w14:paraId="26D83BD1"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Operational </w:t>
            </w:r>
          </w:p>
        </w:tc>
        <w:tc>
          <w:tcPr>
            <w:tcW w:w="6465" w:type="dxa"/>
            <w:shd w:val="clear" w:color="auto" w:fill="auto"/>
            <w:tcMar>
              <w:top w:w="100" w:type="dxa"/>
              <w:left w:w="100" w:type="dxa"/>
              <w:bottom w:w="100" w:type="dxa"/>
              <w:right w:w="100" w:type="dxa"/>
            </w:tcMar>
          </w:tcPr>
          <w:p w14:paraId="26D83BD2"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Operational resources fall under the category of primary activities that are concerned with production procurement and logistics of the company’s finished products as well as its raw materials supply.</w:t>
            </w:r>
          </w:p>
        </w:tc>
      </w:tr>
      <w:tr w:rsidR="0092497A" w:rsidRPr="00D23C03" w14:paraId="26D83BD6" w14:textId="77777777" w:rsidTr="00E02B28">
        <w:trPr>
          <w:cantSplit/>
          <w:tblHeader/>
          <w:jc w:val="center"/>
        </w:trPr>
        <w:tc>
          <w:tcPr>
            <w:tcW w:w="2535" w:type="dxa"/>
            <w:shd w:val="clear" w:color="auto" w:fill="auto"/>
            <w:tcMar>
              <w:top w:w="100" w:type="dxa"/>
              <w:left w:w="100" w:type="dxa"/>
              <w:bottom w:w="100" w:type="dxa"/>
              <w:right w:w="100" w:type="dxa"/>
            </w:tcMar>
          </w:tcPr>
          <w:p w14:paraId="26D83BD4"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Human resource </w:t>
            </w:r>
          </w:p>
        </w:tc>
        <w:tc>
          <w:tcPr>
            <w:tcW w:w="6465" w:type="dxa"/>
            <w:shd w:val="clear" w:color="auto" w:fill="auto"/>
            <w:tcMar>
              <w:top w:w="100" w:type="dxa"/>
              <w:left w:w="100" w:type="dxa"/>
              <w:bottom w:w="100" w:type="dxa"/>
              <w:right w:w="100" w:type="dxa"/>
            </w:tcMar>
          </w:tcPr>
          <w:p w14:paraId="26D83BD5"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The HR or the employee capacity is a part of the support activities. The company deploys a regionalized structure of hiring through which it hires local employees to enhance its cultural coherence in the markets.</w:t>
            </w:r>
          </w:p>
        </w:tc>
      </w:tr>
      <w:tr w:rsidR="0092497A" w:rsidRPr="00D23C03" w14:paraId="26D83BD9" w14:textId="77777777" w:rsidTr="00E02B28">
        <w:trPr>
          <w:cantSplit/>
          <w:tblHeader/>
          <w:jc w:val="center"/>
        </w:trPr>
        <w:tc>
          <w:tcPr>
            <w:tcW w:w="2535" w:type="dxa"/>
            <w:shd w:val="clear" w:color="auto" w:fill="auto"/>
            <w:tcMar>
              <w:top w:w="100" w:type="dxa"/>
              <w:left w:w="100" w:type="dxa"/>
              <w:bottom w:w="100" w:type="dxa"/>
              <w:right w:w="100" w:type="dxa"/>
            </w:tcMar>
          </w:tcPr>
          <w:p w14:paraId="26D83BD7"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Intangible resource </w:t>
            </w:r>
          </w:p>
        </w:tc>
        <w:tc>
          <w:tcPr>
            <w:tcW w:w="6465" w:type="dxa"/>
            <w:shd w:val="clear" w:color="auto" w:fill="auto"/>
            <w:tcMar>
              <w:top w:w="100" w:type="dxa"/>
              <w:left w:w="100" w:type="dxa"/>
              <w:bottom w:w="100" w:type="dxa"/>
              <w:right w:w="100" w:type="dxa"/>
            </w:tcMar>
          </w:tcPr>
          <w:p w14:paraId="26D83BD8" w14:textId="77777777" w:rsidR="0092497A" w:rsidRPr="00D23C03" w:rsidRDefault="0013558E" w:rsidP="005D3E05">
            <w:pPr>
              <w:pStyle w:val="Normal1"/>
              <w:widowControl w:val="0"/>
              <w:pBdr>
                <w:top w:val="nil"/>
                <w:left w:val="nil"/>
                <w:bottom w:val="nil"/>
                <w:right w:val="nil"/>
                <w:between w:val="nil"/>
              </w:pBdr>
              <w:spacing w:line="360" w:lineRule="auto"/>
              <w:rPr>
                <w:rFonts w:eastAsia="Times New Roman"/>
                <w:sz w:val="24"/>
                <w:szCs w:val="24"/>
                <w:lang w:val="en-GB"/>
              </w:rPr>
            </w:pPr>
            <w:r w:rsidRPr="00D23C03">
              <w:rPr>
                <w:rFonts w:eastAsia="Times New Roman"/>
                <w:sz w:val="24"/>
                <w:szCs w:val="24"/>
                <w:lang w:val="en-GB"/>
              </w:rPr>
              <w:t xml:space="preserve">Intangible resources are not a part of the value chain however </w:t>
            </w:r>
            <w:r w:rsidR="00027064" w:rsidRPr="00D23C03">
              <w:rPr>
                <w:rFonts w:eastAsia="Times New Roman"/>
                <w:sz w:val="24"/>
                <w:szCs w:val="24"/>
                <w:lang w:val="en-GB"/>
              </w:rPr>
              <w:t>plays</w:t>
            </w:r>
            <w:r w:rsidRPr="00D23C03">
              <w:rPr>
                <w:rFonts w:eastAsia="Times New Roman"/>
                <w:sz w:val="24"/>
                <w:szCs w:val="24"/>
                <w:lang w:val="en-GB"/>
              </w:rPr>
              <w:t xml:space="preserve"> an influential role in determining the profit margins of the company and maintaining its brand image as well as rapport that directly impacts the sales figures of the company.</w:t>
            </w:r>
          </w:p>
        </w:tc>
      </w:tr>
    </w:tbl>
    <w:p w14:paraId="26D83BDA" w14:textId="77777777" w:rsidR="0092497A" w:rsidRPr="00D23C03" w:rsidRDefault="0092497A" w:rsidP="005D3E05">
      <w:pPr>
        <w:pStyle w:val="Normal1"/>
        <w:spacing w:line="360" w:lineRule="auto"/>
        <w:jc w:val="both"/>
        <w:rPr>
          <w:rFonts w:eastAsia="Times New Roman"/>
          <w:sz w:val="24"/>
          <w:szCs w:val="24"/>
          <w:lang w:val="en-GB"/>
        </w:rPr>
      </w:pPr>
    </w:p>
    <w:p w14:paraId="26D83BDB" w14:textId="77777777" w:rsidR="0092497A" w:rsidRPr="00D23C03" w:rsidRDefault="0013558E" w:rsidP="005D3E05">
      <w:pPr>
        <w:pStyle w:val="Normal1"/>
        <w:spacing w:line="360" w:lineRule="auto"/>
        <w:jc w:val="center"/>
        <w:rPr>
          <w:rFonts w:eastAsia="Times New Roman"/>
          <w:sz w:val="24"/>
          <w:szCs w:val="24"/>
          <w:lang w:val="en-GB"/>
        </w:rPr>
      </w:pPr>
      <w:r w:rsidRPr="00D23C03">
        <w:rPr>
          <w:rFonts w:eastAsia="Times New Roman"/>
          <w:noProof/>
          <w:sz w:val="24"/>
          <w:szCs w:val="24"/>
          <w:lang w:eastAsia="en-IN"/>
        </w:rPr>
        <w:lastRenderedPageBreak/>
        <w:drawing>
          <wp:inline distT="114300" distB="114300" distL="114300" distR="114300" wp14:anchorId="26D83C11" wp14:editId="26D83C12">
            <wp:extent cx="5348093" cy="3917789"/>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348093" cy="3917789"/>
                    </a:xfrm>
                    <a:prstGeom prst="rect">
                      <a:avLst/>
                    </a:prstGeom>
                  </pic:spPr>
                </pic:pic>
              </a:graphicData>
            </a:graphic>
          </wp:inline>
        </w:drawing>
      </w:r>
    </w:p>
    <w:p w14:paraId="26D83BDC" w14:textId="77777777" w:rsidR="0092497A" w:rsidRPr="00D23C03" w:rsidRDefault="0013558E" w:rsidP="005D3E05">
      <w:pPr>
        <w:pStyle w:val="Normal1"/>
        <w:spacing w:line="360" w:lineRule="auto"/>
        <w:jc w:val="center"/>
        <w:rPr>
          <w:rFonts w:eastAsia="Times New Roman"/>
          <w:b/>
          <w:sz w:val="24"/>
          <w:szCs w:val="24"/>
          <w:lang w:val="en-GB"/>
        </w:rPr>
      </w:pPr>
      <w:r w:rsidRPr="00D23C03">
        <w:rPr>
          <w:rFonts w:eastAsia="Times New Roman"/>
          <w:b/>
          <w:sz w:val="24"/>
          <w:szCs w:val="24"/>
          <w:lang w:val="en-GB"/>
        </w:rPr>
        <w:t>Figure 4: value chain analysis of VW</w:t>
      </w:r>
    </w:p>
    <w:p w14:paraId="26D83BDD" w14:textId="77777777" w:rsidR="0092497A" w:rsidRPr="00D23C03" w:rsidRDefault="0013558E" w:rsidP="005D3E05">
      <w:pPr>
        <w:pStyle w:val="Normal1"/>
        <w:spacing w:line="360" w:lineRule="auto"/>
        <w:jc w:val="center"/>
        <w:rPr>
          <w:rFonts w:eastAsia="Times New Roman"/>
          <w:sz w:val="24"/>
          <w:szCs w:val="24"/>
          <w:lang w:val="en-GB"/>
        </w:rPr>
      </w:pPr>
      <w:r w:rsidRPr="00D23C03">
        <w:rPr>
          <w:rFonts w:eastAsia="Times New Roman"/>
          <w:sz w:val="24"/>
          <w:szCs w:val="24"/>
          <w:lang w:val="en-GB"/>
        </w:rPr>
        <w:t xml:space="preserve">(Source: </w:t>
      </w:r>
      <w:r w:rsidRPr="00D23C03">
        <w:rPr>
          <w:rFonts w:eastAsia="Times New Roman"/>
          <w:i/>
          <w:sz w:val="24"/>
          <w:szCs w:val="24"/>
          <w:lang w:val="en-GB"/>
        </w:rPr>
        <w:t xml:space="preserve">Volkswagen </w:t>
      </w:r>
      <w:proofErr w:type="spellStart"/>
      <w:r w:rsidRPr="00D23C03">
        <w:rPr>
          <w:rFonts w:eastAsia="Times New Roman"/>
          <w:i/>
          <w:sz w:val="24"/>
          <w:szCs w:val="24"/>
          <w:lang w:val="en-GB"/>
        </w:rPr>
        <w:t>Konzern</w:t>
      </w:r>
      <w:proofErr w:type="spellEnd"/>
      <w:r w:rsidRPr="00D23C03">
        <w:rPr>
          <w:rFonts w:eastAsia="Times New Roman"/>
          <w:sz w:val="24"/>
          <w:szCs w:val="24"/>
          <w:lang w:val="en-GB"/>
        </w:rPr>
        <w:t>, 2022)</w:t>
      </w:r>
    </w:p>
    <w:p w14:paraId="26D83BDE" w14:textId="77777777" w:rsidR="0092497A" w:rsidRPr="00D23C03" w:rsidRDefault="0013558E" w:rsidP="005D3E05">
      <w:pPr>
        <w:pStyle w:val="Normal1"/>
        <w:spacing w:line="360" w:lineRule="auto"/>
        <w:jc w:val="both"/>
        <w:rPr>
          <w:rFonts w:eastAsia="Times New Roman"/>
          <w:b/>
          <w:sz w:val="24"/>
          <w:szCs w:val="24"/>
          <w:lang w:val="en-GB"/>
        </w:rPr>
      </w:pPr>
      <w:r w:rsidRPr="00D23C03">
        <w:rPr>
          <w:rFonts w:eastAsia="Times New Roman"/>
          <w:b/>
          <w:sz w:val="24"/>
          <w:szCs w:val="24"/>
          <w:lang w:val="en-GB"/>
        </w:rPr>
        <w:t xml:space="preserve">Evaluation of the </w:t>
      </w:r>
      <w:proofErr w:type="gramStart"/>
      <w:r w:rsidRPr="00D23C03">
        <w:rPr>
          <w:rFonts w:eastAsia="Times New Roman"/>
          <w:b/>
          <w:sz w:val="24"/>
          <w:szCs w:val="24"/>
          <w:lang w:val="en-GB"/>
        </w:rPr>
        <w:t>manner in which</w:t>
      </w:r>
      <w:proofErr w:type="gramEnd"/>
      <w:r w:rsidRPr="00D23C03">
        <w:rPr>
          <w:rFonts w:eastAsia="Times New Roman"/>
          <w:b/>
          <w:sz w:val="24"/>
          <w:szCs w:val="24"/>
          <w:lang w:val="en-GB"/>
        </w:rPr>
        <w:t xml:space="preserve"> VW has tried to become more competitive while taking into consideration sustainability and the environment</w:t>
      </w:r>
    </w:p>
    <w:p w14:paraId="26D83BDF"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VW's current strategic venture is focussed on the implementation and achievement of "New Auto-Mobility for generations to come". The group strategy is focused on enhancing the sustainability inclination of the firm and assisting it in transitioning into a zero-emission automotive company (</w:t>
      </w:r>
      <w:r w:rsidRPr="00D23C03">
        <w:rPr>
          <w:rFonts w:eastAsia="Times New Roman"/>
          <w:i/>
          <w:sz w:val="24"/>
          <w:szCs w:val="24"/>
          <w:lang w:val="en-GB"/>
        </w:rPr>
        <w:t>Sustainability Report, 2021</w:t>
      </w:r>
      <w:r w:rsidRPr="00D23C03">
        <w:rPr>
          <w:rFonts w:eastAsia="Times New Roman"/>
          <w:sz w:val="24"/>
          <w:szCs w:val="24"/>
          <w:lang w:val="en-GB"/>
        </w:rPr>
        <w:t xml:space="preserve">). The company has been investing extensively in its R&amp;D segment to develop efficient electric vehicles that can assist the business in aligning its operations with the SDG goals of sustainable development. The achievement of this strategic venture is envisaged by the company through the deployment of several initiatives of the new auto strategy. </w:t>
      </w:r>
    </w:p>
    <w:p w14:paraId="26D83BE0"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 xml:space="preserve">Mechatronics: The </w:t>
      </w:r>
      <w:r w:rsidR="00027064" w:rsidRPr="00D23C03">
        <w:rPr>
          <w:rFonts w:eastAsia="Times New Roman"/>
          <w:sz w:val="24"/>
          <w:szCs w:val="24"/>
          <w:lang w:val="en-GB"/>
        </w:rPr>
        <w:t>Company</w:t>
      </w:r>
      <w:r w:rsidRPr="00D23C03">
        <w:rPr>
          <w:rFonts w:eastAsia="Times New Roman"/>
          <w:sz w:val="24"/>
          <w:szCs w:val="24"/>
          <w:lang w:val="en-GB"/>
        </w:rPr>
        <w:t xml:space="preserve"> is planning to make substantial changes in its product development and has thereby developed a standard platform named SSP or Scalable Systems Platform. This is to assist the company in enhancing its synergy effects</w:t>
      </w:r>
      <w:r w:rsidR="00027064" w:rsidRPr="00D23C03">
        <w:rPr>
          <w:rFonts w:eastAsia="Times New Roman"/>
          <w:sz w:val="24"/>
          <w:szCs w:val="24"/>
          <w:lang w:val="en-GB"/>
        </w:rPr>
        <w:t>, reducing</w:t>
      </w:r>
      <w:r w:rsidRPr="00D23C03">
        <w:rPr>
          <w:rFonts w:eastAsia="Times New Roman"/>
          <w:sz w:val="24"/>
          <w:szCs w:val="24"/>
          <w:lang w:val="en-GB"/>
        </w:rPr>
        <w:t xml:space="preserve"> its </w:t>
      </w:r>
      <w:proofErr w:type="gramStart"/>
      <w:r w:rsidRPr="00D23C03">
        <w:rPr>
          <w:rFonts w:eastAsia="Times New Roman"/>
          <w:sz w:val="24"/>
          <w:szCs w:val="24"/>
          <w:lang w:val="en-GB"/>
        </w:rPr>
        <w:t>investments</w:t>
      </w:r>
      <w:proofErr w:type="gramEnd"/>
      <w:r w:rsidRPr="00D23C03">
        <w:rPr>
          <w:rFonts w:eastAsia="Times New Roman"/>
          <w:sz w:val="24"/>
          <w:szCs w:val="24"/>
          <w:lang w:val="en-GB"/>
        </w:rPr>
        <w:t xml:space="preserve"> and paced transitioning into new technology adaptation.  </w:t>
      </w:r>
    </w:p>
    <w:p w14:paraId="26D83BE1"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 xml:space="preserve">Software: Software-based consumer functions such as automated vehicles or driver-assisting software are in the development phases. Further </w:t>
      </w:r>
      <w:proofErr w:type="gramStart"/>
      <w:r w:rsidRPr="00D23C03">
        <w:rPr>
          <w:rFonts w:eastAsia="Times New Roman"/>
          <w:sz w:val="24"/>
          <w:szCs w:val="24"/>
          <w:lang w:val="en-GB"/>
        </w:rPr>
        <w:t>in order to</w:t>
      </w:r>
      <w:proofErr w:type="gramEnd"/>
      <w:r w:rsidRPr="00D23C03">
        <w:rPr>
          <w:rFonts w:eastAsia="Times New Roman"/>
          <w:sz w:val="24"/>
          <w:szCs w:val="24"/>
          <w:lang w:val="en-GB"/>
        </w:rPr>
        <w:t xml:space="preserve"> enhance the </w:t>
      </w:r>
      <w:r w:rsidRPr="00D23C03">
        <w:rPr>
          <w:rFonts w:eastAsia="Times New Roman"/>
          <w:sz w:val="24"/>
          <w:szCs w:val="24"/>
          <w:lang w:val="en-GB"/>
        </w:rPr>
        <w:lastRenderedPageBreak/>
        <w:t xml:space="preserve">efficiency of this process the company plans to deploy the development expertise of CARIAD's new software architecture E 2.0. </w:t>
      </w:r>
    </w:p>
    <w:p w14:paraId="26D83BE2"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Battery: The development of EV automobiles requires procurement and regular supply of efficient batteries and to suffice this purpose the company plans to implement a Cell and battery strategy initiative. This initiative is to assist the firm in drawing expertise from various group members and driving the transformation successfully (</w:t>
      </w:r>
      <w:r w:rsidRPr="00D23C03">
        <w:rPr>
          <w:rFonts w:eastAsia="Times New Roman"/>
          <w:i/>
          <w:sz w:val="24"/>
          <w:szCs w:val="24"/>
          <w:lang w:val="en-GB"/>
        </w:rPr>
        <w:t>Strategy,</w:t>
      </w:r>
      <w:r w:rsidRPr="00D23C03">
        <w:rPr>
          <w:rFonts w:eastAsia="Times New Roman"/>
          <w:sz w:val="24"/>
          <w:szCs w:val="24"/>
          <w:lang w:val="en-GB"/>
        </w:rPr>
        <w:t xml:space="preserve"> 2022).  </w:t>
      </w:r>
    </w:p>
    <w:p w14:paraId="26D83BE3"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 xml:space="preserve">Charging: The achievement of the charging initiative is to be sufficed through successful synergies between various brands and the creation of a comprehensive charging network across its service network. </w:t>
      </w:r>
    </w:p>
    <w:p w14:paraId="26D83BE4"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 xml:space="preserve">Mobility solutions: The motto of the company is “Mobility for generations to come”, which it is envisioning by </w:t>
      </w:r>
      <w:proofErr w:type="gramStart"/>
      <w:r w:rsidRPr="00D23C03">
        <w:rPr>
          <w:rFonts w:eastAsia="Times New Roman"/>
          <w:sz w:val="24"/>
          <w:szCs w:val="24"/>
          <w:lang w:val="en-GB"/>
        </w:rPr>
        <w:t>taking into account</w:t>
      </w:r>
      <w:proofErr w:type="gramEnd"/>
      <w:r w:rsidRPr="00D23C03">
        <w:rPr>
          <w:rFonts w:eastAsia="Times New Roman"/>
          <w:sz w:val="24"/>
          <w:szCs w:val="24"/>
          <w:lang w:val="en-GB"/>
        </w:rPr>
        <w:t xml:space="preserve"> global trends as well as changing consumer preferences. </w:t>
      </w:r>
    </w:p>
    <w:p w14:paraId="26D83BE5"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ESG and Decarbonisation: ESG performance is directly related to the company's market capitalization and substantial advancement is to be made on this forum through active stakeholder engagement. The aspect of decarbonisation which led the company to face lawsuits in the England and Wales region is to be monitored and issues are to be mitigated on an urgent basis.</w:t>
      </w:r>
    </w:p>
    <w:p w14:paraId="26D83BE6" w14:textId="77777777"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 xml:space="preserve">Business Model 2.0: The </w:t>
      </w:r>
      <w:r w:rsidR="00027064" w:rsidRPr="00D23C03">
        <w:rPr>
          <w:rFonts w:eastAsia="Times New Roman"/>
          <w:sz w:val="24"/>
          <w:szCs w:val="24"/>
          <w:lang w:val="en-GB"/>
        </w:rPr>
        <w:t>Company</w:t>
      </w:r>
      <w:r w:rsidRPr="00D23C03">
        <w:rPr>
          <w:rFonts w:eastAsia="Times New Roman"/>
          <w:sz w:val="24"/>
          <w:szCs w:val="24"/>
          <w:lang w:val="en-GB"/>
        </w:rPr>
        <w:t xml:space="preserve"> envisions staying connected with the consumers throughout the vehicle lifecycle. This can assist the firm in enhancing its service quality as well as assisting consumers to match their needs with the product applications.</w:t>
      </w:r>
    </w:p>
    <w:p w14:paraId="26D83BE7" w14:textId="77777777" w:rsidR="0092497A" w:rsidRPr="00D23C03" w:rsidRDefault="0013558E" w:rsidP="005D3E05">
      <w:pPr>
        <w:pStyle w:val="Normal1"/>
        <w:spacing w:line="360" w:lineRule="auto"/>
        <w:jc w:val="both"/>
        <w:rPr>
          <w:rFonts w:eastAsia="Times New Roman"/>
          <w:b/>
          <w:i/>
          <w:color w:val="202124"/>
          <w:sz w:val="24"/>
          <w:szCs w:val="24"/>
          <w:highlight w:val="white"/>
          <w:lang w:val="en-GB"/>
        </w:rPr>
      </w:pPr>
      <w:r w:rsidRPr="00D23C03">
        <w:rPr>
          <w:rFonts w:eastAsia="Times New Roman"/>
          <w:b/>
          <w:i/>
          <w:color w:val="202124"/>
          <w:sz w:val="24"/>
          <w:szCs w:val="24"/>
          <w:highlight w:val="white"/>
          <w:lang w:val="en-GB"/>
        </w:rPr>
        <w:t>BCG Matrix</w:t>
      </w:r>
    </w:p>
    <w:p w14:paraId="26D83BE8" w14:textId="77777777" w:rsidR="0092497A" w:rsidRPr="00D23C03" w:rsidRDefault="0013558E" w:rsidP="005D3E05">
      <w:pPr>
        <w:pStyle w:val="Normal1"/>
        <w:spacing w:line="360" w:lineRule="auto"/>
        <w:jc w:val="center"/>
        <w:rPr>
          <w:rFonts w:eastAsia="Times New Roman"/>
          <w:b/>
          <w:i/>
          <w:color w:val="202124"/>
          <w:sz w:val="24"/>
          <w:szCs w:val="24"/>
          <w:highlight w:val="white"/>
          <w:lang w:val="en-GB"/>
        </w:rPr>
      </w:pPr>
      <w:r w:rsidRPr="00D23C03">
        <w:rPr>
          <w:rFonts w:eastAsia="Times New Roman"/>
          <w:b/>
          <w:i/>
          <w:noProof/>
          <w:color w:val="202124"/>
          <w:sz w:val="24"/>
          <w:szCs w:val="24"/>
          <w:highlight w:val="white"/>
          <w:lang w:eastAsia="en-IN"/>
        </w:rPr>
        <w:drawing>
          <wp:inline distT="114300" distB="114300" distL="114300" distR="114300" wp14:anchorId="26D83C13" wp14:editId="26D83C14">
            <wp:extent cx="3857625" cy="249555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0" cstate="print"/>
                    <a:srcRect t="12520" r="32724"/>
                    <a:stretch>
                      <a:fillRect/>
                    </a:stretch>
                  </pic:blipFill>
                  <pic:spPr>
                    <a:xfrm>
                      <a:off x="0" y="0"/>
                      <a:ext cx="3857625" cy="2495550"/>
                    </a:xfrm>
                    <a:prstGeom prst="rect">
                      <a:avLst/>
                    </a:prstGeom>
                  </pic:spPr>
                </pic:pic>
              </a:graphicData>
            </a:graphic>
          </wp:inline>
        </w:drawing>
      </w:r>
    </w:p>
    <w:p w14:paraId="26D83BE9" w14:textId="77777777" w:rsidR="0092497A" w:rsidRPr="00D23C03" w:rsidRDefault="0013558E" w:rsidP="005D3E05">
      <w:pPr>
        <w:pStyle w:val="Normal1"/>
        <w:spacing w:line="360" w:lineRule="auto"/>
        <w:jc w:val="center"/>
        <w:rPr>
          <w:rFonts w:eastAsia="Times New Roman"/>
          <w:b/>
          <w:color w:val="202124"/>
          <w:sz w:val="24"/>
          <w:szCs w:val="24"/>
          <w:highlight w:val="white"/>
          <w:lang w:val="en-GB"/>
        </w:rPr>
      </w:pPr>
      <w:r w:rsidRPr="00D23C03">
        <w:rPr>
          <w:rFonts w:eastAsia="Times New Roman"/>
          <w:b/>
          <w:color w:val="202124"/>
          <w:sz w:val="24"/>
          <w:szCs w:val="24"/>
          <w:highlight w:val="white"/>
          <w:lang w:val="en-GB"/>
        </w:rPr>
        <w:t>Figure 5: BCG matrix</w:t>
      </w:r>
    </w:p>
    <w:p w14:paraId="26D83BEA" w14:textId="77777777" w:rsidR="0092497A" w:rsidRPr="00D23C03" w:rsidRDefault="0013558E" w:rsidP="005D3E05">
      <w:pPr>
        <w:pStyle w:val="Normal1"/>
        <w:spacing w:line="360" w:lineRule="auto"/>
        <w:jc w:val="center"/>
        <w:rPr>
          <w:rFonts w:eastAsia="Times New Roman"/>
          <w:color w:val="202124"/>
          <w:sz w:val="24"/>
          <w:szCs w:val="24"/>
          <w:highlight w:val="white"/>
          <w:lang w:val="en-GB"/>
        </w:rPr>
      </w:pPr>
      <w:r w:rsidRPr="00D23C03">
        <w:rPr>
          <w:rFonts w:eastAsia="Times New Roman"/>
          <w:color w:val="202124"/>
          <w:sz w:val="24"/>
          <w:szCs w:val="24"/>
          <w:highlight w:val="white"/>
          <w:lang w:val="en-GB"/>
        </w:rPr>
        <w:t xml:space="preserve">(Source: </w:t>
      </w:r>
      <w:r w:rsidRPr="00D23C03">
        <w:rPr>
          <w:rFonts w:eastAsia="Times New Roman"/>
          <w:i/>
          <w:color w:val="202124"/>
          <w:sz w:val="24"/>
          <w:szCs w:val="24"/>
          <w:highlight w:val="white"/>
          <w:lang w:val="en-GB"/>
        </w:rPr>
        <w:t>BCG</w:t>
      </w:r>
      <w:r w:rsidRPr="00D23C03">
        <w:rPr>
          <w:rFonts w:eastAsia="Times New Roman"/>
          <w:color w:val="202124"/>
          <w:sz w:val="24"/>
          <w:szCs w:val="24"/>
          <w:highlight w:val="white"/>
          <w:lang w:val="en-GB"/>
        </w:rPr>
        <w:t>, 2022)</w:t>
      </w:r>
    </w:p>
    <w:p w14:paraId="26D83BEB" w14:textId="77777777" w:rsidR="0092497A" w:rsidRPr="00D23C03" w:rsidRDefault="0013558E" w:rsidP="005D3E05">
      <w:pPr>
        <w:pStyle w:val="Normal1"/>
        <w:spacing w:line="360" w:lineRule="auto"/>
        <w:jc w:val="both"/>
        <w:rPr>
          <w:rFonts w:eastAsia="Times New Roman"/>
          <w:color w:val="202124"/>
          <w:sz w:val="24"/>
          <w:szCs w:val="24"/>
          <w:highlight w:val="white"/>
          <w:lang w:val="en-GB"/>
        </w:rPr>
      </w:pPr>
      <w:r w:rsidRPr="00D23C03">
        <w:rPr>
          <w:rFonts w:eastAsia="Times New Roman"/>
          <w:color w:val="202124"/>
          <w:sz w:val="24"/>
          <w:szCs w:val="24"/>
          <w:highlight w:val="white"/>
          <w:lang w:val="en-GB"/>
        </w:rPr>
        <w:lastRenderedPageBreak/>
        <w:t xml:space="preserve">The BCG matrix is a growth-share matrix that enables businesses to effectively manage their portfolios and configure how to prioritise their different business units. The model has four distinct quadrants of a cash cow, star, question mark and pet. Each of these segments plays a distinctive role in the analysis of the product or service value of the company's differentiated portfolio of offerings. </w:t>
      </w:r>
    </w:p>
    <w:p w14:paraId="26D83BEC" w14:textId="77777777" w:rsidR="0092497A" w:rsidRPr="00D23C03" w:rsidRDefault="0013558E" w:rsidP="005D3E05">
      <w:pPr>
        <w:pStyle w:val="Normal1"/>
        <w:spacing w:line="360" w:lineRule="auto"/>
        <w:jc w:val="both"/>
        <w:rPr>
          <w:rFonts w:eastAsia="Times New Roman"/>
          <w:color w:val="202124"/>
          <w:sz w:val="24"/>
          <w:szCs w:val="24"/>
          <w:highlight w:val="white"/>
          <w:lang w:val="en-GB"/>
        </w:rPr>
      </w:pPr>
      <w:r w:rsidRPr="00D23C03">
        <w:rPr>
          <w:rFonts w:eastAsia="Times New Roman"/>
          <w:color w:val="202124"/>
          <w:sz w:val="24"/>
          <w:szCs w:val="24"/>
          <w:highlight w:val="white"/>
          <w:lang w:val="en-GB"/>
        </w:rPr>
        <w:t>Cash cows (High Share, Low Growth): Products of VW that fall under this category provide the company with revenues that can be used to fuel other developmental activities of the business. The VW polo and Jetta are some of the company products that fall under this category (</w:t>
      </w:r>
      <w:r w:rsidRPr="00D23C03">
        <w:rPr>
          <w:rFonts w:eastAsia="Times New Roman"/>
          <w:i/>
          <w:color w:val="202124"/>
          <w:sz w:val="24"/>
          <w:szCs w:val="24"/>
          <w:highlight w:val="white"/>
          <w:lang w:val="en-GB"/>
        </w:rPr>
        <w:t>Strategy,</w:t>
      </w:r>
      <w:r w:rsidRPr="00D23C03">
        <w:rPr>
          <w:rFonts w:eastAsia="Times New Roman"/>
          <w:color w:val="202124"/>
          <w:sz w:val="24"/>
          <w:szCs w:val="24"/>
          <w:highlight w:val="white"/>
          <w:lang w:val="en-GB"/>
        </w:rPr>
        <w:t xml:space="preserve"> 2022). </w:t>
      </w:r>
    </w:p>
    <w:p w14:paraId="26D83BED" w14:textId="77777777" w:rsidR="0092497A" w:rsidRPr="00D23C03" w:rsidRDefault="0013558E" w:rsidP="005D3E05">
      <w:pPr>
        <w:pStyle w:val="Normal1"/>
        <w:spacing w:line="360" w:lineRule="auto"/>
        <w:jc w:val="both"/>
        <w:rPr>
          <w:rFonts w:eastAsia="Times New Roman"/>
          <w:color w:val="202124"/>
          <w:sz w:val="24"/>
          <w:szCs w:val="24"/>
          <w:highlight w:val="white"/>
          <w:lang w:val="en-GB"/>
        </w:rPr>
      </w:pPr>
      <w:r w:rsidRPr="00D23C03">
        <w:rPr>
          <w:rFonts w:eastAsia="Times New Roman"/>
          <w:color w:val="202124"/>
          <w:sz w:val="24"/>
          <w:szCs w:val="24"/>
          <w:highlight w:val="white"/>
          <w:lang w:val="en-GB"/>
        </w:rPr>
        <w:t xml:space="preserve">Stars (High Share, High Growth): This product portfolio of VW concerns automobiles that have high future growth prospects. Automated vehicles and zero-emission EVs by VW fall under this category. </w:t>
      </w:r>
    </w:p>
    <w:p w14:paraId="26D83BEE" w14:textId="77777777" w:rsidR="0092497A" w:rsidRPr="00D23C03" w:rsidRDefault="0013558E" w:rsidP="005D3E05">
      <w:pPr>
        <w:pStyle w:val="Normal1"/>
        <w:spacing w:line="360" w:lineRule="auto"/>
        <w:jc w:val="both"/>
        <w:rPr>
          <w:rFonts w:eastAsia="Times New Roman"/>
          <w:color w:val="202124"/>
          <w:sz w:val="24"/>
          <w:szCs w:val="24"/>
          <w:highlight w:val="white"/>
          <w:lang w:val="en-GB"/>
        </w:rPr>
      </w:pPr>
      <w:r w:rsidRPr="00D23C03">
        <w:rPr>
          <w:rFonts w:eastAsia="Times New Roman"/>
          <w:color w:val="202124"/>
          <w:sz w:val="24"/>
          <w:szCs w:val="24"/>
          <w:highlight w:val="white"/>
          <w:lang w:val="en-GB"/>
        </w:rPr>
        <w:t>Question marks (Low share, High Growth): The conventional model combustible engine vehicles that faced severe lags in UK market and failed to maintain emission standards of the government fall under this category. The products as planned by VW management are to be replaced across the global supply chain as they can potentially hamper the company’s brand value.</w:t>
      </w:r>
    </w:p>
    <w:p w14:paraId="26D83BEF" w14:textId="77777777" w:rsidR="0092497A" w:rsidRPr="00D23C03" w:rsidRDefault="0013558E" w:rsidP="005D3E05">
      <w:pPr>
        <w:pStyle w:val="Normal1"/>
        <w:spacing w:line="360" w:lineRule="auto"/>
        <w:jc w:val="both"/>
        <w:rPr>
          <w:rFonts w:eastAsia="Times New Roman"/>
          <w:color w:val="202124"/>
          <w:sz w:val="24"/>
          <w:szCs w:val="24"/>
          <w:highlight w:val="white"/>
          <w:lang w:val="en-GB"/>
        </w:rPr>
      </w:pPr>
      <w:r w:rsidRPr="00D23C03">
        <w:rPr>
          <w:rFonts w:eastAsia="Times New Roman"/>
          <w:color w:val="202124"/>
          <w:sz w:val="24"/>
          <w:szCs w:val="24"/>
          <w:highlight w:val="white"/>
          <w:lang w:val="en-GB"/>
        </w:rPr>
        <w:t xml:space="preserve">Pets (Low share, Low growth):  The products of VW that failed to meet consumer preferences or market demands fall under this category. Production of these units is to be stopped and liquidation or divestment in such units is to be carried out. </w:t>
      </w:r>
    </w:p>
    <w:p w14:paraId="26D83BF0" w14:textId="77777777" w:rsidR="0092497A" w:rsidRPr="00D23C03" w:rsidRDefault="0092497A" w:rsidP="005D3E05">
      <w:pPr>
        <w:pStyle w:val="Normal1"/>
        <w:spacing w:line="360" w:lineRule="auto"/>
        <w:jc w:val="both"/>
        <w:rPr>
          <w:rFonts w:eastAsia="Times New Roman"/>
          <w:color w:val="202124"/>
          <w:sz w:val="24"/>
          <w:szCs w:val="24"/>
          <w:highlight w:val="white"/>
          <w:lang w:val="en-GB"/>
        </w:rPr>
      </w:pPr>
    </w:p>
    <w:p w14:paraId="26D83BF1" w14:textId="77777777" w:rsidR="0092497A" w:rsidRPr="00D23C03" w:rsidRDefault="0013558E" w:rsidP="005D3E05">
      <w:pPr>
        <w:pStyle w:val="Normal1"/>
        <w:spacing w:line="360" w:lineRule="auto"/>
        <w:jc w:val="both"/>
        <w:rPr>
          <w:rFonts w:eastAsia="Times New Roman"/>
          <w:b/>
          <w:sz w:val="24"/>
          <w:szCs w:val="24"/>
          <w:lang w:val="en-GB"/>
        </w:rPr>
      </w:pPr>
      <w:r w:rsidRPr="00D23C03">
        <w:rPr>
          <w:rFonts w:eastAsia="Times New Roman"/>
          <w:b/>
          <w:sz w:val="24"/>
          <w:szCs w:val="24"/>
          <w:lang w:val="en-GB"/>
        </w:rPr>
        <w:t>Recommendations regarding further sustainability practices can help the organisation to develop competitive advantages in the future</w:t>
      </w:r>
    </w:p>
    <w:p w14:paraId="26D83BF2" w14:textId="0AC732C5" w:rsidR="0092497A"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 xml:space="preserve">The Green economics theory advocates growth in employment and income is driven by public and private investment. The activities of economic development and enhancement of infrastructure are to be carried out in a manner that enables judicious use of resources as well as protection of the environment. The strategic venture of VW in recent times is empowered by its inclination towards sustainability and its future imperative of successfully implementing “New Auto-Mobility for generations to come”, by 2030. The company plans to make significant transitions in its product portfolio to achieve this purpose. However, as analysed from the case study and the company’s reports it has been comprehended that the firm is planning to make substantial improvements in its product or output side of the business. This reflects that its focus on making changes in its production or input process is relatively low. The brand image </w:t>
      </w:r>
      <w:r w:rsidRPr="00D23C03">
        <w:rPr>
          <w:rFonts w:eastAsia="Times New Roman"/>
          <w:sz w:val="24"/>
          <w:szCs w:val="24"/>
          <w:lang w:val="en-GB"/>
        </w:rPr>
        <w:lastRenderedPageBreak/>
        <w:t xml:space="preserve">of the company has suffered a setback due to its failure to maintain environment safeguard guidelines and accusations related to false equipment installation. </w:t>
      </w:r>
      <w:proofErr w:type="gramStart"/>
      <w:r w:rsidRPr="00D23C03">
        <w:rPr>
          <w:rFonts w:eastAsia="Times New Roman"/>
          <w:sz w:val="24"/>
          <w:szCs w:val="24"/>
          <w:lang w:val="en-GB"/>
        </w:rPr>
        <w:t>In order to</w:t>
      </w:r>
      <w:proofErr w:type="gramEnd"/>
      <w:r w:rsidRPr="00D23C03">
        <w:rPr>
          <w:rFonts w:eastAsia="Times New Roman"/>
          <w:sz w:val="24"/>
          <w:szCs w:val="24"/>
          <w:lang w:val="en-GB"/>
        </w:rPr>
        <w:t xml:space="preserve"> mitigate these </w:t>
      </w:r>
      <w:r w:rsidR="00D23C03" w:rsidRPr="00D23C03">
        <w:rPr>
          <w:rFonts w:eastAsia="Times New Roman"/>
          <w:sz w:val="24"/>
          <w:szCs w:val="24"/>
          <w:lang w:val="en-GB"/>
        </w:rPr>
        <w:t>issues,</w:t>
      </w:r>
      <w:r w:rsidRPr="00D23C03">
        <w:rPr>
          <w:rFonts w:eastAsia="Times New Roman"/>
          <w:sz w:val="24"/>
          <w:szCs w:val="24"/>
          <w:lang w:val="en-GB"/>
        </w:rPr>
        <w:t xml:space="preserve"> it is recommended that a three-fold approach of </w:t>
      </w:r>
      <w:r w:rsidRPr="00D23C03">
        <w:rPr>
          <w:rFonts w:eastAsia="Times New Roman"/>
          <w:i/>
          <w:sz w:val="24"/>
          <w:szCs w:val="24"/>
          <w:lang w:val="en-GB"/>
        </w:rPr>
        <w:t>quality maintenance</w:t>
      </w:r>
      <w:r w:rsidRPr="00D23C03">
        <w:rPr>
          <w:rFonts w:eastAsia="Times New Roman"/>
          <w:sz w:val="24"/>
          <w:szCs w:val="24"/>
          <w:lang w:val="en-GB"/>
        </w:rPr>
        <w:t xml:space="preserve">, </w:t>
      </w:r>
      <w:r w:rsidRPr="00D23C03">
        <w:rPr>
          <w:rFonts w:eastAsia="Times New Roman"/>
          <w:i/>
          <w:sz w:val="24"/>
          <w:szCs w:val="24"/>
          <w:lang w:val="en-GB"/>
        </w:rPr>
        <w:t>sustainability in production</w:t>
      </w:r>
      <w:r w:rsidRPr="00D23C03">
        <w:rPr>
          <w:rFonts w:eastAsia="Times New Roman"/>
          <w:sz w:val="24"/>
          <w:szCs w:val="24"/>
          <w:lang w:val="en-GB"/>
        </w:rPr>
        <w:t xml:space="preserve"> and </w:t>
      </w:r>
      <w:r w:rsidRPr="00D23C03">
        <w:rPr>
          <w:rFonts w:eastAsia="Times New Roman"/>
          <w:i/>
          <w:sz w:val="24"/>
          <w:szCs w:val="24"/>
          <w:lang w:val="en-GB"/>
        </w:rPr>
        <w:t>enhanced focus on customer relationship</w:t>
      </w:r>
      <w:r w:rsidRPr="00D23C03">
        <w:rPr>
          <w:rFonts w:eastAsia="Times New Roman"/>
          <w:sz w:val="24"/>
          <w:szCs w:val="24"/>
          <w:lang w:val="en-GB"/>
        </w:rPr>
        <w:t xml:space="preserve"> is to be carried out by the firm. The first strategy can enable the firm to set standard practices of quality checks to evaluate its product efficiency before launching in markets, followed by the approach of sustainability in operations. This strategy can assist the firm in reducing its emissions and carbon footprint on the planet, enabling it to pose as a sustainable automobile company. Consequently, it can assist in empowering brand trust, community relationships as well as the goodwill of the company. Lastly, the customer relationship is to be improved through the inoculation of several consumer </w:t>
      </w:r>
      <w:r w:rsidR="00027064" w:rsidRPr="00D23C03">
        <w:rPr>
          <w:rFonts w:eastAsia="Times New Roman"/>
          <w:sz w:val="24"/>
          <w:szCs w:val="24"/>
          <w:lang w:val="en-GB"/>
        </w:rPr>
        <w:t>touch points</w:t>
      </w:r>
      <w:r w:rsidRPr="00D23C03">
        <w:rPr>
          <w:rFonts w:eastAsia="Times New Roman"/>
          <w:sz w:val="24"/>
          <w:szCs w:val="24"/>
          <w:lang w:val="en-GB"/>
        </w:rPr>
        <w:t xml:space="preserve"> for providing an immersive consumer experience throughout the vehicle life cycle.</w:t>
      </w:r>
    </w:p>
    <w:p w14:paraId="26D83BF3" w14:textId="77777777" w:rsidR="0092497A" w:rsidRPr="00D23C03" w:rsidRDefault="0013558E" w:rsidP="005D3E05">
      <w:pPr>
        <w:pStyle w:val="Heading1"/>
        <w:rPr>
          <w:rFonts w:ascii="Arial" w:hAnsi="Arial" w:cs="Arial"/>
        </w:rPr>
      </w:pPr>
      <w:r w:rsidRPr="00D23C03">
        <w:rPr>
          <w:rFonts w:ascii="Arial" w:hAnsi="Arial" w:cs="Arial"/>
        </w:rPr>
        <w:t>Conclusion</w:t>
      </w:r>
    </w:p>
    <w:p w14:paraId="26D83BF4" w14:textId="77777777" w:rsidR="00027064" w:rsidRPr="00D23C03" w:rsidRDefault="0013558E" w:rsidP="005D3E05">
      <w:pPr>
        <w:pStyle w:val="Normal1"/>
        <w:spacing w:line="360" w:lineRule="auto"/>
        <w:jc w:val="both"/>
        <w:rPr>
          <w:rFonts w:eastAsia="Times New Roman"/>
          <w:sz w:val="24"/>
          <w:szCs w:val="24"/>
          <w:lang w:val="en-GB"/>
        </w:rPr>
      </w:pPr>
      <w:r w:rsidRPr="00D23C03">
        <w:rPr>
          <w:rFonts w:eastAsia="Times New Roman"/>
          <w:sz w:val="24"/>
          <w:szCs w:val="24"/>
          <w:lang w:val="en-GB"/>
        </w:rPr>
        <w:t>The above study entails a detailed account of the impact of the violation of sustainable practices in product quality on the operations of VW. The company's strategic ventures in the past five years have been analysed and the strategic directions opted by the firm have been explained using various business analysis tools. Subsequently, the future imperative of the firm towards growth and its approach has also been outlined. Lastly, recommendations regarding higher sustainability inclination in strategic management have been discussed.</w:t>
      </w:r>
    </w:p>
    <w:p w14:paraId="26D83BF5" w14:textId="77777777" w:rsidR="00027064" w:rsidRPr="00D23C03" w:rsidRDefault="00027064" w:rsidP="005D3E05">
      <w:pPr>
        <w:spacing w:line="360" w:lineRule="auto"/>
        <w:rPr>
          <w:rFonts w:eastAsia="Times New Roman"/>
          <w:sz w:val="24"/>
          <w:szCs w:val="24"/>
          <w:lang w:val="en-GB"/>
        </w:rPr>
      </w:pPr>
      <w:r w:rsidRPr="00D23C03">
        <w:rPr>
          <w:rFonts w:eastAsia="Times New Roman"/>
          <w:sz w:val="24"/>
          <w:szCs w:val="24"/>
          <w:lang w:val="en-GB"/>
        </w:rPr>
        <w:br w:type="page"/>
      </w:r>
    </w:p>
    <w:p w14:paraId="26D83BF6" w14:textId="77777777" w:rsidR="0092497A" w:rsidRPr="00D23C03" w:rsidRDefault="00027064" w:rsidP="005D3E05">
      <w:pPr>
        <w:pStyle w:val="Heading1"/>
        <w:rPr>
          <w:rFonts w:ascii="Arial" w:hAnsi="Arial" w:cs="Arial"/>
        </w:rPr>
      </w:pPr>
      <w:r w:rsidRPr="00D23C03">
        <w:rPr>
          <w:rFonts w:ascii="Arial" w:hAnsi="Arial" w:cs="Arial"/>
        </w:rPr>
        <w:lastRenderedPageBreak/>
        <w:t xml:space="preserve">References </w:t>
      </w:r>
    </w:p>
    <w:p w14:paraId="26D83BF7" w14:textId="77777777" w:rsidR="00027064" w:rsidRPr="00D23C03" w:rsidRDefault="00027064" w:rsidP="005D3E05">
      <w:pPr>
        <w:pStyle w:val="NormalWeb"/>
        <w:spacing w:line="360" w:lineRule="auto"/>
        <w:jc w:val="both"/>
        <w:rPr>
          <w:rFonts w:ascii="Arial" w:hAnsi="Arial" w:cs="Arial"/>
          <w:b/>
          <w:i/>
          <w:iCs/>
        </w:rPr>
      </w:pPr>
      <w:r w:rsidRPr="00D23C03">
        <w:rPr>
          <w:rFonts w:ascii="Arial" w:hAnsi="Arial" w:cs="Arial"/>
          <w:b/>
          <w:i/>
          <w:iCs/>
        </w:rPr>
        <w:t xml:space="preserve">Websites </w:t>
      </w:r>
    </w:p>
    <w:p w14:paraId="26D83BF8" w14:textId="77777777" w:rsidR="00027064" w:rsidRPr="00D23C03" w:rsidRDefault="00027064" w:rsidP="005D3E05">
      <w:pPr>
        <w:pStyle w:val="NormalWeb"/>
        <w:spacing w:line="360" w:lineRule="auto"/>
        <w:jc w:val="both"/>
        <w:rPr>
          <w:rFonts w:ascii="Arial" w:hAnsi="Arial" w:cs="Arial"/>
        </w:rPr>
      </w:pPr>
      <w:r w:rsidRPr="00D23C03">
        <w:rPr>
          <w:rFonts w:ascii="Arial" w:hAnsi="Arial" w:cs="Arial"/>
        </w:rPr>
        <w:t>BBC</w:t>
      </w:r>
      <w:r w:rsidRPr="00D23C03">
        <w:rPr>
          <w:rFonts w:ascii="Arial" w:hAnsi="Arial" w:cs="Arial"/>
          <w:i/>
          <w:iCs/>
        </w:rPr>
        <w:t xml:space="preserve"> </w:t>
      </w:r>
      <w:r w:rsidRPr="00D23C03">
        <w:rPr>
          <w:rFonts w:ascii="Arial" w:hAnsi="Arial" w:cs="Arial"/>
          <w:iCs/>
        </w:rPr>
        <w:t xml:space="preserve">2022 </w:t>
      </w:r>
      <w:r w:rsidRPr="00D23C03">
        <w:rPr>
          <w:rFonts w:ascii="Arial" w:hAnsi="Arial" w:cs="Arial"/>
          <w:i/>
          <w:iCs/>
        </w:rPr>
        <w:t>Volkswagen to pay out £193m in '</w:t>
      </w:r>
      <w:proofErr w:type="spellStart"/>
      <w:r w:rsidRPr="00D23C03">
        <w:rPr>
          <w:rFonts w:ascii="Arial" w:hAnsi="Arial" w:cs="Arial"/>
          <w:i/>
          <w:iCs/>
        </w:rPr>
        <w:t>Dieselgate</w:t>
      </w:r>
      <w:proofErr w:type="spellEnd"/>
      <w:r w:rsidRPr="00D23C03">
        <w:rPr>
          <w:rFonts w:ascii="Arial" w:hAnsi="Arial" w:cs="Arial"/>
          <w:i/>
          <w:iCs/>
        </w:rPr>
        <w:t>' settlement</w:t>
      </w:r>
      <w:r w:rsidRPr="00D23C03">
        <w:rPr>
          <w:rFonts w:ascii="Arial" w:hAnsi="Arial" w:cs="Arial"/>
        </w:rPr>
        <w:t xml:space="preserve"> (2022) </w:t>
      </w:r>
      <w:r w:rsidRPr="00D23C03">
        <w:rPr>
          <w:rFonts w:ascii="Arial" w:hAnsi="Arial" w:cs="Arial"/>
          <w:i/>
          <w:iCs/>
        </w:rPr>
        <w:t>BBC News</w:t>
      </w:r>
      <w:r w:rsidRPr="00D23C03">
        <w:rPr>
          <w:rFonts w:ascii="Arial" w:hAnsi="Arial" w:cs="Arial"/>
        </w:rPr>
        <w:t xml:space="preserve">. BBC. Available at: https://www.bbc.com/news/business-61581251 (Accessed: December 8, 2022). </w:t>
      </w:r>
    </w:p>
    <w:p w14:paraId="26D83BF9" w14:textId="77777777" w:rsidR="00027064" w:rsidRPr="00D23C03" w:rsidRDefault="00027064" w:rsidP="005D3E05">
      <w:pPr>
        <w:pStyle w:val="NormalWeb"/>
        <w:spacing w:line="360" w:lineRule="auto"/>
        <w:jc w:val="both"/>
        <w:rPr>
          <w:rFonts w:ascii="Arial" w:hAnsi="Arial" w:cs="Arial"/>
        </w:rPr>
      </w:pPr>
      <w:r w:rsidRPr="00D23C03">
        <w:rPr>
          <w:rFonts w:ascii="Arial" w:hAnsi="Arial" w:cs="Arial"/>
          <w:i/>
          <w:iCs/>
        </w:rPr>
        <w:t xml:space="preserve">BCG </w:t>
      </w:r>
      <w:r w:rsidRPr="00D23C03">
        <w:rPr>
          <w:rFonts w:ascii="Arial" w:hAnsi="Arial" w:cs="Arial"/>
        </w:rPr>
        <w:t xml:space="preserve">2022 </w:t>
      </w:r>
      <w:r w:rsidRPr="00D23C03">
        <w:rPr>
          <w:rFonts w:ascii="Arial" w:hAnsi="Arial" w:cs="Arial"/>
          <w:i/>
          <w:iCs/>
        </w:rPr>
        <w:t>What is the growth share matrix?</w:t>
      </w:r>
      <w:r w:rsidRPr="00D23C03">
        <w:rPr>
          <w:rFonts w:ascii="Arial" w:hAnsi="Arial" w:cs="Arial"/>
        </w:rPr>
        <w:t xml:space="preserve"> </w:t>
      </w:r>
      <w:r w:rsidRPr="00D23C03">
        <w:rPr>
          <w:rFonts w:ascii="Arial" w:hAnsi="Arial" w:cs="Arial"/>
          <w:i/>
          <w:iCs/>
        </w:rPr>
        <w:t>Global</w:t>
      </w:r>
      <w:r w:rsidRPr="00D23C03">
        <w:rPr>
          <w:rFonts w:ascii="Arial" w:hAnsi="Arial" w:cs="Arial"/>
        </w:rPr>
        <w:t xml:space="preserve">. Available at: https://www.bcg.com/about/overview/our-history/growth-share-matrix (Accessed: December 8, 2022). </w:t>
      </w:r>
    </w:p>
    <w:p w14:paraId="26D83BFA" w14:textId="77777777" w:rsidR="00027064" w:rsidRPr="00D23C03" w:rsidRDefault="00027064" w:rsidP="005D3E05">
      <w:pPr>
        <w:pStyle w:val="NormalWeb"/>
        <w:spacing w:line="360" w:lineRule="auto"/>
        <w:jc w:val="both"/>
        <w:rPr>
          <w:rFonts w:ascii="Arial" w:hAnsi="Arial" w:cs="Arial"/>
        </w:rPr>
      </w:pPr>
      <w:r w:rsidRPr="00D23C03">
        <w:rPr>
          <w:rFonts w:ascii="Arial" w:hAnsi="Arial" w:cs="Arial"/>
        </w:rPr>
        <w:t xml:space="preserve">Bruin, L.de 2021 </w:t>
      </w:r>
      <w:r w:rsidRPr="00D23C03">
        <w:rPr>
          <w:rFonts w:ascii="Arial" w:hAnsi="Arial" w:cs="Arial"/>
          <w:i/>
          <w:iCs/>
        </w:rPr>
        <w:t>VRIO framework explained with examples: B2U</w:t>
      </w:r>
      <w:r w:rsidRPr="00D23C03">
        <w:rPr>
          <w:rFonts w:ascii="Arial" w:hAnsi="Arial" w:cs="Arial"/>
        </w:rPr>
        <w:t xml:space="preserve">, </w:t>
      </w:r>
      <w:r w:rsidRPr="00D23C03">
        <w:rPr>
          <w:rFonts w:ascii="Arial" w:hAnsi="Arial" w:cs="Arial"/>
          <w:i/>
          <w:iCs/>
        </w:rPr>
        <w:t>Business</w:t>
      </w:r>
      <w:r w:rsidRPr="00D23C03">
        <w:rPr>
          <w:rFonts w:ascii="Arial" w:hAnsi="Arial" w:cs="Arial"/>
        </w:rPr>
        <w:t xml:space="preserve">. Available at: https://www.business-to-you.com/vrio-from-firm-resources-to-competitive-advantage/ (Accessed: December 8, 2022). </w:t>
      </w:r>
    </w:p>
    <w:p w14:paraId="26D83BFB" w14:textId="77777777" w:rsidR="00027064" w:rsidRPr="00D23C03" w:rsidRDefault="00027064" w:rsidP="005D3E05">
      <w:pPr>
        <w:pStyle w:val="NormalWeb"/>
        <w:spacing w:line="360" w:lineRule="auto"/>
        <w:jc w:val="both"/>
        <w:rPr>
          <w:rFonts w:ascii="Arial" w:hAnsi="Arial" w:cs="Arial"/>
        </w:rPr>
      </w:pPr>
      <w:r w:rsidRPr="00D23C03">
        <w:rPr>
          <w:rFonts w:ascii="Arial" w:hAnsi="Arial" w:cs="Arial"/>
          <w:i/>
          <w:iCs/>
        </w:rPr>
        <w:t>Strategy</w:t>
      </w:r>
      <w:r w:rsidRPr="00D23C03">
        <w:rPr>
          <w:rFonts w:ascii="Arial" w:hAnsi="Arial" w:cs="Arial"/>
        </w:rPr>
        <w:t xml:space="preserve"> 2022 </w:t>
      </w:r>
      <w:r w:rsidRPr="00D23C03">
        <w:rPr>
          <w:rFonts w:ascii="Arial" w:hAnsi="Arial" w:cs="Arial"/>
          <w:i/>
          <w:iCs/>
        </w:rPr>
        <w:t>Volkswagen Newsroom</w:t>
      </w:r>
      <w:r w:rsidRPr="00D23C03">
        <w:rPr>
          <w:rFonts w:ascii="Arial" w:hAnsi="Arial" w:cs="Arial"/>
        </w:rPr>
        <w:t xml:space="preserve">. Available at: https://www.volkswagen-newsroom.com/en/strategy-3912 (Accessed: December 8, 2022). </w:t>
      </w:r>
    </w:p>
    <w:p w14:paraId="26D83BFC" w14:textId="77777777" w:rsidR="00027064" w:rsidRPr="00D23C03" w:rsidRDefault="00027064" w:rsidP="005D3E05">
      <w:pPr>
        <w:pStyle w:val="NormalWeb"/>
        <w:spacing w:line="360" w:lineRule="auto"/>
        <w:jc w:val="both"/>
        <w:rPr>
          <w:rFonts w:ascii="Arial" w:hAnsi="Arial" w:cs="Arial"/>
        </w:rPr>
      </w:pPr>
      <w:r w:rsidRPr="00D23C03">
        <w:rPr>
          <w:rFonts w:ascii="Arial" w:hAnsi="Arial" w:cs="Arial"/>
          <w:i/>
          <w:iCs/>
        </w:rPr>
        <w:t>Sustainability Report 2021 - Volkswagen group</w:t>
      </w:r>
      <w:r w:rsidRPr="00D23C03">
        <w:rPr>
          <w:rFonts w:ascii="Arial" w:hAnsi="Arial" w:cs="Arial"/>
        </w:rPr>
        <w:t xml:space="preserve"> 2021 Available at: https://www.volkswagenag.com/presence/nachhaltigkeit/documents/sustainability-report/2021/focus-topics/220315_VW_NB21_GroupDNA_EN.pdf (Accessed: December 8, 2022). </w:t>
      </w:r>
    </w:p>
    <w:p w14:paraId="26D83BFD" w14:textId="77777777" w:rsidR="00027064" w:rsidRPr="00D23C03" w:rsidRDefault="00027064" w:rsidP="005D3E05">
      <w:pPr>
        <w:pStyle w:val="NormalWeb"/>
        <w:spacing w:line="360" w:lineRule="auto"/>
        <w:jc w:val="both"/>
        <w:rPr>
          <w:rFonts w:ascii="Arial" w:hAnsi="Arial" w:cs="Arial"/>
        </w:rPr>
      </w:pPr>
      <w:r w:rsidRPr="00D23C03">
        <w:rPr>
          <w:rFonts w:ascii="Arial" w:hAnsi="Arial" w:cs="Arial"/>
          <w:i/>
          <w:iCs/>
        </w:rPr>
        <w:t xml:space="preserve">Volkswagen </w:t>
      </w:r>
      <w:proofErr w:type="spellStart"/>
      <w:r w:rsidRPr="00D23C03">
        <w:rPr>
          <w:rFonts w:ascii="Arial" w:hAnsi="Arial" w:cs="Arial"/>
          <w:i/>
          <w:iCs/>
        </w:rPr>
        <w:t>Konzern</w:t>
      </w:r>
      <w:proofErr w:type="spellEnd"/>
      <w:r w:rsidRPr="00D23C03">
        <w:rPr>
          <w:rFonts w:ascii="Arial" w:hAnsi="Arial" w:cs="Arial"/>
          <w:i/>
          <w:iCs/>
        </w:rPr>
        <w:t xml:space="preserve"> - AR 20 - goals and strategies</w:t>
      </w:r>
      <w:r w:rsidRPr="00D23C03">
        <w:rPr>
          <w:rFonts w:ascii="Arial" w:hAnsi="Arial" w:cs="Arial"/>
        </w:rPr>
        <w:t xml:space="preserve"> (no date) </w:t>
      </w:r>
      <w:r w:rsidRPr="00D23C03">
        <w:rPr>
          <w:rFonts w:ascii="Arial" w:hAnsi="Arial" w:cs="Arial"/>
          <w:i/>
          <w:iCs/>
        </w:rPr>
        <w:t>Volkswagen Group Annual Report 2020</w:t>
      </w:r>
      <w:r w:rsidRPr="00D23C03">
        <w:rPr>
          <w:rFonts w:ascii="Arial" w:hAnsi="Arial" w:cs="Arial"/>
        </w:rPr>
        <w:t xml:space="preserve">. Available at: https://annualreport2020.volkswagenag.com/group-management-report/goals-and-strategies.html (Accessed: December 8, 2022). </w:t>
      </w:r>
    </w:p>
    <w:p w14:paraId="26D83BFE" w14:textId="77777777" w:rsidR="00027064" w:rsidRPr="00D23C03" w:rsidRDefault="00027064" w:rsidP="005D3E05">
      <w:pPr>
        <w:pStyle w:val="NormalWeb"/>
        <w:spacing w:line="360" w:lineRule="auto"/>
        <w:jc w:val="both"/>
        <w:rPr>
          <w:rFonts w:ascii="Arial" w:hAnsi="Arial" w:cs="Arial"/>
          <w:b/>
          <w:i/>
        </w:rPr>
      </w:pPr>
      <w:r w:rsidRPr="00D23C03">
        <w:rPr>
          <w:rFonts w:ascii="Arial" w:hAnsi="Arial" w:cs="Arial"/>
          <w:b/>
          <w:i/>
        </w:rPr>
        <w:t xml:space="preserve">Journals </w:t>
      </w:r>
    </w:p>
    <w:p w14:paraId="26D83BFF" w14:textId="77777777" w:rsidR="00027064" w:rsidRPr="00D23C03" w:rsidRDefault="00027064" w:rsidP="005D3E05">
      <w:pPr>
        <w:pStyle w:val="NormalWeb"/>
        <w:spacing w:line="360" w:lineRule="auto"/>
        <w:jc w:val="both"/>
        <w:rPr>
          <w:rFonts w:ascii="Arial" w:hAnsi="Arial" w:cs="Arial"/>
          <w:color w:val="222222"/>
          <w:shd w:val="clear" w:color="auto" w:fill="FFFFFF"/>
        </w:rPr>
      </w:pPr>
      <w:proofErr w:type="spellStart"/>
      <w:r w:rsidRPr="00D23C03">
        <w:rPr>
          <w:rFonts w:ascii="Arial" w:hAnsi="Arial" w:cs="Arial"/>
          <w:color w:val="222222"/>
          <w:shd w:val="clear" w:color="auto" w:fill="FFFFFF"/>
        </w:rPr>
        <w:t>Baars</w:t>
      </w:r>
      <w:proofErr w:type="spellEnd"/>
      <w:r w:rsidRPr="00D23C03">
        <w:rPr>
          <w:rFonts w:ascii="Arial" w:hAnsi="Arial" w:cs="Arial"/>
          <w:color w:val="222222"/>
          <w:shd w:val="clear" w:color="auto" w:fill="FFFFFF"/>
        </w:rPr>
        <w:t xml:space="preserve">, J., Domenech, T., </w:t>
      </w:r>
      <w:proofErr w:type="spellStart"/>
      <w:r w:rsidRPr="00D23C03">
        <w:rPr>
          <w:rFonts w:ascii="Arial" w:hAnsi="Arial" w:cs="Arial"/>
          <w:color w:val="222222"/>
          <w:shd w:val="clear" w:color="auto" w:fill="FFFFFF"/>
        </w:rPr>
        <w:t>Bleischwitz</w:t>
      </w:r>
      <w:proofErr w:type="spellEnd"/>
      <w:r w:rsidRPr="00D23C03">
        <w:rPr>
          <w:rFonts w:ascii="Arial" w:hAnsi="Arial" w:cs="Arial"/>
          <w:color w:val="222222"/>
          <w:shd w:val="clear" w:color="auto" w:fill="FFFFFF"/>
        </w:rPr>
        <w:t xml:space="preserve">, R., </w:t>
      </w:r>
      <w:proofErr w:type="spellStart"/>
      <w:r w:rsidRPr="00D23C03">
        <w:rPr>
          <w:rFonts w:ascii="Arial" w:hAnsi="Arial" w:cs="Arial"/>
          <w:color w:val="222222"/>
          <w:shd w:val="clear" w:color="auto" w:fill="FFFFFF"/>
        </w:rPr>
        <w:t>Melin</w:t>
      </w:r>
      <w:proofErr w:type="spellEnd"/>
      <w:r w:rsidRPr="00D23C03">
        <w:rPr>
          <w:rFonts w:ascii="Arial" w:hAnsi="Arial" w:cs="Arial"/>
          <w:color w:val="222222"/>
          <w:shd w:val="clear" w:color="auto" w:fill="FFFFFF"/>
        </w:rPr>
        <w:t>, H.E. and Heidrich, O., 2021. Circular economy strategies for electric vehicle batteries reduce reliance on raw materials. </w:t>
      </w:r>
      <w:r w:rsidRPr="00D23C03">
        <w:rPr>
          <w:rFonts w:ascii="Arial" w:hAnsi="Arial" w:cs="Arial"/>
          <w:i/>
          <w:iCs/>
          <w:color w:val="222222"/>
          <w:shd w:val="clear" w:color="auto" w:fill="FFFFFF"/>
        </w:rPr>
        <w:t>Nature Sustainability</w:t>
      </w:r>
      <w:r w:rsidRPr="00D23C03">
        <w:rPr>
          <w:rFonts w:ascii="Arial" w:hAnsi="Arial" w:cs="Arial"/>
          <w:color w:val="222222"/>
          <w:shd w:val="clear" w:color="auto" w:fill="FFFFFF"/>
        </w:rPr>
        <w:t>, </w:t>
      </w:r>
      <w:r w:rsidRPr="00D23C03">
        <w:rPr>
          <w:rFonts w:ascii="Arial" w:hAnsi="Arial" w:cs="Arial"/>
          <w:i/>
          <w:iCs/>
          <w:color w:val="222222"/>
          <w:shd w:val="clear" w:color="auto" w:fill="FFFFFF"/>
        </w:rPr>
        <w:t>4</w:t>
      </w:r>
      <w:r w:rsidRPr="00D23C03">
        <w:rPr>
          <w:rFonts w:ascii="Arial" w:hAnsi="Arial" w:cs="Arial"/>
          <w:color w:val="222222"/>
          <w:shd w:val="clear" w:color="auto" w:fill="FFFFFF"/>
        </w:rPr>
        <w:t>(1), pp.71-79.</w:t>
      </w:r>
      <w:r w:rsidRPr="00D23C03">
        <w:rPr>
          <w:rFonts w:ascii="Arial" w:hAnsi="Arial" w:cs="Arial"/>
        </w:rPr>
        <w:t xml:space="preserve"> </w:t>
      </w:r>
      <w:hyperlink r:id="rId11" w:history="1">
        <w:r w:rsidRPr="00D23C03">
          <w:rPr>
            <w:rStyle w:val="Hyperlink"/>
            <w:rFonts w:ascii="Arial" w:hAnsi="Arial" w:cs="Arial"/>
            <w:shd w:val="clear" w:color="auto" w:fill="FFFFFF"/>
          </w:rPr>
          <w:t>https://www.nature.com/articles/s41893-020-00607-0</w:t>
        </w:r>
      </w:hyperlink>
    </w:p>
    <w:p w14:paraId="26D83C00" w14:textId="77777777" w:rsidR="00027064" w:rsidRPr="00D23C03" w:rsidRDefault="00027064" w:rsidP="005D3E05">
      <w:pPr>
        <w:pStyle w:val="NormalWeb"/>
        <w:spacing w:line="360" w:lineRule="auto"/>
        <w:jc w:val="both"/>
        <w:rPr>
          <w:rFonts w:ascii="Arial" w:hAnsi="Arial" w:cs="Arial"/>
          <w:color w:val="222222"/>
          <w:shd w:val="clear" w:color="auto" w:fill="FFFFFF"/>
        </w:rPr>
      </w:pPr>
      <w:r w:rsidRPr="00D23C03">
        <w:rPr>
          <w:rFonts w:ascii="Arial" w:hAnsi="Arial" w:cs="Arial"/>
          <w:color w:val="222222"/>
          <w:shd w:val="clear" w:color="auto" w:fill="FFFFFF"/>
        </w:rPr>
        <w:lastRenderedPageBreak/>
        <w:t>Grover, V., Chiang, R.H., Liang, T.P. and Zhang, D., 2018. Creating strategic business value from big data analytics: A research framework. </w:t>
      </w:r>
      <w:r w:rsidRPr="00D23C03">
        <w:rPr>
          <w:rFonts w:ascii="Arial" w:hAnsi="Arial" w:cs="Arial"/>
          <w:i/>
          <w:iCs/>
          <w:color w:val="222222"/>
          <w:shd w:val="clear" w:color="auto" w:fill="FFFFFF"/>
        </w:rPr>
        <w:t>Journal of management information systems</w:t>
      </w:r>
      <w:r w:rsidRPr="00D23C03">
        <w:rPr>
          <w:rFonts w:ascii="Arial" w:hAnsi="Arial" w:cs="Arial"/>
          <w:color w:val="222222"/>
          <w:shd w:val="clear" w:color="auto" w:fill="FFFFFF"/>
        </w:rPr>
        <w:t>, </w:t>
      </w:r>
      <w:r w:rsidRPr="00D23C03">
        <w:rPr>
          <w:rFonts w:ascii="Arial" w:hAnsi="Arial" w:cs="Arial"/>
          <w:i/>
          <w:iCs/>
          <w:color w:val="222222"/>
          <w:shd w:val="clear" w:color="auto" w:fill="FFFFFF"/>
        </w:rPr>
        <w:t>35</w:t>
      </w:r>
      <w:r w:rsidRPr="00D23C03">
        <w:rPr>
          <w:rFonts w:ascii="Arial" w:hAnsi="Arial" w:cs="Arial"/>
          <w:color w:val="222222"/>
          <w:shd w:val="clear" w:color="auto" w:fill="FFFFFF"/>
        </w:rPr>
        <w:t>(2), pp.388-423.</w:t>
      </w:r>
      <w:r w:rsidRPr="00D23C03">
        <w:rPr>
          <w:rFonts w:ascii="Arial" w:hAnsi="Arial" w:cs="Arial"/>
        </w:rPr>
        <w:t xml:space="preserve"> </w:t>
      </w:r>
      <w:hyperlink r:id="rId12" w:history="1">
        <w:r w:rsidRPr="00D23C03">
          <w:rPr>
            <w:rStyle w:val="Hyperlink"/>
            <w:rFonts w:ascii="Arial" w:hAnsi="Arial" w:cs="Arial"/>
            <w:shd w:val="clear" w:color="auto" w:fill="FFFFFF"/>
          </w:rPr>
          <w:t>https://www.tandfonline.com/doi/abs/10.1080/07421222.2018.1451951</w:t>
        </w:r>
      </w:hyperlink>
    </w:p>
    <w:p w14:paraId="26D83C01" w14:textId="77777777" w:rsidR="00027064" w:rsidRPr="00D23C03" w:rsidRDefault="00027064" w:rsidP="005D3E05">
      <w:pPr>
        <w:pStyle w:val="NormalWeb"/>
        <w:spacing w:line="360" w:lineRule="auto"/>
        <w:jc w:val="both"/>
        <w:rPr>
          <w:rFonts w:ascii="Arial" w:hAnsi="Arial" w:cs="Arial"/>
        </w:rPr>
      </w:pPr>
      <w:proofErr w:type="spellStart"/>
      <w:r w:rsidRPr="00D23C03">
        <w:rPr>
          <w:rFonts w:ascii="Arial" w:hAnsi="Arial" w:cs="Arial"/>
          <w:color w:val="222222"/>
          <w:shd w:val="clear" w:color="auto" w:fill="FFFFFF"/>
        </w:rPr>
        <w:t>Haessler</w:t>
      </w:r>
      <w:proofErr w:type="spellEnd"/>
      <w:r w:rsidRPr="00D23C03">
        <w:rPr>
          <w:rFonts w:ascii="Arial" w:hAnsi="Arial" w:cs="Arial"/>
          <w:color w:val="222222"/>
          <w:shd w:val="clear" w:color="auto" w:fill="FFFFFF"/>
        </w:rPr>
        <w:t>, P., 2020. Strategic decisions between short-term profit and sustainability. </w:t>
      </w:r>
      <w:r w:rsidRPr="00D23C03">
        <w:rPr>
          <w:rFonts w:ascii="Arial" w:hAnsi="Arial" w:cs="Arial"/>
          <w:i/>
          <w:iCs/>
          <w:color w:val="222222"/>
          <w:shd w:val="clear" w:color="auto" w:fill="FFFFFF"/>
        </w:rPr>
        <w:t>Administrative Sciences</w:t>
      </w:r>
      <w:r w:rsidRPr="00D23C03">
        <w:rPr>
          <w:rFonts w:ascii="Arial" w:hAnsi="Arial" w:cs="Arial"/>
          <w:color w:val="222222"/>
          <w:shd w:val="clear" w:color="auto" w:fill="FFFFFF"/>
        </w:rPr>
        <w:t>, </w:t>
      </w:r>
      <w:r w:rsidRPr="00D23C03">
        <w:rPr>
          <w:rFonts w:ascii="Arial" w:hAnsi="Arial" w:cs="Arial"/>
          <w:i/>
          <w:iCs/>
          <w:color w:val="222222"/>
          <w:shd w:val="clear" w:color="auto" w:fill="FFFFFF"/>
        </w:rPr>
        <w:t>10</w:t>
      </w:r>
      <w:r w:rsidRPr="00D23C03">
        <w:rPr>
          <w:rFonts w:ascii="Arial" w:hAnsi="Arial" w:cs="Arial"/>
          <w:color w:val="222222"/>
          <w:shd w:val="clear" w:color="auto" w:fill="FFFFFF"/>
        </w:rPr>
        <w:t>(3), p.63.</w:t>
      </w:r>
      <w:r w:rsidRPr="00D23C03">
        <w:rPr>
          <w:rFonts w:ascii="Arial" w:hAnsi="Arial" w:cs="Arial"/>
        </w:rPr>
        <w:t xml:space="preserve"> </w:t>
      </w:r>
      <w:r w:rsidRPr="00D23C03">
        <w:rPr>
          <w:rFonts w:ascii="Arial" w:hAnsi="Arial" w:cs="Arial"/>
          <w:color w:val="222222"/>
          <w:shd w:val="clear" w:color="auto" w:fill="FFFFFF"/>
        </w:rPr>
        <w:t>https://www.mdpi.com/814564</w:t>
      </w:r>
    </w:p>
    <w:p w14:paraId="26D83C02" w14:textId="77777777" w:rsidR="00027064" w:rsidRPr="00D23C03" w:rsidRDefault="00027064" w:rsidP="005D3E05">
      <w:pPr>
        <w:pStyle w:val="NormalWeb"/>
        <w:spacing w:line="360" w:lineRule="auto"/>
        <w:jc w:val="both"/>
        <w:rPr>
          <w:rFonts w:ascii="Arial" w:hAnsi="Arial" w:cs="Arial"/>
          <w:color w:val="222222"/>
          <w:shd w:val="clear" w:color="auto" w:fill="FFFFFF"/>
        </w:rPr>
      </w:pPr>
      <w:proofErr w:type="spellStart"/>
      <w:r w:rsidRPr="00D23C03">
        <w:rPr>
          <w:rFonts w:ascii="Arial" w:hAnsi="Arial" w:cs="Arial"/>
          <w:color w:val="222222"/>
          <w:shd w:val="clear" w:color="auto" w:fill="FFFFFF"/>
        </w:rPr>
        <w:t>Ke</w:t>
      </w:r>
      <w:proofErr w:type="spellEnd"/>
      <w:r w:rsidRPr="00D23C03">
        <w:rPr>
          <w:rFonts w:ascii="Arial" w:hAnsi="Arial" w:cs="Arial"/>
          <w:color w:val="222222"/>
          <w:shd w:val="clear" w:color="auto" w:fill="FFFFFF"/>
        </w:rPr>
        <w:t>, H., Chai, S. and Cheng, R., 2019. Selling or sharing: Business model selection problem for an automobile manufacturer with uncertain information. </w:t>
      </w:r>
      <w:r w:rsidRPr="00D23C03">
        <w:rPr>
          <w:rFonts w:ascii="Arial" w:hAnsi="Arial" w:cs="Arial"/>
          <w:i/>
          <w:iCs/>
          <w:color w:val="222222"/>
          <w:shd w:val="clear" w:color="auto" w:fill="FFFFFF"/>
        </w:rPr>
        <w:t>Journal of Intelligent &amp; Fuzzy Systems</w:t>
      </w:r>
      <w:r w:rsidRPr="00D23C03">
        <w:rPr>
          <w:rFonts w:ascii="Arial" w:hAnsi="Arial" w:cs="Arial"/>
          <w:color w:val="222222"/>
          <w:shd w:val="clear" w:color="auto" w:fill="FFFFFF"/>
        </w:rPr>
        <w:t>, </w:t>
      </w:r>
      <w:r w:rsidRPr="00D23C03">
        <w:rPr>
          <w:rFonts w:ascii="Arial" w:hAnsi="Arial" w:cs="Arial"/>
          <w:i/>
          <w:iCs/>
          <w:color w:val="222222"/>
          <w:shd w:val="clear" w:color="auto" w:fill="FFFFFF"/>
        </w:rPr>
        <w:t>36</w:t>
      </w:r>
      <w:r w:rsidRPr="00D23C03">
        <w:rPr>
          <w:rFonts w:ascii="Arial" w:hAnsi="Arial" w:cs="Arial"/>
          <w:color w:val="222222"/>
          <w:shd w:val="clear" w:color="auto" w:fill="FFFFFF"/>
        </w:rPr>
        <w:t>(1), pp.609-624.</w:t>
      </w:r>
      <w:r w:rsidRPr="00D23C03">
        <w:rPr>
          <w:rFonts w:ascii="Arial" w:hAnsi="Arial" w:cs="Arial"/>
        </w:rPr>
        <w:t xml:space="preserve"> </w:t>
      </w:r>
      <w:hyperlink r:id="rId13" w:history="1">
        <w:r w:rsidRPr="00D23C03">
          <w:rPr>
            <w:rStyle w:val="Hyperlink"/>
            <w:rFonts w:ascii="Arial" w:hAnsi="Arial" w:cs="Arial"/>
            <w:shd w:val="clear" w:color="auto" w:fill="FFFFFF"/>
          </w:rPr>
          <w:t>https://content.iospress.com/articles/journal-of-intelligent-and-fuzzy-systems/ifs18961</w:t>
        </w:r>
      </w:hyperlink>
    </w:p>
    <w:p w14:paraId="26D83C03" w14:textId="77777777" w:rsidR="00027064" w:rsidRPr="00D23C03" w:rsidRDefault="00027064" w:rsidP="005D3E05">
      <w:pPr>
        <w:pStyle w:val="NormalWeb"/>
        <w:spacing w:line="360" w:lineRule="auto"/>
        <w:jc w:val="both"/>
        <w:rPr>
          <w:rFonts w:ascii="Arial" w:hAnsi="Arial" w:cs="Arial"/>
          <w:color w:val="222222"/>
          <w:shd w:val="clear" w:color="auto" w:fill="FFFFFF"/>
        </w:rPr>
      </w:pPr>
      <w:r w:rsidRPr="00D23C03">
        <w:rPr>
          <w:rFonts w:ascii="Arial" w:hAnsi="Arial" w:cs="Arial"/>
          <w:color w:val="222222"/>
          <w:shd w:val="clear" w:color="auto" w:fill="FFFFFF"/>
        </w:rPr>
        <w:t xml:space="preserve">Liu, G., Li, K., Shrestha, A., </w:t>
      </w:r>
      <w:proofErr w:type="spellStart"/>
      <w:r w:rsidRPr="00D23C03">
        <w:rPr>
          <w:rFonts w:ascii="Arial" w:hAnsi="Arial" w:cs="Arial"/>
          <w:color w:val="222222"/>
          <w:shd w:val="clear" w:color="auto" w:fill="FFFFFF"/>
        </w:rPr>
        <w:t>Martek</w:t>
      </w:r>
      <w:proofErr w:type="spellEnd"/>
      <w:r w:rsidRPr="00D23C03">
        <w:rPr>
          <w:rFonts w:ascii="Arial" w:hAnsi="Arial" w:cs="Arial"/>
          <w:color w:val="222222"/>
          <w:shd w:val="clear" w:color="auto" w:fill="FFFFFF"/>
        </w:rPr>
        <w:t>, I. and Zhou, Y., 2018. Strategic business model typologies evident in the Chinese real-estate industry. </w:t>
      </w:r>
      <w:r w:rsidRPr="00D23C03">
        <w:rPr>
          <w:rFonts w:ascii="Arial" w:hAnsi="Arial" w:cs="Arial"/>
          <w:i/>
          <w:iCs/>
          <w:color w:val="222222"/>
          <w:shd w:val="clear" w:color="auto" w:fill="FFFFFF"/>
        </w:rPr>
        <w:t>International Journal of Strategic Property Management</w:t>
      </w:r>
      <w:r w:rsidRPr="00D23C03">
        <w:rPr>
          <w:rFonts w:ascii="Arial" w:hAnsi="Arial" w:cs="Arial"/>
          <w:color w:val="222222"/>
          <w:shd w:val="clear" w:color="auto" w:fill="FFFFFF"/>
        </w:rPr>
        <w:t>, </w:t>
      </w:r>
      <w:r w:rsidRPr="00D23C03">
        <w:rPr>
          <w:rFonts w:ascii="Arial" w:hAnsi="Arial" w:cs="Arial"/>
          <w:i/>
          <w:iCs/>
          <w:color w:val="222222"/>
          <w:shd w:val="clear" w:color="auto" w:fill="FFFFFF"/>
        </w:rPr>
        <w:t>22</w:t>
      </w:r>
      <w:r w:rsidRPr="00D23C03">
        <w:rPr>
          <w:rFonts w:ascii="Arial" w:hAnsi="Arial" w:cs="Arial"/>
          <w:color w:val="222222"/>
          <w:shd w:val="clear" w:color="auto" w:fill="FFFFFF"/>
        </w:rPr>
        <w:t>(6), pp.501-515.</w:t>
      </w:r>
      <w:r w:rsidRPr="00D23C03">
        <w:rPr>
          <w:rFonts w:ascii="Arial" w:hAnsi="Arial" w:cs="Arial"/>
        </w:rPr>
        <w:t xml:space="preserve"> </w:t>
      </w:r>
      <w:hyperlink r:id="rId14" w:history="1">
        <w:r w:rsidRPr="00D23C03">
          <w:rPr>
            <w:rStyle w:val="Hyperlink"/>
            <w:rFonts w:ascii="Arial" w:hAnsi="Arial" w:cs="Arial"/>
            <w:shd w:val="clear" w:color="auto" w:fill="FFFFFF"/>
          </w:rPr>
          <w:t>https://journals.vilniustech.lt/index.php/IJSPM/article/view/6275</w:t>
        </w:r>
      </w:hyperlink>
    </w:p>
    <w:p w14:paraId="26D83C04" w14:textId="77777777" w:rsidR="00027064" w:rsidRPr="00D23C03" w:rsidRDefault="00027064" w:rsidP="005D3E05">
      <w:pPr>
        <w:pStyle w:val="NormalWeb"/>
        <w:spacing w:line="360" w:lineRule="auto"/>
        <w:jc w:val="both"/>
        <w:rPr>
          <w:rFonts w:ascii="Arial" w:hAnsi="Arial" w:cs="Arial"/>
          <w:color w:val="222222"/>
          <w:shd w:val="clear" w:color="auto" w:fill="FFFFFF"/>
        </w:rPr>
      </w:pPr>
      <w:r w:rsidRPr="00D23C03">
        <w:rPr>
          <w:rFonts w:ascii="Arial" w:hAnsi="Arial" w:cs="Arial"/>
          <w:color w:val="222222"/>
          <w:shd w:val="clear" w:color="auto" w:fill="FFFFFF"/>
        </w:rPr>
        <w:t xml:space="preserve">Mohiuddin, M., Al Mamun, A., Syed, F.A., Mehedi </w:t>
      </w:r>
      <w:proofErr w:type="spellStart"/>
      <w:r w:rsidRPr="00D23C03">
        <w:rPr>
          <w:rFonts w:ascii="Arial" w:hAnsi="Arial" w:cs="Arial"/>
          <w:color w:val="222222"/>
          <w:shd w:val="clear" w:color="auto" w:fill="FFFFFF"/>
        </w:rPr>
        <w:t>Masud</w:t>
      </w:r>
      <w:proofErr w:type="spellEnd"/>
      <w:r w:rsidRPr="00D23C03">
        <w:rPr>
          <w:rFonts w:ascii="Arial" w:hAnsi="Arial" w:cs="Arial"/>
          <w:color w:val="222222"/>
          <w:shd w:val="clear" w:color="auto" w:fill="FFFFFF"/>
        </w:rPr>
        <w:t xml:space="preserve">, M. and </w:t>
      </w:r>
      <w:proofErr w:type="spellStart"/>
      <w:r w:rsidRPr="00D23C03">
        <w:rPr>
          <w:rFonts w:ascii="Arial" w:hAnsi="Arial" w:cs="Arial"/>
          <w:color w:val="222222"/>
          <w:shd w:val="clear" w:color="auto" w:fill="FFFFFF"/>
        </w:rPr>
        <w:t>Su</w:t>
      </w:r>
      <w:proofErr w:type="spellEnd"/>
      <w:r w:rsidRPr="00D23C03">
        <w:rPr>
          <w:rFonts w:ascii="Arial" w:hAnsi="Arial" w:cs="Arial"/>
          <w:color w:val="222222"/>
          <w:shd w:val="clear" w:color="auto" w:fill="FFFFFF"/>
        </w:rPr>
        <w:t>, Z., 2018. Environmental knowledge, awareness, and business school students’ intentions to purchase green vehicles in emerging countries. </w:t>
      </w:r>
      <w:r w:rsidRPr="00D23C03">
        <w:rPr>
          <w:rFonts w:ascii="Arial" w:hAnsi="Arial" w:cs="Arial"/>
          <w:i/>
          <w:iCs/>
          <w:color w:val="222222"/>
          <w:shd w:val="clear" w:color="auto" w:fill="FFFFFF"/>
        </w:rPr>
        <w:t>Sustainability</w:t>
      </w:r>
      <w:r w:rsidRPr="00D23C03">
        <w:rPr>
          <w:rFonts w:ascii="Arial" w:hAnsi="Arial" w:cs="Arial"/>
          <w:color w:val="222222"/>
          <w:shd w:val="clear" w:color="auto" w:fill="FFFFFF"/>
        </w:rPr>
        <w:t>, </w:t>
      </w:r>
      <w:r w:rsidRPr="00D23C03">
        <w:rPr>
          <w:rFonts w:ascii="Arial" w:hAnsi="Arial" w:cs="Arial"/>
          <w:i/>
          <w:iCs/>
          <w:color w:val="222222"/>
          <w:shd w:val="clear" w:color="auto" w:fill="FFFFFF"/>
        </w:rPr>
        <w:t>10</w:t>
      </w:r>
      <w:r w:rsidRPr="00D23C03">
        <w:rPr>
          <w:rFonts w:ascii="Arial" w:hAnsi="Arial" w:cs="Arial"/>
          <w:color w:val="222222"/>
          <w:shd w:val="clear" w:color="auto" w:fill="FFFFFF"/>
        </w:rPr>
        <w:t>(5), p.1534.</w:t>
      </w:r>
      <w:r w:rsidRPr="00D23C03">
        <w:rPr>
          <w:rFonts w:ascii="Arial" w:hAnsi="Arial" w:cs="Arial"/>
        </w:rPr>
        <w:t xml:space="preserve"> </w:t>
      </w:r>
      <w:hyperlink r:id="rId15" w:history="1">
        <w:r w:rsidRPr="00D23C03">
          <w:rPr>
            <w:rStyle w:val="Hyperlink"/>
            <w:rFonts w:ascii="Arial" w:hAnsi="Arial" w:cs="Arial"/>
            <w:shd w:val="clear" w:color="auto" w:fill="FFFFFF"/>
          </w:rPr>
          <w:t>https://www.mdpi.com/291794</w:t>
        </w:r>
      </w:hyperlink>
    </w:p>
    <w:p w14:paraId="26D83C05" w14:textId="77777777" w:rsidR="00027064" w:rsidRPr="00D23C03" w:rsidRDefault="00027064" w:rsidP="005D3E05">
      <w:pPr>
        <w:pStyle w:val="NormalWeb"/>
        <w:spacing w:line="360" w:lineRule="auto"/>
        <w:jc w:val="both"/>
        <w:rPr>
          <w:rFonts w:ascii="Arial" w:hAnsi="Arial" w:cs="Arial"/>
          <w:color w:val="222222"/>
          <w:shd w:val="clear" w:color="auto" w:fill="FFFFFF"/>
        </w:rPr>
      </w:pPr>
      <w:proofErr w:type="spellStart"/>
      <w:r w:rsidRPr="00D23C03">
        <w:rPr>
          <w:rFonts w:ascii="Arial" w:hAnsi="Arial" w:cs="Arial"/>
          <w:color w:val="222222"/>
          <w:shd w:val="clear" w:color="auto" w:fill="FFFFFF"/>
        </w:rPr>
        <w:t>Sharipov</w:t>
      </w:r>
      <w:proofErr w:type="spellEnd"/>
      <w:r w:rsidRPr="00D23C03">
        <w:rPr>
          <w:rFonts w:ascii="Arial" w:hAnsi="Arial" w:cs="Arial"/>
          <w:color w:val="222222"/>
          <w:shd w:val="clear" w:color="auto" w:fill="FFFFFF"/>
        </w:rPr>
        <w:t xml:space="preserve">, K.A. and </w:t>
      </w:r>
      <w:proofErr w:type="spellStart"/>
      <w:r w:rsidRPr="00D23C03">
        <w:rPr>
          <w:rFonts w:ascii="Arial" w:hAnsi="Arial" w:cs="Arial"/>
          <w:color w:val="222222"/>
          <w:shd w:val="clear" w:color="auto" w:fill="FFFFFF"/>
        </w:rPr>
        <w:t>Zaynuidinova</w:t>
      </w:r>
      <w:proofErr w:type="spellEnd"/>
      <w:r w:rsidRPr="00D23C03">
        <w:rPr>
          <w:rFonts w:ascii="Arial" w:hAnsi="Arial" w:cs="Arial"/>
          <w:color w:val="222222"/>
          <w:shd w:val="clear" w:color="auto" w:fill="FFFFFF"/>
        </w:rPr>
        <w:t>, U.D., 2020. Investment policy of automobile transport entrepreneurs. </w:t>
      </w:r>
      <w:r w:rsidRPr="00D23C03">
        <w:rPr>
          <w:rFonts w:ascii="Arial" w:hAnsi="Arial" w:cs="Arial"/>
          <w:i/>
          <w:iCs/>
          <w:color w:val="222222"/>
          <w:shd w:val="clear" w:color="auto" w:fill="FFFFFF"/>
        </w:rPr>
        <w:t>American journal of economics and business management</w:t>
      </w:r>
      <w:r w:rsidRPr="00D23C03">
        <w:rPr>
          <w:rFonts w:ascii="Arial" w:hAnsi="Arial" w:cs="Arial"/>
          <w:color w:val="222222"/>
          <w:shd w:val="clear" w:color="auto" w:fill="FFFFFF"/>
        </w:rPr>
        <w:t>, </w:t>
      </w:r>
      <w:r w:rsidRPr="00D23C03">
        <w:rPr>
          <w:rFonts w:ascii="Arial" w:hAnsi="Arial" w:cs="Arial"/>
          <w:i/>
          <w:iCs/>
          <w:color w:val="222222"/>
          <w:shd w:val="clear" w:color="auto" w:fill="FFFFFF"/>
        </w:rPr>
        <w:t>3</w:t>
      </w:r>
      <w:r w:rsidRPr="00D23C03">
        <w:rPr>
          <w:rFonts w:ascii="Arial" w:hAnsi="Arial" w:cs="Arial"/>
          <w:color w:val="222222"/>
          <w:shd w:val="clear" w:color="auto" w:fill="FFFFFF"/>
        </w:rPr>
        <w:t>(1), pp.70-76.</w:t>
      </w:r>
      <w:r w:rsidRPr="00D23C03">
        <w:rPr>
          <w:rFonts w:ascii="Arial" w:hAnsi="Arial" w:cs="Arial"/>
        </w:rPr>
        <w:t xml:space="preserve"> </w:t>
      </w:r>
      <w:hyperlink r:id="rId16" w:history="1">
        <w:r w:rsidRPr="00D23C03">
          <w:rPr>
            <w:rStyle w:val="Hyperlink"/>
            <w:rFonts w:ascii="Arial" w:hAnsi="Arial" w:cs="Arial"/>
            <w:shd w:val="clear" w:color="auto" w:fill="FFFFFF"/>
          </w:rPr>
          <w:t>https://www.grnjournals.us/index.php/AJEBM/article/view/117</w:t>
        </w:r>
      </w:hyperlink>
    </w:p>
    <w:p w14:paraId="26D83C06" w14:textId="77777777" w:rsidR="00027064" w:rsidRPr="00D23C03" w:rsidRDefault="00027064" w:rsidP="005D3E05">
      <w:pPr>
        <w:pStyle w:val="NormalWeb"/>
        <w:spacing w:line="360" w:lineRule="auto"/>
        <w:jc w:val="both"/>
        <w:rPr>
          <w:rFonts w:ascii="Arial" w:hAnsi="Arial" w:cs="Arial"/>
          <w:color w:val="222222"/>
          <w:shd w:val="clear" w:color="auto" w:fill="FFFFFF"/>
        </w:rPr>
      </w:pPr>
      <w:r w:rsidRPr="00D23C03">
        <w:rPr>
          <w:rFonts w:ascii="Arial" w:hAnsi="Arial" w:cs="Arial"/>
          <w:color w:val="222222"/>
          <w:shd w:val="clear" w:color="auto" w:fill="FFFFFF"/>
        </w:rPr>
        <w:t>Yu, Z., Khan, S.A.R. and Umar, M., 2022. Circular economy practices and industry 4.0 technologies: A strategic move of automobile industry. </w:t>
      </w:r>
      <w:r w:rsidRPr="00D23C03">
        <w:rPr>
          <w:rFonts w:ascii="Arial" w:hAnsi="Arial" w:cs="Arial"/>
          <w:i/>
          <w:iCs/>
          <w:color w:val="222222"/>
          <w:shd w:val="clear" w:color="auto" w:fill="FFFFFF"/>
        </w:rPr>
        <w:t>Business Strategy and the Environment</w:t>
      </w:r>
      <w:r w:rsidRPr="00D23C03">
        <w:rPr>
          <w:rFonts w:ascii="Arial" w:hAnsi="Arial" w:cs="Arial"/>
          <w:color w:val="222222"/>
          <w:shd w:val="clear" w:color="auto" w:fill="FFFFFF"/>
        </w:rPr>
        <w:t>, </w:t>
      </w:r>
      <w:r w:rsidRPr="00D23C03">
        <w:rPr>
          <w:rFonts w:ascii="Arial" w:hAnsi="Arial" w:cs="Arial"/>
          <w:i/>
          <w:iCs/>
          <w:color w:val="222222"/>
          <w:shd w:val="clear" w:color="auto" w:fill="FFFFFF"/>
        </w:rPr>
        <w:t>31</w:t>
      </w:r>
      <w:r w:rsidRPr="00D23C03">
        <w:rPr>
          <w:rFonts w:ascii="Arial" w:hAnsi="Arial" w:cs="Arial"/>
          <w:color w:val="222222"/>
          <w:shd w:val="clear" w:color="auto" w:fill="FFFFFF"/>
        </w:rPr>
        <w:t>(3), pp.796-809.</w:t>
      </w:r>
      <w:r w:rsidRPr="00D23C03">
        <w:rPr>
          <w:rFonts w:ascii="Arial" w:hAnsi="Arial" w:cs="Arial"/>
        </w:rPr>
        <w:t xml:space="preserve"> </w:t>
      </w:r>
      <w:hyperlink r:id="rId17" w:history="1">
        <w:r w:rsidRPr="00D23C03">
          <w:rPr>
            <w:rStyle w:val="Hyperlink"/>
            <w:rFonts w:ascii="Arial" w:hAnsi="Arial" w:cs="Arial"/>
            <w:shd w:val="clear" w:color="auto" w:fill="FFFFFF"/>
          </w:rPr>
          <w:t>https://onlinelibrary.wiley.com/doi/abs/10.1002/bse.2918</w:t>
        </w:r>
      </w:hyperlink>
    </w:p>
    <w:p w14:paraId="26D83C07" w14:textId="77777777" w:rsidR="00027064" w:rsidRPr="00D23C03" w:rsidRDefault="00027064" w:rsidP="005D3E05">
      <w:pPr>
        <w:pStyle w:val="NormalWeb"/>
        <w:spacing w:line="360" w:lineRule="auto"/>
        <w:jc w:val="both"/>
        <w:rPr>
          <w:rFonts w:ascii="Arial" w:hAnsi="Arial" w:cs="Arial"/>
        </w:rPr>
      </w:pPr>
    </w:p>
    <w:p w14:paraId="26D83C08" w14:textId="77777777" w:rsidR="0092497A" w:rsidRPr="00D23C03" w:rsidRDefault="001E1531" w:rsidP="005D3E05">
      <w:pPr>
        <w:spacing w:line="360" w:lineRule="auto"/>
        <w:jc w:val="both"/>
        <w:rPr>
          <w:sz w:val="24"/>
          <w:szCs w:val="24"/>
        </w:rPr>
      </w:pPr>
      <w:r w:rsidRPr="00D23C03">
        <w:rPr>
          <w:noProof/>
          <w:sz w:val="24"/>
          <w:szCs w:val="24"/>
          <w:lang w:eastAsia="en-IN"/>
        </w:rPr>
        <w:lastRenderedPageBreak/>
        <mc:AlternateContent>
          <mc:Choice Requires="wps">
            <w:drawing>
              <wp:inline distT="0" distB="0" distL="0" distR="0" wp14:anchorId="26D83C15" wp14:editId="26D83C16">
                <wp:extent cx="304800" cy="304800"/>
                <wp:effectExtent l="0" t="0" r="0" b="0"/>
                <wp:docPr id="6"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DAB016"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" filled="f" stroked="f">
                <o:lock v:ext="edit" aspectratio="t"/>
                <w10:anchorlock/>
              </v:rect>
            </w:pict>
          </mc:Fallback>
        </mc:AlternateContent>
      </w:r>
      <w:r w:rsidR="00027064" w:rsidRPr="00D23C03">
        <w:rPr>
          <w:sz w:val="24"/>
          <w:szCs w:val="24"/>
        </w:rPr>
        <w:t xml:space="preserve"> </w:t>
      </w:r>
    </w:p>
    <w:p w14:paraId="26D83C09" w14:textId="77777777" w:rsidR="0092497A" w:rsidRPr="00D23C03" w:rsidRDefault="0092497A" w:rsidP="005D3E05">
      <w:pPr>
        <w:pStyle w:val="Normal1"/>
        <w:spacing w:line="360" w:lineRule="auto"/>
        <w:jc w:val="both"/>
        <w:rPr>
          <w:rFonts w:eastAsia="Times New Roman"/>
          <w:b/>
          <w:sz w:val="24"/>
          <w:szCs w:val="24"/>
          <w:lang w:val="en-GB"/>
        </w:rPr>
      </w:pPr>
    </w:p>
    <w:p w14:paraId="26D83C0A" w14:textId="77777777" w:rsidR="0092497A" w:rsidRPr="00D23C03" w:rsidRDefault="0092497A" w:rsidP="005D3E05">
      <w:pPr>
        <w:pStyle w:val="Title"/>
        <w:spacing w:line="360" w:lineRule="auto"/>
        <w:jc w:val="both"/>
        <w:rPr>
          <w:rFonts w:eastAsia="Times New Roman"/>
          <w:b/>
          <w:sz w:val="24"/>
          <w:szCs w:val="24"/>
          <w:lang w:val="en-GB"/>
        </w:rPr>
      </w:pPr>
      <w:bookmarkStart w:id="9" w:name="_k6yw1tolv4g4" w:colFirst="0" w:colLast="0"/>
      <w:bookmarkEnd w:id="9"/>
    </w:p>
    <w:sectPr w:rsidR="0092497A" w:rsidRPr="00D23C03" w:rsidSect="0092497A">
      <w:footerReference w:type="default" r:id="rId1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83C19" w14:textId="77777777" w:rsidR="00340C4D" w:rsidRDefault="00340C4D" w:rsidP="00027064">
      <w:pPr>
        <w:spacing w:line="240" w:lineRule="auto"/>
      </w:pPr>
      <w:r>
        <w:separator/>
      </w:r>
    </w:p>
  </w:endnote>
  <w:endnote w:type="continuationSeparator" w:id="0">
    <w:p w14:paraId="26D83C1A" w14:textId="77777777" w:rsidR="00340C4D" w:rsidRDefault="00340C4D" w:rsidP="000270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66719"/>
      <w:docPartObj>
        <w:docPartGallery w:val="Page Numbers (Bottom of Page)"/>
        <w:docPartUnique/>
      </w:docPartObj>
    </w:sdtPr>
    <w:sdtEndPr/>
    <w:sdtContent>
      <w:p w14:paraId="26D83C1B" w14:textId="77777777" w:rsidR="00271069" w:rsidRDefault="00271069" w:rsidP="00271069">
        <w:pPr>
          <w:pStyle w:val="Footer"/>
          <w:spacing w:line="360" w:lineRule="auto"/>
          <w:jc w:val="right"/>
        </w:pPr>
        <w:r w:rsidRPr="00271069">
          <w:rPr>
            <w:rFonts w:ascii="Times New Roman" w:hAnsi="Times New Roman" w:cs="Times New Roman"/>
            <w:sz w:val="24"/>
            <w:szCs w:val="24"/>
          </w:rPr>
          <w:fldChar w:fldCharType="begin"/>
        </w:r>
        <w:r w:rsidRPr="00271069">
          <w:rPr>
            <w:rFonts w:ascii="Times New Roman" w:hAnsi="Times New Roman" w:cs="Times New Roman"/>
            <w:sz w:val="24"/>
            <w:szCs w:val="24"/>
          </w:rPr>
          <w:instrText xml:space="preserve"> PAGE   \* MERGEFORMAT </w:instrText>
        </w:r>
        <w:r w:rsidRPr="00271069">
          <w:rPr>
            <w:rFonts w:ascii="Times New Roman" w:hAnsi="Times New Roman" w:cs="Times New Roman"/>
            <w:sz w:val="24"/>
            <w:szCs w:val="24"/>
          </w:rPr>
          <w:fldChar w:fldCharType="separate"/>
        </w:r>
        <w:r w:rsidR="001E1531">
          <w:rPr>
            <w:rFonts w:ascii="Times New Roman" w:hAnsi="Times New Roman" w:cs="Times New Roman"/>
            <w:noProof/>
            <w:sz w:val="24"/>
            <w:szCs w:val="24"/>
          </w:rPr>
          <w:t>2</w:t>
        </w:r>
        <w:r w:rsidRPr="00271069">
          <w:rPr>
            <w:rFonts w:ascii="Times New Roman" w:hAnsi="Times New Roman" w:cs="Times New Roman"/>
            <w:sz w:val="24"/>
            <w:szCs w:val="24"/>
          </w:rPr>
          <w:fldChar w:fldCharType="end"/>
        </w:r>
      </w:p>
    </w:sdtContent>
  </w:sdt>
  <w:p w14:paraId="26D83C1C" w14:textId="77777777" w:rsidR="00271069" w:rsidRDefault="00271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83C17" w14:textId="77777777" w:rsidR="00340C4D" w:rsidRDefault="00340C4D" w:rsidP="00027064">
      <w:pPr>
        <w:spacing w:line="240" w:lineRule="auto"/>
      </w:pPr>
      <w:r>
        <w:separator/>
      </w:r>
    </w:p>
  </w:footnote>
  <w:footnote w:type="continuationSeparator" w:id="0">
    <w:p w14:paraId="26D83C18" w14:textId="77777777" w:rsidR="00340C4D" w:rsidRDefault="00340C4D" w:rsidP="000270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497A"/>
    <w:rsid w:val="00027064"/>
    <w:rsid w:val="0013558E"/>
    <w:rsid w:val="001E1531"/>
    <w:rsid w:val="00271069"/>
    <w:rsid w:val="00340C4D"/>
    <w:rsid w:val="005D3E05"/>
    <w:rsid w:val="0092497A"/>
    <w:rsid w:val="00A62263"/>
    <w:rsid w:val="00A91E0C"/>
    <w:rsid w:val="00D23C03"/>
    <w:rsid w:val="00E02B28"/>
    <w:rsid w:val="00FC5A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83B77"/>
  <w15:docId w15:val="{D4056462-135E-4708-AFC6-CAF89A9EC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271069"/>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92497A"/>
    <w:pPr>
      <w:keepNext/>
      <w:keepLines/>
      <w:spacing w:before="360" w:after="120"/>
      <w:outlineLvl w:val="1"/>
    </w:pPr>
    <w:rPr>
      <w:sz w:val="32"/>
      <w:szCs w:val="32"/>
    </w:rPr>
  </w:style>
  <w:style w:type="paragraph" w:styleId="Heading3">
    <w:name w:val="heading 3"/>
    <w:basedOn w:val="Normal1"/>
    <w:next w:val="Normal1"/>
    <w:rsid w:val="0092497A"/>
    <w:pPr>
      <w:keepNext/>
      <w:keepLines/>
      <w:spacing w:before="320" w:after="80"/>
      <w:outlineLvl w:val="2"/>
    </w:pPr>
    <w:rPr>
      <w:color w:val="434343"/>
      <w:sz w:val="28"/>
      <w:szCs w:val="28"/>
    </w:rPr>
  </w:style>
  <w:style w:type="paragraph" w:styleId="Heading4">
    <w:name w:val="heading 4"/>
    <w:basedOn w:val="Normal1"/>
    <w:next w:val="Normal1"/>
    <w:rsid w:val="0092497A"/>
    <w:pPr>
      <w:keepNext/>
      <w:keepLines/>
      <w:spacing w:before="280" w:after="80"/>
      <w:outlineLvl w:val="3"/>
    </w:pPr>
    <w:rPr>
      <w:color w:val="666666"/>
      <w:sz w:val="24"/>
      <w:szCs w:val="24"/>
    </w:rPr>
  </w:style>
  <w:style w:type="paragraph" w:styleId="Heading5">
    <w:name w:val="heading 5"/>
    <w:basedOn w:val="Normal1"/>
    <w:next w:val="Normal1"/>
    <w:rsid w:val="0092497A"/>
    <w:pPr>
      <w:keepNext/>
      <w:keepLines/>
      <w:spacing w:before="240" w:after="80"/>
      <w:outlineLvl w:val="4"/>
    </w:pPr>
    <w:rPr>
      <w:color w:val="666666"/>
    </w:rPr>
  </w:style>
  <w:style w:type="paragraph" w:styleId="Heading6">
    <w:name w:val="heading 6"/>
    <w:basedOn w:val="Normal1"/>
    <w:next w:val="Normal1"/>
    <w:rsid w:val="0092497A"/>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2497A"/>
  </w:style>
  <w:style w:type="table" w:customStyle="1" w:styleId="TableNormal1">
    <w:name w:val="Table Normal1"/>
    <w:rsid w:val="0092497A"/>
    <w:tblPr>
      <w:tblCellMar>
        <w:top w:w="0" w:type="dxa"/>
        <w:left w:w="0" w:type="dxa"/>
        <w:bottom w:w="0" w:type="dxa"/>
        <w:right w:w="0" w:type="dxa"/>
      </w:tblCellMar>
    </w:tblPr>
  </w:style>
  <w:style w:type="paragraph" w:styleId="Title">
    <w:name w:val="Title"/>
    <w:basedOn w:val="Normal1"/>
    <w:next w:val="Normal1"/>
    <w:rsid w:val="0092497A"/>
    <w:pPr>
      <w:keepNext/>
      <w:keepLines/>
      <w:spacing w:after="60"/>
    </w:pPr>
    <w:rPr>
      <w:sz w:val="52"/>
      <w:szCs w:val="52"/>
    </w:rPr>
  </w:style>
  <w:style w:type="paragraph" w:styleId="Subtitle">
    <w:name w:val="Subtitle"/>
    <w:basedOn w:val="Normal1"/>
    <w:next w:val="Normal1"/>
    <w:rsid w:val="0092497A"/>
    <w:pPr>
      <w:keepNext/>
      <w:keepLines/>
      <w:spacing w:after="320"/>
    </w:pPr>
    <w:rPr>
      <w:color w:val="666666"/>
      <w:sz w:val="30"/>
      <w:szCs w:val="30"/>
    </w:rPr>
  </w:style>
  <w:style w:type="table" w:customStyle="1" w:styleId="Table1">
    <w:name w:val="Table1"/>
    <w:basedOn w:val="TableNormal1"/>
    <w:rsid w:val="0092497A"/>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92497A"/>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92497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2497A"/>
    <w:pPr>
      <w:spacing w:line="240" w:lineRule="auto"/>
    </w:pPr>
    <w:rPr>
      <w:sz w:val="20"/>
      <w:szCs w:val="20"/>
    </w:rPr>
  </w:style>
  <w:style w:type="character" w:customStyle="1" w:styleId="CommentTextChar">
    <w:name w:val="Comment Text Char"/>
    <w:basedOn w:val="DefaultParagraphFont"/>
    <w:link w:val="CommentText"/>
    <w:uiPriority w:val="99"/>
    <w:semiHidden/>
    <w:rsid w:val="0092497A"/>
    <w:rPr>
      <w:sz w:val="20"/>
      <w:szCs w:val="20"/>
    </w:rPr>
  </w:style>
  <w:style w:type="character" w:styleId="CommentReference">
    <w:name w:val="annotation reference"/>
    <w:basedOn w:val="DefaultParagraphFont"/>
    <w:uiPriority w:val="99"/>
    <w:semiHidden/>
    <w:unhideWhenUsed/>
    <w:rsid w:val="0092497A"/>
    <w:rPr>
      <w:sz w:val="16"/>
      <w:szCs w:val="16"/>
    </w:rPr>
  </w:style>
  <w:style w:type="paragraph" w:styleId="BalloonText">
    <w:name w:val="Balloon Text"/>
    <w:basedOn w:val="Normal"/>
    <w:link w:val="BalloonTextChar"/>
    <w:uiPriority w:val="99"/>
    <w:semiHidden/>
    <w:unhideWhenUsed/>
    <w:rsid w:val="0002706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064"/>
    <w:rPr>
      <w:rFonts w:ascii="Tahoma" w:hAnsi="Tahoma" w:cs="Tahoma"/>
      <w:sz w:val="16"/>
      <w:szCs w:val="16"/>
    </w:rPr>
  </w:style>
  <w:style w:type="paragraph" w:styleId="NormalWeb">
    <w:name w:val="Normal (Web)"/>
    <w:basedOn w:val="Normal"/>
    <w:uiPriority w:val="99"/>
    <w:semiHidden/>
    <w:unhideWhenUsed/>
    <w:rsid w:val="0002706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027064"/>
    <w:rPr>
      <w:color w:val="0000FF" w:themeColor="hyperlink"/>
      <w:u w:val="single"/>
    </w:rPr>
  </w:style>
  <w:style w:type="paragraph" w:styleId="Header">
    <w:name w:val="header"/>
    <w:basedOn w:val="Normal"/>
    <w:link w:val="HeaderChar"/>
    <w:uiPriority w:val="99"/>
    <w:semiHidden/>
    <w:unhideWhenUsed/>
    <w:rsid w:val="00027064"/>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027064"/>
  </w:style>
  <w:style w:type="paragraph" w:styleId="Footer">
    <w:name w:val="footer"/>
    <w:basedOn w:val="Normal"/>
    <w:link w:val="FooterChar"/>
    <w:uiPriority w:val="99"/>
    <w:unhideWhenUsed/>
    <w:rsid w:val="00027064"/>
    <w:pPr>
      <w:tabs>
        <w:tab w:val="center" w:pos="4513"/>
        <w:tab w:val="right" w:pos="9026"/>
      </w:tabs>
      <w:spacing w:line="240" w:lineRule="auto"/>
    </w:pPr>
  </w:style>
  <w:style w:type="character" w:customStyle="1" w:styleId="FooterChar">
    <w:name w:val="Footer Char"/>
    <w:basedOn w:val="DefaultParagraphFont"/>
    <w:link w:val="Footer"/>
    <w:uiPriority w:val="99"/>
    <w:rsid w:val="000270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ontent.iospress.com/articles/journal-of-intelligent-and-fuzzy-systems/ifs18961"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tandfonline.com/doi/abs/10.1080/07421222.2018.1451951" TargetMode="External"/><Relationship Id="rId17" Type="http://schemas.openxmlformats.org/officeDocument/2006/relationships/hyperlink" Target="https://onlinelibrary.wiley.com/doi/abs/10.1002/bse.2918" TargetMode="External"/><Relationship Id="rId2" Type="http://schemas.openxmlformats.org/officeDocument/2006/relationships/settings" Target="settings.xml"/><Relationship Id="rId16" Type="http://schemas.openxmlformats.org/officeDocument/2006/relationships/hyperlink" Target="https://www.grnjournals.us/index.php/AJEBM/article/view/117"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ature.com/articles/s41893-020-00607-0" TargetMode="External"/><Relationship Id="rId5" Type="http://schemas.openxmlformats.org/officeDocument/2006/relationships/endnotes" Target="endnotes.xml"/><Relationship Id="rId15" Type="http://schemas.openxmlformats.org/officeDocument/2006/relationships/hyperlink" Target="https://www.mdpi.com/291794"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journals.vilniustech.lt/index.php/IJSPM/article/view/62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16</Pages>
  <Words>3155</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Vasile Purice</dc:creator>
  <cp:lastModifiedBy>Iulian Vasile Purice (1919243)</cp:lastModifiedBy>
  <cp:revision>3</cp:revision>
  <dcterms:created xsi:type="dcterms:W3CDTF">2022-12-08T12:55:00Z</dcterms:created>
  <dcterms:modified xsi:type="dcterms:W3CDTF">2023-01-08T22:03:00Z</dcterms:modified>
</cp:coreProperties>
</file>