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01F7A" w14:textId="77777777" w:rsidR="00664A77" w:rsidRDefault="00664A77">
      <w:pPr>
        <w:spacing w:line="480" w:lineRule="auto"/>
        <w:rPr>
          <w:rFonts w:ascii="Arial" w:eastAsia="Arial" w:hAnsi="Arial" w:cs="Arial"/>
        </w:rPr>
      </w:pPr>
    </w:p>
    <w:p w14:paraId="69401F7B" w14:textId="77777777" w:rsidR="00664A77" w:rsidRDefault="00664A77">
      <w:pPr>
        <w:spacing w:line="480" w:lineRule="auto"/>
        <w:rPr>
          <w:rFonts w:ascii="Arial" w:eastAsia="Arial" w:hAnsi="Arial" w:cs="Arial"/>
        </w:rPr>
      </w:pPr>
    </w:p>
    <w:p w14:paraId="69401F7C" w14:textId="77777777" w:rsidR="00664A77" w:rsidRDefault="00664A77">
      <w:pPr>
        <w:spacing w:line="480" w:lineRule="auto"/>
        <w:rPr>
          <w:rFonts w:ascii="Arial" w:eastAsia="Arial" w:hAnsi="Arial" w:cs="Arial"/>
        </w:rPr>
      </w:pPr>
    </w:p>
    <w:p w14:paraId="69401F7D" w14:textId="77777777" w:rsidR="00664A77" w:rsidRDefault="00664A77">
      <w:pPr>
        <w:spacing w:line="480" w:lineRule="auto"/>
        <w:rPr>
          <w:rFonts w:ascii="Arial" w:eastAsia="Arial" w:hAnsi="Arial" w:cs="Arial"/>
        </w:rPr>
      </w:pPr>
    </w:p>
    <w:p w14:paraId="69401F7E" w14:textId="77777777" w:rsidR="00664A77" w:rsidRDefault="000C43E0">
      <w:pPr>
        <w:spacing w:line="480" w:lineRule="auto"/>
        <w:jc w:val="center"/>
        <w:rPr>
          <w:rFonts w:ascii="Arial" w:eastAsia="Arial" w:hAnsi="Arial" w:cs="Arial"/>
          <w:b/>
          <w:sz w:val="26"/>
          <w:szCs w:val="26"/>
        </w:rPr>
      </w:pPr>
      <w:r>
        <w:rPr>
          <w:rFonts w:ascii="Arial" w:eastAsia="Arial" w:hAnsi="Arial" w:cs="Arial"/>
          <w:b/>
          <w:sz w:val="26"/>
          <w:szCs w:val="26"/>
        </w:rPr>
        <w:t>Managing People</w:t>
      </w:r>
    </w:p>
    <w:p w14:paraId="69401F7F" w14:textId="77777777" w:rsidR="00664A77" w:rsidRDefault="000C43E0">
      <w:pPr>
        <w:spacing w:line="480" w:lineRule="auto"/>
        <w:jc w:val="center"/>
        <w:rPr>
          <w:rFonts w:ascii="Arial" w:eastAsia="Arial" w:hAnsi="Arial" w:cs="Arial"/>
          <w:sz w:val="26"/>
          <w:szCs w:val="26"/>
        </w:rPr>
      </w:pPr>
      <w:r>
        <w:rPr>
          <w:rFonts w:ascii="Arial" w:eastAsia="Arial" w:hAnsi="Arial" w:cs="Arial"/>
          <w:b/>
          <w:sz w:val="26"/>
          <w:szCs w:val="26"/>
        </w:rPr>
        <w:t>Employee Engagement</w:t>
      </w:r>
    </w:p>
    <w:p w14:paraId="69401F80" w14:textId="77777777" w:rsidR="00664A77" w:rsidRDefault="00664A77">
      <w:pPr>
        <w:spacing w:line="480" w:lineRule="auto"/>
        <w:jc w:val="center"/>
        <w:rPr>
          <w:rFonts w:ascii="Arial" w:eastAsia="Arial" w:hAnsi="Arial" w:cs="Arial"/>
          <w:sz w:val="24"/>
          <w:szCs w:val="24"/>
        </w:rPr>
      </w:pPr>
    </w:p>
    <w:p w14:paraId="69401F81" w14:textId="532F06DB"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 xml:space="preserve">by </w:t>
      </w:r>
      <w:r w:rsidR="00142F46">
        <w:rPr>
          <w:rFonts w:ascii="Arial" w:eastAsia="Arial" w:hAnsi="Arial" w:cs="Arial"/>
          <w:sz w:val="24"/>
          <w:szCs w:val="24"/>
        </w:rPr>
        <w:t>Anton Mersinkov</w:t>
      </w:r>
      <w:r w:rsidR="00B51790">
        <w:rPr>
          <w:rFonts w:ascii="Arial" w:eastAsia="Arial" w:hAnsi="Arial" w:cs="Arial"/>
          <w:sz w:val="24"/>
          <w:szCs w:val="24"/>
        </w:rPr>
        <w:t xml:space="preserve"> ID: 2014039</w:t>
      </w:r>
    </w:p>
    <w:p w14:paraId="69401F83" w14:textId="176BB2C0" w:rsidR="00664A77" w:rsidRDefault="009B53EB" w:rsidP="00142F46">
      <w:pPr>
        <w:spacing w:line="480" w:lineRule="auto"/>
        <w:rPr>
          <w:rFonts w:ascii="Arial" w:eastAsia="Arial" w:hAnsi="Arial" w:cs="Arial"/>
          <w:sz w:val="24"/>
          <w:szCs w:val="24"/>
        </w:rPr>
      </w:pPr>
      <w:r>
        <w:rPr>
          <w:rFonts w:ascii="Arial" w:eastAsia="Arial" w:hAnsi="Arial" w:cs="Arial"/>
          <w:sz w:val="24"/>
          <w:szCs w:val="24"/>
        </w:rPr>
        <w:t xml:space="preserve">                                             </w:t>
      </w:r>
      <w:r w:rsidR="0094431D">
        <w:rPr>
          <w:rFonts w:ascii="Arial" w:eastAsia="Arial" w:hAnsi="Arial" w:cs="Arial"/>
          <w:sz w:val="24"/>
          <w:szCs w:val="24"/>
        </w:rPr>
        <w:t xml:space="preserve">Managing People </w:t>
      </w:r>
      <w:r>
        <w:rPr>
          <w:rFonts w:ascii="Arial" w:eastAsia="Arial" w:hAnsi="Arial" w:cs="Arial"/>
          <w:sz w:val="24"/>
          <w:szCs w:val="24"/>
        </w:rPr>
        <w:t>LCBB5004</w:t>
      </w:r>
    </w:p>
    <w:p w14:paraId="69401F84" w14:textId="4182CDA6" w:rsidR="00664A77" w:rsidRDefault="005C03DA">
      <w:pPr>
        <w:spacing w:line="480" w:lineRule="auto"/>
        <w:jc w:val="center"/>
        <w:rPr>
          <w:rFonts w:ascii="Arial" w:eastAsia="Arial" w:hAnsi="Arial" w:cs="Arial"/>
          <w:sz w:val="24"/>
          <w:szCs w:val="24"/>
        </w:rPr>
      </w:pPr>
      <w:r>
        <w:rPr>
          <w:rFonts w:ascii="Arial" w:eastAsia="Arial" w:hAnsi="Arial" w:cs="Arial"/>
          <w:sz w:val="24"/>
          <w:szCs w:val="24"/>
        </w:rPr>
        <w:t>Lecture</w:t>
      </w:r>
      <w:r w:rsidR="000C43E0">
        <w:rPr>
          <w:rFonts w:ascii="Arial" w:eastAsia="Arial" w:hAnsi="Arial" w:cs="Arial"/>
          <w:sz w:val="24"/>
          <w:szCs w:val="24"/>
        </w:rPr>
        <w:t xml:space="preserve"> Name</w:t>
      </w:r>
      <w:r>
        <w:rPr>
          <w:rFonts w:ascii="Arial" w:eastAsia="Arial" w:hAnsi="Arial" w:cs="Arial"/>
          <w:sz w:val="24"/>
          <w:szCs w:val="24"/>
        </w:rPr>
        <w:t>: Nishi</w:t>
      </w:r>
      <w:r w:rsidR="008864E7">
        <w:rPr>
          <w:rFonts w:ascii="Arial" w:eastAsia="Arial" w:hAnsi="Arial" w:cs="Arial"/>
          <w:sz w:val="24"/>
          <w:szCs w:val="24"/>
        </w:rPr>
        <w:t xml:space="preserve"> Ramsurrun</w:t>
      </w:r>
    </w:p>
    <w:p w14:paraId="69401F85" w14:textId="31720805"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University</w:t>
      </w:r>
      <w:r w:rsidR="00A97C6B">
        <w:rPr>
          <w:rFonts w:ascii="Arial" w:eastAsia="Arial" w:hAnsi="Arial" w:cs="Arial"/>
          <w:sz w:val="24"/>
          <w:szCs w:val="24"/>
        </w:rPr>
        <w:t xml:space="preserve"> Of Wales Trinity Saint David</w:t>
      </w:r>
    </w:p>
    <w:p w14:paraId="69401F86" w14:textId="20FDEA32" w:rsidR="00664A77" w:rsidRDefault="001C25DB">
      <w:pPr>
        <w:spacing w:line="480" w:lineRule="auto"/>
        <w:jc w:val="center"/>
        <w:rPr>
          <w:rFonts w:ascii="Arial" w:eastAsia="Arial" w:hAnsi="Arial" w:cs="Arial"/>
          <w:sz w:val="24"/>
          <w:szCs w:val="24"/>
        </w:rPr>
      </w:pPr>
      <w:r>
        <w:rPr>
          <w:rFonts w:ascii="Arial" w:eastAsia="Arial" w:hAnsi="Arial" w:cs="Arial"/>
          <w:sz w:val="24"/>
          <w:szCs w:val="24"/>
        </w:rPr>
        <w:t>London Campus</w:t>
      </w:r>
    </w:p>
    <w:p w14:paraId="69401F87" w14:textId="480E37C3"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Date</w:t>
      </w:r>
      <w:r w:rsidR="001C25DB">
        <w:rPr>
          <w:rFonts w:ascii="Arial" w:eastAsia="Arial" w:hAnsi="Arial" w:cs="Arial"/>
          <w:sz w:val="24"/>
          <w:szCs w:val="24"/>
        </w:rPr>
        <w:t>:</w:t>
      </w:r>
    </w:p>
    <w:p w14:paraId="69401F88" w14:textId="77777777"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Words: 2000</w:t>
      </w:r>
    </w:p>
    <w:p w14:paraId="69401F89" w14:textId="77777777" w:rsidR="00664A77" w:rsidRDefault="00664A77">
      <w:pPr>
        <w:spacing w:line="480" w:lineRule="auto"/>
        <w:rPr>
          <w:rFonts w:ascii="Arial" w:eastAsia="Arial" w:hAnsi="Arial" w:cs="Arial"/>
        </w:rPr>
      </w:pPr>
    </w:p>
    <w:p w14:paraId="69401F8A" w14:textId="77777777" w:rsidR="00664A77" w:rsidRDefault="00664A77">
      <w:pPr>
        <w:spacing w:line="480" w:lineRule="auto"/>
        <w:rPr>
          <w:rFonts w:ascii="Arial" w:eastAsia="Arial" w:hAnsi="Arial" w:cs="Arial"/>
        </w:rPr>
      </w:pPr>
    </w:p>
    <w:p w14:paraId="69401F8B" w14:textId="77777777" w:rsidR="00664A77" w:rsidRDefault="00664A77">
      <w:pPr>
        <w:spacing w:line="480" w:lineRule="auto"/>
        <w:rPr>
          <w:rFonts w:ascii="Arial" w:eastAsia="Arial" w:hAnsi="Arial" w:cs="Arial"/>
        </w:rPr>
      </w:pPr>
    </w:p>
    <w:p w14:paraId="69401F8C" w14:textId="77777777" w:rsidR="00664A77" w:rsidRDefault="00664A77">
      <w:pPr>
        <w:spacing w:line="480" w:lineRule="auto"/>
        <w:rPr>
          <w:rFonts w:ascii="Arial" w:eastAsia="Arial" w:hAnsi="Arial" w:cs="Arial"/>
        </w:rPr>
      </w:pPr>
    </w:p>
    <w:p w14:paraId="69401F8D" w14:textId="77777777" w:rsidR="00664A77" w:rsidRDefault="00664A77">
      <w:pPr>
        <w:spacing w:line="480" w:lineRule="auto"/>
        <w:rPr>
          <w:rFonts w:ascii="Arial" w:eastAsia="Arial" w:hAnsi="Arial" w:cs="Arial"/>
        </w:rPr>
      </w:pPr>
    </w:p>
    <w:p w14:paraId="69C5AD0E" w14:textId="77777777" w:rsidR="004A23B0" w:rsidRDefault="004A23B0">
      <w:pPr>
        <w:spacing w:line="480" w:lineRule="auto"/>
        <w:rPr>
          <w:rFonts w:ascii="Arial" w:eastAsia="Arial" w:hAnsi="Arial" w:cs="Arial"/>
        </w:rPr>
      </w:pPr>
    </w:p>
    <w:p w14:paraId="69401F8E" w14:textId="77777777" w:rsidR="00664A77" w:rsidRDefault="000C43E0">
      <w:pPr>
        <w:spacing w:line="480" w:lineRule="auto"/>
        <w:rPr>
          <w:rFonts w:ascii="Arial" w:eastAsia="Arial" w:hAnsi="Arial" w:cs="Arial"/>
          <w:b/>
          <w:sz w:val="26"/>
          <w:szCs w:val="26"/>
        </w:rPr>
      </w:pPr>
      <w:r>
        <w:rPr>
          <w:rFonts w:ascii="Arial" w:eastAsia="Arial" w:hAnsi="Arial" w:cs="Arial"/>
          <w:b/>
          <w:sz w:val="26"/>
          <w:szCs w:val="26"/>
        </w:rPr>
        <w:lastRenderedPageBreak/>
        <w:t>Table of Contents</w:t>
      </w:r>
    </w:p>
    <w:p w14:paraId="69401F8F" w14:textId="77777777" w:rsidR="00664A77" w:rsidRDefault="00664A77">
      <w:pPr>
        <w:spacing w:line="480" w:lineRule="auto"/>
        <w:rPr>
          <w:rFonts w:ascii="Arial" w:eastAsia="Arial" w:hAnsi="Arial" w:cs="Arial"/>
        </w:rPr>
      </w:pPr>
    </w:p>
    <w:sdt>
      <w:sdtPr>
        <w:id w:val="1800342978"/>
        <w:docPartObj>
          <w:docPartGallery w:val="Table of Contents"/>
          <w:docPartUnique/>
        </w:docPartObj>
      </w:sdtPr>
      <w:sdtEndPr/>
      <w:sdtContent>
        <w:p w14:paraId="69401F90" w14:textId="77777777" w:rsidR="00664A77" w:rsidRPr="00802AC3" w:rsidRDefault="000C43E0">
          <w:pPr>
            <w:tabs>
              <w:tab w:val="right" w:pos="9025"/>
            </w:tabs>
            <w:spacing w:before="80" w:line="240" w:lineRule="auto"/>
            <w:rPr>
              <w:rFonts w:ascii="Arial" w:eastAsia="Arial" w:hAnsi="Arial" w:cs="Arial"/>
              <w:b/>
              <w:bCs/>
              <w:color w:val="000000"/>
            </w:rPr>
          </w:pPr>
          <w:r w:rsidRPr="00802AC3">
            <w:rPr>
              <w:b/>
              <w:bCs/>
            </w:rPr>
            <w:fldChar w:fldCharType="begin"/>
          </w:r>
          <w:r w:rsidRPr="00802AC3">
            <w:rPr>
              <w:b/>
              <w:bCs/>
            </w:rPr>
            <w:instrText xml:space="preserve"> TOC \h \u \z </w:instrText>
          </w:r>
          <w:r w:rsidRPr="00802AC3">
            <w:rPr>
              <w:b/>
              <w:bCs/>
            </w:rPr>
            <w:fldChar w:fldCharType="separate"/>
          </w:r>
          <w:hyperlink w:anchor="_v2v0j2efh8ap">
            <w:r w:rsidRPr="00802AC3">
              <w:rPr>
                <w:rFonts w:ascii="Arial" w:eastAsia="Arial" w:hAnsi="Arial" w:cs="Arial"/>
                <w:b/>
                <w:bCs/>
                <w:color w:val="000000"/>
              </w:rPr>
              <w:t>Introduction</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_v2v0j2efh8ap \h </w:instrText>
          </w:r>
          <w:r w:rsidRPr="00802AC3">
            <w:rPr>
              <w:b/>
              <w:bCs/>
            </w:rPr>
          </w:r>
          <w:r w:rsidRPr="00802AC3">
            <w:rPr>
              <w:b/>
              <w:bCs/>
            </w:rPr>
            <w:fldChar w:fldCharType="separate"/>
          </w:r>
          <w:r w:rsidRPr="00802AC3">
            <w:rPr>
              <w:rFonts w:ascii="Arial" w:eastAsia="Arial" w:hAnsi="Arial" w:cs="Arial"/>
              <w:b/>
              <w:bCs/>
              <w:color w:val="000000"/>
            </w:rPr>
            <w:t>3</w:t>
          </w:r>
          <w:r w:rsidRPr="00802AC3">
            <w:rPr>
              <w:b/>
              <w:bCs/>
            </w:rPr>
            <w:fldChar w:fldCharType="end"/>
          </w:r>
        </w:p>
        <w:p w14:paraId="69401F91" w14:textId="77777777" w:rsidR="00664A77" w:rsidRPr="00802AC3" w:rsidRDefault="000C43E0">
          <w:pPr>
            <w:tabs>
              <w:tab w:val="right" w:pos="9025"/>
            </w:tabs>
            <w:spacing w:before="200" w:line="240" w:lineRule="auto"/>
            <w:rPr>
              <w:rFonts w:ascii="Arial" w:eastAsia="Arial" w:hAnsi="Arial" w:cs="Arial"/>
              <w:b/>
              <w:bCs/>
              <w:color w:val="000000"/>
            </w:rPr>
          </w:pPr>
          <w:hyperlink w:anchor="_t1bwtqj749n">
            <w:r w:rsidRPr="00802AC3">
              <w:rPr>
                <w:rFonts w:ascii="Arial" w:eastAsia="Arial" w:hAnsi="Arial" w:cs="Arial"/>
                <w:b/>
                <w:bCs/>
                <w:color w:val="000000"/>
              </w:rPr>
              <w:t>What drives Employee Engagement?</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_t1bwtqj749n \h </w:instrText>
          </w:r>
          <w:r w:rsidRPr="00802AC3">
            <w:rPr>
              <w:b/>
              <w:bCs/>
            </w:rPr>
          </w:r>
          <w:r w:rsidRPr="00802AC3">
            <w:rPr>
              <w:b/>
              <w:bCs/>
            </w:rPr>
            <w:fldChar w:fldCharType="separate"/>
          </w:r>
          <w:r w:rsidRPr="00802AC3">
            <w:rPr>
              <w:rFonts w:ascii="Arial" w:eastAsia="Arial" w:hAnsi="Arial" w:cs="Arial"/>
              <w:b/>
              <w:bCs/>
              <w:color w:val="000000"/>
            </w:rPr>
            <w:t>3</w:t>
          </w:r>
          <w:r w:rsidRPr="00802AC3">
            <w:rPr>
              <w:b/>
              <w:bCs/>
            </w:rPr>
            <w:fldChar w:fldCharType="end"/>
          </w:r>
        </w:p>
        <w:p w14:paraId="69401F92" w14:textId="77777777" w:rsidR="00664A77" w:rsidRPr="00802AC3" w:rsidRDefault="000C43E0">
          <w:pPr>
            <w:tabs>
              <w:tab w:val="right" w:pos="9025"/>
            </w:tabs>
            <w:spacing w:before="60" w:line="240" w:lineRule="auto"/>
            <w:ind w:left="360"/>
            <w:rPr>
              <w:rFonts w:ascii="Arial" w:eastAsia="Arial" w:hAnsi="Arial" w:cs="Arial"/>
              <w:b/>
              <w:bCs/>
              <w:color w:val="000000"/>
            </w:rPr>
          </w:pPr>
          <w:hyperlink w:anchor="_rj2slldffqtw">
            <w:r w:rsidRPr="00802AC3">
              <w:rPr>
                <w:rFonts w:ascii="Arial" w:eastAsia="Arial" w:hAnsi="Arial" w:cs="Arial"/>
                <w:b/>
                <w:bCs/>
                <w:color w:val="000000"/>
              </w:rPr>
              <w:t>Internal Factors</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_rj2slldffqtw \h </w:instrText>
          </w:r>
          <w:r w:rsidRPr="00802AC3">
            <w:rPr>
              <w:b/>
              <w:bCs/>
            </w:rPr>
          </w:r>
          <w:r w:rsidRPr="00802AC3">
            <w:rPr>
              <w:b/>
              <w:bCs/>
            </w:rPr>
            <w:fldChar w:fldCharType="separate"/>
          </w:r>
          <w:r w:rsidRPr="00802AC3">
            <w:rPr>
              <w:rFonts w:ascii="Arial" w:eastAsia="Arial" w:hAnsi="Arial" w:cs="Arial"/>
              <w:b/>
              <w:bCs/>
              <w:color w:val="000000"/>
            </w:rPr>
            <w:t>3</w:t>
          </w:r>
          <w:r w:rsidRPr="00802AC3">
            <w:rPr>
              <w:b/>
              <w:bCs/>
            </w:rPr>
            <w:fldChar w:fldCharType="end"/>
          </w:r>
        </w:p>
        <w:p w14:paraId="69401F93" w14:textId="77777777" w:rsidR="00664A77" w:rsidRPr="00802AC3" w:rsidRDefault="000C43E0">
          <w:pPr>
            <w:tabs>
              <w:tab w:val="right" w:pos="9025"/>
            </w:tabs>
            <w:spacing w:before="60" w:line="240" w:lineRule="auto"/>
            <w:ind w:left="360"/>
            <w:rPr>
              <w:rFonts w:ascii="Arial" w:eastAsia="Arial" w:hAnsi="Arial" w:cs="Arial"/>
              <w:b/>
              <w:bCs/>
              <w:color w:val="000000"/>
            </w:rPr>
          </w:pPr>
          <w:hyperlink w:anchor="_o8c7zmwc9l6x">
            <w:r w:rsidRPr="00802AC3">
              <w:rPr>
                <w:rFonts w:ascii="Arial" w:eastAsia="Arial" w:hAnsi="Arial" w:cs="Arial"/>
                <w:b/>
                <w:bCs/>
                <w:color w:val="000000"/>
              </w:rPr>
              <w:t>External Factors</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_o8c7zmwc9l6x \h </w:instrText>
          </w:r>
          <w:r w:rsidRPr="00802AC3">
            <w:rPr>
              <w:b/>
              <w:bCs/>
            </w:rPr>
          </w:r>
          <w:r w:rsidRPr="00802AC3">
            <w:rPr>
              <w:b/>
              <w:bCs/>
            </w:rPr>
            <w:fldChar w:fldCharType="separate"/>
          </w:r>
          <w:r w:rsidRPr="00802AC3">
            <w:rPr>
              <w:rFonts w:ascii="Arial" w:eastAsia="Arial" w:hAnsi="Arial" w:cs="Arial"/>
              <w:b/>
              <w:bCs/>
              <w:color w:val="000000"/>
            </w:rPr>
            <w:t>4</w:t>
          </w:r>
          <w:r w:rsidRPr="00802AC3">
            <w:rPr>
              <w:b/>
              <w:bCs/>
            </w:rPr>
            <w:fldChar w:fldCharType="end"/>
          </w:r>
        </w:p>
        <w:p w14:paraId="69401F94" w14:textId="77777777" w:rsidR="00664A77" w:rsidRPr="00802AC3" w:rsidRDefault="000C43E0">
          <w:pPr>
            <w:tabs>
              <w:tab w:val="right" w:pos="9025"/>
            </w:tabs>
            <w:spacing w:before="200" w:line="240" w:lineRule="auto"/>
            <w:rPr>
              <w:rFonts w:ascii="Arial" w:eastAsia="Arial" w:hAnsi="Arial" w:cs="Arial"/>
              <w:b/>
              <w:bCs/>
              <w:color w:val="000000"/>
            </w:rPr>
          </w:pPr>
          <w:hyperlink w:anchor="_2qcnre3jn81n">
            <w:r w:rsidRPr="00802AC3">
              <w:rPr>
                <w:rFonts w:ascii="Arial" w:eastAsia="Arial" w:hAnsi="Arial" w:cs="Arial"/>
                <w:b/>
                <w:bCs/>
                <w:color w:val="000000"/>
              </w:rPr>
              <w:t xml:space="preserve">How to </w:t>
            </w:r>
            <w:r w:rsidRPr="00802AC3">
              <w:rPr>
                <w:rFonts w:ascii="Arial" w:eastAsia="Arial" w:hAnsi="Arial" w:cs="Arial"/>
                <w:b/>
                <w:bCs/>
                <w:color w:val="000000"/>
              </w:rPr>
              <w:t>develop team engagement</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_2qcnre3jn81n \h </w:instrText>
          </w:r>
          <w:r w:rsidRPr="00802AC3">
            <w:rPr>
              <w:b/>
              <w:bCs/>
            </w:rPr>
          </w:r>
          <w:r w:rsidRPr="00802AC3">
            <w:rPr>
              <w:b/>
              <w:bCs/>
            </w:rPr>
            <w:fldChar w:fldCharType="separate"/>
          </w:r>
          <w:r w:rsidRPr="00802AC3">
            <w:rPr>
              <w:rFonts w:ascii="Arial" w:eastAsia="Arial" w:hAnsi="Arial" w:cs="Arial"/>
              <w:b/>
              <w:bCs/>
              <w:color w:val="000000"/>
            </w:rPr>
            <w:t>4</w:t>
          </w:r>
          <w:r w:rsidRPr="00802AC3">
            <w:rPr>
              <w:b/>
              <w:bCs/>
            </w:rPr>
            <w:fldChar w:fldCharType="end"/>
          </w:r>
        </w:p>
        <w:p w14:paraId="69401F95" w14:textId="77777777" w:rsidR="00664A77" w:rsidRPr="00802AC3" w:rsidRDefault="000C43E0">
          <w:pPr>
            <w:tabs>
              <w:tab w:val="right" w:pos="9025"/>
            </w:tabs>
            <w:spacing w:before="200" w:line="240" w:lineRule="auto"/>
            <w:rPr>
              <w:rFonts w:ascii="Arial" w:eastAsia="Arial" w:hAnsi="Arial" w:cs="Arial"/>
              <w:b/>
              <w:bCs/>
              <w:color w:val="000000"/>
            </w:rPr>
          </w:pPr>
          <w:hyperlink w:anchor="_pvc6pzibzlvv">
            <w:r w:rsidRPr="00802AC3">
              <w:rPr>
                <w:rFonts w:ascii="Arial" w:eastAsia="Arial" w:hAnsi="Arial" w:cs="Arial"/>
                <w:b/>
                <w:bCs/>
                <w:color w:val="000000"/>
              </w:rPr>
              <w:t>Diagnostic tools to measure employee engagement</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_pvc6pzibzlvv \h </w:instrText>
          </w:r>
          <w:r w:rsidRPr="00802AC3">
            <w:rPr>
              <w:b/>
              <w:bCs/>
            </w:rPr>
          </w:r>
          <w:r w:rsidRPr="00802AC3">
            <w:rPr>
              <w:b/>
              <w:bCs/>
            </w:rPr>
            <w:fldChar w:fldCharType="separate"/>
          </w:r>
          <w:r w:rsidRPr="00802AC3">
            <w:rPr>
              <w:rFonts w:ascii="Arial" w:eastAsia="Arial" w:hAnsi="Arial" w:cs="Arial"/>
              <w:b/>
              <w:bCs/>
              <w:color w:val="000000"/>
            </w:rPr>
            <w:t>5</w:t>
          </w:r>
          <w:r w:rsidRPr="00802AC3">
            <w:rPr>
              <w:b/>
              <w:bCs/>
            </w:rPr>
            <w:fldChar w:fldCharType="end"/>
          </w:r>
        </w:p>
        <w:p w14:paraId="69401F96" w14:textId="77777777" w:rsidR="00664A77" w:rsidRPr="00802AC3" w:rsidRDefault="000C43E0">
          <w:pPr>
            <w:tabs>
              <w:tab w:val="right" w:pos="9025"/>
            </w:tabs>
            <w:spacing w:before="200" w:line="240" w:lineRule="auto"/>
            <w:rPr>
              <w:rFonts w:ascii="Arial" w:eastAsia="Arial" w:hAnsi="Arial" w:cs="Arial"/>
              <w:b/>
              <w:bCs/>
              <w:color w:val="000000"/>
            </w:rPr>
          </w:pPr>
          <w:hyperlink w:anchor="_r375qlf6k97g">
            <w:r w:rsidRPr="00802AC3">
              <w:rPr>
                <w:rFonts w:ascii="Arial" w:eastAsia="Arial" w:hAnsi="Arial" w:cs="Arial"/>
                <w:b/>
                <w:bCs/>
                <w:color w:val="000000"/>
              </w:rPr>
              <w:t>Employee value proposition</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_r375qlf6k97g \h </w:instrText>
          </w:r>
          <w:r w:rsidRPr="00802AC3">
            <w:rPr>
              <w:b/>
              <w:bCs/>
            </w:rPr>
          </w:r>
          <w:r w:rsidRPr="00802AC3">
            <w:rPr>
              <w:b/>
              <w:bCs/>
            </w:rPr>
            <w:fldChar w:fldCharType="separate"/>
          </w:r>
          <w:r w:rsidRPr="00802AC3">
            <w:rPr>
              <w:rFonts w:ascii="Arial" w:eastAsia="Arial" w:hAnsi="Arial" w:cs="Arial"/>
              <w:b/>
              <w:bCs/>
              <w:color w:val="000000"/>
            </w:rPr>
            <w:t>6</w:t>
          </w:r>
          <w:r w:rsidRPr="00802AC3">
            <w:rPr>
              <w:b/>
              <w:bCs/>
            </w:rPr>
            <w:fldChar w:fldCharType="end"/>
          </w:r>
        </w:p>
        <w:p w14:paraId="69401F97" w14:textId="77777777" w:rsidR="00664A77" w:rsidRPr="00802AC3" w:rsidRDefault="000C43E0">
          <w:pPr>
            <w:tabs>
              <w:tab w:val="right" w:pos="9025"/>
            </w:tabs>
            <w:spacing w:before="200" w:line="240" w:lineRule="auto"/>
            <w:rPr>
              <w:rFonts w:ascii="Arial" w:eastAsia="Arial" w:hAnsi="Arial" w:cs="Arial"/>
              <w:b/>
              <w:bCs/>
              <w:color w:val="000000"/>
            </w:rPr>
          </w:pPr>
          <w:hyperlink w:anchor="_3v9r7b8widme">
            <w:r w:rsidRPr="00802AC3">
              <w:rPr>
                <w:rFonts w:ascii="Arial" w:eastAsia="Arial" w:hAnsi="Arial" w:cs="Arial"/>
                <w:b/>
                <w:bCs/>
                <w:color w:val="000000"/>
              </w:rPr>
              <w:t>Strategies to raise levels of engagement.</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_3v9r7b8widme \h </w:instrText>
          </w:r>
          <w:r w:rsidRPr="00802AC3">
            <w:rPr>
              <w:b/>
              <w:bCs/>
            </w:rPr>
          </w:r>
          <w:r w:rsidRPr="00802AC3">
            <w:rPr>
              <w:b/>
              <w:bCs/>
            </w:rPr>
            <w:fldChar w:fldCharType="separate"/>
          </w:r>
          <w:r w:rsidRPr="00802AC3">
            <w:rPr>
              <w:rFonts w:ascii="Arial" w:eastAsia="Arial" w:hAnsi="Arial" w:cs="Arial"/>
              <w:b/>
              <w:bCs/>
              <w:color w:val="000000"/>
            </w:rPr>
            <w:t>7</w:t>
          </w:r>
          <w:r w:rsidRPr="00802AC3">
            <w:rPr>
              <w:b/>
              <w:bCs/>
            </w:rPr>
            <w:fldChar w:fldCharType="end"/>
          </w:r>
        </w:p>
        <w:p w14:paraId="69401F98" w14:textId="6A511D01" w:rsidR="00664A77" w:rsidRPr="00802AC3" w:rsidRDefault="000C43E0">
          <w:pPr>
            <w:tabs>
              <w:tab w:val="right" w:pos="9025"/>
            </w:tabs>
            <w:spacing w:before="200" w:line="240" w:lineRule="auto"/>
            <w:rPr>
              <w:rFonts w:ascii="Arial" w:eastAsia="Arial" w:hAnsi="Arial" w:cs="Arial"/>
              <w:b/>
              <w:bCs/>
              <w:color w:val="000000"/>
            </w:rPr>
          </w:pPr>
          <w:hyperlink w:anchor="_ttef4v31p095">
            <w:r w:rsidRPr="00802AC3">
              <w:rPr>
                <w:rFonts w:ascii="Arial" w:eastAsia="Arial" w:hAnsi="Arial" w:cs="Arial"/>
                <w:b/>
                <w:bCs/>
                <w:color w:val="000000"/>
              </w:rPr>
              <w:t>Factors that can create disengagement at the workplace</w:t>
            </w:r>
          </w:hyperlink>
          <w:r w:rsidRPr="00802AC3">
            <w:rPr>
              <w:rFonts w:ascii="Arial" w:eastAsia="Arial" w:hAnsi="Arial" w:cs="Arial"/>
              <w:b/>
              <w:bCs/>
              <w:color w:val="000000"/>
            </w:rPr>
            <w:tab/>
          </w:r>
          <w:r w:rsidR="00BE309A" w:rsidRPr="00802AC3">
            <w:rPr>
              <w:b/>
              <w:bCs/>
            </w:rPr>
            <w:t>9</w:t>
          </w:r>
        </w:p>
        <w:p w14:paraId="69401F99" w14:textId="77777777" w:rsidR="00664A77" w:rsidRPr="00802AC3" w:rsidRDefault="000C43E0">
          <w:pPr>
            <w:tabs>
              <w:tab w:val="right" w:pos="9025"/>
            </w:tabs>
            <w:spacing w:before="200" w:line="240" w:lineRule="auto"/>
            <w:rPr>
              <w:rFonts w:ascii="Arial" w:eastAsia="Arial" w:hAnsi="Arial" w:cs="Arial"/>
              <w:b/>
              <w:bCs/>
              <w:color w:val="000000"/>
            </w:rPr>
          </w:pPr>
          <w:hyperlink w:anchor="_ns33dd8hc3bj">
            <w:r w:rsidRPr="00802AC3">
              <w:rPr>
                <w:rFonts w:ascii="Arial" w:eastAsia="Arial" w:hAnsi="Arial" w:cs="Arial"/>
                <w:b/>
                <w:bCs/>
                <w:color w:val="000000"/>
              </w:rPr>
              <w:t>Conclusion</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_ns33dd8hc3bj \h </w:instrText>
          </w:r>
          <w:r w:rsidRPr="00802AC3">
            <w:rPr>
              <w:b/>
              <w:bCs/>
            </w:rPr>
          </w:r>
          <w:r w:rsidRPr="00802AC3">
            <w:rPr>
              <w:b/>
              <w:bCs/>
            </w:rPr>
            <w:fldChar w:fldCharType="separate"/>
          </w:r>
          <w:r w:rsidRPr="00802AC3">
            <w:rPr>
              <w:rFonts w:ascii="Arial" w:eastAsia="Arial" w:hAnsi="Arial" w:cs="Arial"/>
              <w:b/>
              <w:bCs/>
              <w:color w:val="000000"/>
            </w:rPr>
            <w:t>9</w:t>
          </w:r>
          <w:r w:rsidRPr="00802AC3">
            <w:rPr>
              <w:b/>
              <w:bCs/>
            </w:rPr>
            <w:fldChar w:fldCharType="end"/>
          </w:r>
        </w:p>
        <w:p w14:paraId="69401F9A" w14:textId="5C7EFE39" w:rsidR="00664A77" w:rsidRDefault="000C43E0">
          <w:pPr>
            <w:tabs>
              <w:tab w:val="right" w:pos="9025"/>
            </w:tabs>
            <w:spacing w:before="200" w:after="80" w:line="240" w:lineRule="auto"/>
            <w:rPr>
              <w:rFonts w:ascii="Arial" w:eastAsia="Arial" w:hAnsi="Arial" w:cs="Arial"/>
              <w:b/>
              <w:color w:val="000000"/>
            </w:rPr>
          </w:pPr>
          <w:hyperlink w:anchor="_1h0xfdrrtcmb">
            <w:r w:rsidRPr="00802AC3">
              <w:rPr>
                <w:rFonts w:ascii="Arial" w:eastAsia="Arial" w:hAnsi="Arial" w:cs="Arial"/>
                <w:b/>
                <w:bCs/>
                <w:color w:val="000000"/>
              </w:rPr>
              <w:t>References</w:t>
            </w:r>
          </w:hyperlink>
          <w:r w:rsidRPr="00802AC3">
            <w:rPr>
              <w:rFonts w:ascii="Arial" w:eastAsia="Arial" w:hAnsi="Arial" w:cs="Arial"/>
              <w:b/>
              <w:bCs/>
              <w:color w:val="000000"/>
            </w:rPr>
            <w:tab/>
          </w:r>
          <w:r w:rsidR="00802AC3" w:rsidRPr="00802AC3">
            <w:rPr>
              <w:b/>
              <w:bCs/>
            </w:rPr>
            <w:t>11</w:t>
          </w:r>
          <w:r w:rsidRPr="00802AC3">
            <w:rPr>
              <w:b/>
              <w:bCs/>
            </w:rPr>
            <w:fldChar w:fldCharType="end"/>
          </w:r>
        </w:p>
      </w:sdtContent>
    </w:sdt>
    <w:p w14:paraId="69401F9B" w14:textId="77777777" w:rsidR="00664A77" w:rsidRDefault="00664A77">
      <w:pPr>
        <w:rPr>
          <w:rFonts w:ascii="Arial" w:eastAsia="Arial" w:hAnsi="Arial" w:cs="Arial"/>
        </w:rPr>
      </w:pPr>
    </w:p>
    <w:p w14:paraId="69401F9C" w14:textId="77777777" w:rsidR="00664A77" w:rsidRDefault="00664A77">
      <w:pPr>
        <w:spacing w:line="480" w:lineRule="auto"/>
        <w:rPr>
          <w:rFonts w:ascii="Arial" w:eastAsia="Arial" w:hAnsi="Arial" w:cs="Arial"/>
        </w:rPr>
      </w:pPr>
    </w:p>
    <w:p w14:paraId="69401F9D" w14:textId="77777777" w:rsidR="00664A77" w:rsidRDefault="00664A77">
      <w:pPr>
        <w:spacing w:line="480" w:lineRule="auto"/>
        <w:rPr>
          <w:rFonts w:ascii="Arial" w:eastAsia="Arial" w:hAnsi="Arial" w:cs="Arial"/>
        </w:rPr>
      </w:pPr>
    </w:p>
    <w:p w14:paraId="69401F9E" w14:textId="77777777" w:rsidR="00664A77" w:rsidRDefault="00664A77">
      <w:pPr>
        <w:spacing w:line="480" w:lineRule="auto"/>
        <w:rPr>
          <w:rFonts w:ascii="Arial" w:eastAsia="Arial" w:hAnsi="Arial" w:cs="Arial"/>
        </w:rPr>
      </w:pPr>
    </w:p>
    <w:p w14:paraId="69401F9F" w14:textId="77777777" w:rsidR="00664A77" w:rsidRDefault="00664A77">
      <w:pPr>
        <w:spacing w:line="480" w:lineRule="auto"/>
        <w:rPr>
          <w:rFonts w:ascii="Arial" w:eastAsia="Arial" w:hAnsi="Arial" w:cs="Arial"/>
        </w:rPr>
      </w:pPr>
    </w:p>
    <w:p w14:paraId="69401FA0" w14:textId="77777777" w:rsidR="00664A77" w:rsidRDefault="00664A77">
      <w:pPr>
        <w:spacing w:line="480" w:lineRule="auto"/>
        <w:rPr>
          <w:rFonts w:ascii="Arial" w:eastAsia="Arial" w:hAnsi="Arial" w:cs="Arial"/>
        </w:rPr>
      </w:pPr>
    </w:p>
    <w:p w14:paraId="69401FA1" w14:textId="77777777" w:rsidR="00664A77" w:rsidRDefault="00664A77">
      <w:pPr>
        <w:spacing w:line="480" w:lineRule="auto"/>
        <w:rPr>
          <w:rFonts w:ascii="Arial" w:eastAsia="Arial" w:hAnsi="Arial" w:cs="Arial"/>
        </w:rPr>
      </w:pPr>
    </w:p>
    <w:p w14:paraId="69401FA2" w14:textId="77777777" w:rsidR="00664A77" w:rsidRDefault="00664A77">
      <w:pPr>
        <w:spacing w:line="480" w:lineRule="auto"/>
        <w:rPr>
          <w:rFonts w:ascii="Arial" w:eastAsia="Arial" w:hAnsi="Arial" w:cs="Arial"/>
        </w:rPr>
      </w:pPr>
    </w:p>
    <w:p w14:paraId="32364A99" w14:textId="77777777" w:rsidR="00C30855" w:rsidRDefault="00C30855">
      <w:pPr>
        <w:spacing w:line="480" w:lineRule="auto"/>
        <w:rPr>
          <w:rFonts w:ascii="Arial" w:eastAsia="Arial" w:hAnsi="Arial" w:cs="Arial"/>
        </w:rPr>
      </w:pPr>
    </w:p>
    <w:p w14:paraId="7A4DAF6B" w14:textId="77777777" w:rsidR="00C30855" w:rsidRDefault="00C30855">
      <w:pPr>
        <w:spacing w:line="480" w:lineRule="auto"/>
        <w:rPr>
          <w:rFonts w:ascii="Arial" w:eastAsia="Arial" w:hAnsi="Arial" w:cs="Arial"/>
        </w:rPr>
      </w:pPr>
    </w:p>
    <w:p w14:paraId="3318599F" w14:textId="77777777" w:rsidR="00C30855" w:rsidRDefault="00C30855">
      <w:pPr>
        <w:spacing w:line="480" w:lineRule="auto"/>
        <w:rPr>
          <w:rFonts w:ascii="Arial" w:eastAsia="Arial" w:hAnsi="Arial" w:cs="Arial"/>
        </w:rPr>
      </w:pPr>
    </w:p>
    <w:p w14:paraId="688A3905" w14:textId="77777777" w:rsidR="00C30855" w:rsidRDefault="00C30855">
      <w:pPr>
        <w:spacing w:line="480" w:lineRule="auto"/>
        <w:rPr>
          <w:rFonts w:ascii="Arial" w:eastAsia="Arial" w:hAnsi="Arial" w:cs="Arial"/>
        </w:rPr>
      </w:pPr>
    </w:p>
    <w:p w14:paraId="69401FA3" w14:textId="77777777" w:rsidR="00664A77" w:rsidRDefault="000C43E0">
      <w:pPr>
        <w:pStyle w:val="1"/>
        <w:spacing w:line="480" w:lineRule="auto"/>
        <w:rPr>
          <w:rFonts w:ascii="Arial" w:eastAsia="Arial" w:hAnsi="Arial" w:cs="Arial"/>
          <w:color w:val="000000"/>
          <w:sz w:val="26"/>
          <w:szCs w:val="26"/>
        </w:rPr>
      </w:pPr>
      <w:bookmarkStart w:id="0" w:name="_v2v0j2efh8ap" w:colFirst="0" w:colLast="0"/>
      <w:bookmarkEnd w:id="0"/>
      <w:r>
        <w:rPr>
          <w:rFonts w:ascii="Arial" w:eastAsia="Arial" w:hAnsi="Arial" w:cs="Arial"/>
          <w:color w:val="000000"/>
          <w:sz w:val="26"/>
          <w:szCs w:val="26"/>
        </w:rPr>
        <w:lastRenderedPageBreak/>
        <w:t>Introduction</w:t>
      </w:r>
    </w:p>
    <w:p w14:paraId="69401FA4" w14:textId="77777777" w:rsidR="00664A77" w:rsidRDefault="000C43E0">
      <w:pPr>
        <w:spacing w:line="480" w:lineRule="auto"/>
        <w:ind w:firstLine="720"/>
        <w:rPr>
          <w:rFonts w:ascii="Arial" w:eastAsia="Arial" w:hAnsi="Arial" w:cs="Arial"/>
        </w:rPr>
      </w:pPr>
      <w:r>
        <w:rPr>
          <w:rFonts w:ascii="Arial" w:eastAsia="Arial" w:hAnsi="Arial" w:cs="Arial"/>
        </w:rPr>
        <w:t xml:space="preserve">Nowadays, many </w:t>
      </w:r>
      <w:r>
        <w:rPr>
          <w:rFonts w:ascii="Arial" w:eastAsia="Arial" w:hAnsi="Arial" w:cs="Arial"/>
        </w:rPr>
        <w:t>companies are focusing on employee engagement. There are a number of drivers for this, some by design and others by necessity. Engagement is, in general, the level at which an employee is willing to put effort into their work or the amount of interest they</w:t>
      </w:r>
      <w:r>
        <w:rPr>
          <w:rFonts w:ascii="Arial" w:eastAsia="Arial" w:hAnsi="Arial" w:cs="Arial"/>
        </w:rPr>
        <w:t xml:space="preserve"> have in their work (Antony, 2018). Workforce productivity has increased in many companies as a result of focusing on engagement. This article takes a look at what drives engagement and how to use that knowledge to increase productivity.</w:t>
      </w:r>
    </w:p>
    <w:p w14:paraId="69401FA5" w14:textId="77777777" w:rsidR="00664A77" w:rsidRDefault="00664A77">
      <w:pPr>
        <w:spacing w:line="480" w:lineRule="auto"/>
        <w:ind w:firstLine="720"/>
        <w:rPr>
          <w:rFonts w:ascii="Arial" w:eastAsia="Arial" w:hAnsi="Arial" w:cs="Arial"/>
        </w:rPr>
      </w:pPr>
    </w:p>
    <w:p w14:paraId="69401FA6" w14:textId="77777777" w:rsidR="00664A77" w:rsidRDefault="000C43E0">
      <w:pPr>
        <w:pStyle w:val="1"/>
        <w:spacing w:line="480" w:lineRule="auto"/>
        <w:rPr>
          <w:rFonts w:ascii="Arial" w:eastAsia="Arial" w:hAnsi="Arial" w:cs="Arial"/>
          <w:color w:val="000000"/>
          <w:sz w:val="26"/>
          <w:szCs w:val="26"/>
        </w:rPr>
      </w:pPr>
      <w:bookmarkStart w:id="1" w:name="_t1bwtqj749n" w:colFirst="0" w:colLast="0"/>
      <w:bookmarkEnd w:id="1"/>
      <w:r>
        <w:rPr>
          <w:rFonts w:ascii="Arial" w:eastAsia="Arial" w:hAnsi="Arial" w:cs="Arial"/>
          <w:color w:val="000000"/>
          <w:sz w:val="26"/>
          <w:szCs w:val="26"/>
        </w:rPr>
        <w:t>What drives Emplo</w:t>
      </w:r>
      <w:r>
        <w:rPr>
          <w:rFonts w:ascii="Arial" w:eastAsia="Arial" w:hAnsi="Arial" w:cs="Arial"/>
          <w:color w:val="000000"/>
          <w:sz w:val="26"/>
          <w:szCs w:val="26"/>
        </w:rPr>
        <w:t xml:space="preserve">yee Engagement? </w:t>
      </w:r>
    </w:p>
    <w:p w14:paraId="69401FA7" w14:textId="77777777" w:rsidR="00664A77" w:rsidRDefault="000C43E0">
      <w:pPr>
        <w:spacing w:line="480" w:lineRule="auto"/>
        <w:ind w:firstLine="720"/>
        <w:rPr>
          <w:rFonts w:ascii="Arial" w:eastAsia="Arial" w:hAnsi="Arial" w:cs="Arial"/>
        </w:rPr>
      </w:pPr>
      <w:r>
        <w:rPr>
          <w:rFonts w:ascii="Arial" w:eastAsia="Arial" w:hAnsi="Arial" w:cs="Arial"/>
        </w:rPr>
        <w:t>Employee engagement can be driven internally or externally. Internal factors involve employees feeling invested in their job and feeling that they have an opportunity for growth with the company, while external factors include salaries and</w:t>
      </w:r>
      <w:r>
        <w:rPr>
          <w:rFonts w:ascii="Arial" w:eastAsia="Arial" w:hAnsi="Arial" w:cs="Arial"/>
        </w:rPr>
        <w:t xml:space="preserve"> benefits (Tran, n.d.). This article discusses a number of internal and external factors that influence engagement.</w:t>
      </w:r>
    </w:p>
    <w:p w14:paraId="69401FA8" w14:textId="77777777" w:rsidR="00664A77" w:rsidRDefault="00664A77">
      <w:pPr>
        <w:spacing w:line="480" w:lineRule="auto"/>
        <w:ind w:firstLine="720"/>
        <w:rPr>
          <w:rFonts w:ascii="Arial" w:eastAsia="Arial" w:hAnsi="Arial" w:cs="Arial"/>
        </w:rPr>
      </w:pPr>
    </w:p>
    <w:p w14:paraId="69401FA9" w14:textId="77777777" w:rsidR="00664A77" w:rsidRDefault="000C43E0">
      <w:pPr>
        <w:pStyle w:val="2"/>
        <w:spacing w:line="480" w:lineRule="auto"/>
        <w:rPr>
          <w:rFonts w:ascii="Arial" w:eastAsia="Arial" w:hAnsi="Arial" w:cs="Arial"/>
          <w:color w:val="000000"/>
          <w:sz w:val="24"/>
          <w:szCs w:val="24"/>
        </w:rPr>
      </w:pPr>
      <w:bookmarkStart w:id="2" w:name="_rj2slldffqtw" w:colFirst="0" w:colLast="0"/>
      <w:bookmarkEnd w:id="2"/>
      <w:r>
        <w:rPr>
          <w:rFonts w:ascii="Arial" w:eastAsia="Arial" w:hAnsi="Arial" w:cs="Arial"/>
          <w:color w:val="000000"/>
          <w:sz w:val="24"/>
          <w:szCs w:val="24"/>
        </w:rPr>
        <w:t>Internal Factors</w:t>
      </w:r>
    </w:p>
    <w:p w14:paraId="69401FAA" w14:textId="77777777" w:rsidR="00664A77" w:rsidRDefault="000C43E0">
      <w:pPr>
        <w:spacing w:line="480" w:lineRule="auto"/>
        <w:ind w:firstLine="720"/>
        <w:rPr>
          <w:rFonts w:ascii="Arial" w:eastAsia="Arial" w:hAnsi="Arial" w:cs="Arial"/>
        </w:rPr>
      </w:pPr>
      <w:r>
        <w:rPr>
          <w:rFonts w:ascii="Arial" w:eastAsia="Arial" w:hAnsi="Arial" w:cs="Arial"/>
        </w:rPr>
        <w:t xml:space="preserve">Employees tend to be more engaged when the company is growing, more stable, and when their role is clear (i.e. what </w:t>
      </w:r>
      <w:r>
        <w:rPr>
          <w:rFonts w:ascii="Arial" w:eastAsia="Arial" w:hAnsi="Arial" w:cs="Arial"/>
        </w:rPr>
        <w:t>their job description entails). Employees are less likely to feel engaged if the company has recently suffered a downturn or if their role has undergone significant changes (Turner, 2020). Also, while many employees are drawn to companies with strong reput</w:t>
      </w:r>
      <w:r>
        <w:rPr>
          <w:rFonts w:ascii="Arial" w:eastAsia="Arial" w:hAnsi="Arial" w:cs="Arial"/>
        </w:rPr>
        <w:t>ations, if an employee's job security feels threatened at these companies, they may become disengaged.</w:t>
      </w:r>
    </w:p>
    <w:p w14:paraId="69401FAB" w14:textId="77777777" w:rsidR="00664A77" w:rsidRDefault="00664A77">
      <w:pPr>
        <w:spacing w:line="480" w:lineRule="auto"/>
        <w:ind w:firstLine="720"/>
        <w:rPr>
          <w:rFonts w:ascii="Arial" w:eastAsia="Arial" w:hAnsi="Arial" w:cs="Arial"/>
        </w:rPr>
      </w:pPr>
    </w:p>
    <w:p w14:paraId="5DC4ABD2" w14:textId="77777777" w:rsidR="00E426DE" w:rsidRDefault="00E426DE">
      <w:pPr>
        <w:spacing w:line="480" w:lineRule="auto"/>
        <w:ind w:firstLine="720"/>
        <w:rPr>
          <w:rFonts w:ascii="Arial" w:eastAsia="Arial" w:hAnsi="Arial" w:cs="Arial"/>
        </w:rPr>
      </w:pPr>
    </w:p>
    <w:p w14:paraId="69401FAC" w14:textId="77777777" w:rsidR="00664A77" w:rsidRDefault="000C43E0">
      <w:pPr>
        <w:pStyle w:val="2"/>
        <w:spacing w:line="480" w:lineRule="auto"/>
        <w:rPr>
          <w:rFonts w:ascii="Arial" w:eastAsia="Arial" w:hAnsi="Arial" w:cs="Arial"/>
          <w:color w:val="000000"/>
          <w:sz w:val="24"/>
          <w:szCs w:val="24"/>
        </w:rPr>
      </w:pPr>
      <w:bookmarkStart w:id="3" w:name="_o8c7zmwc9l6x" w:colFirst="0" w:colLast="0"/>
      <w:bookmarkEnd w:id="3"/>
      <w:r>
        <w:rPr>
          <w:rFonts w:ascii="Arial" w:eastAsia="Arial" w:hAnsi="Arial" w:cs="Arial"/>
          <w:color w:val="000000"/>
          <w:sz w:val="24"/>
          <w:szCs w:val="24"/>
        </w:rPr>
        <w:lastRenderedPageBreak/>
        <w:t>External Factors</w:t>
      </w:r>
    </w:p>
    <w:p w14:paraId="69401FAD" w14:textId="77777777" w:rsidR="00664A77" w:rsidRDefault="000C43E0">
      <w:pPr>
        <w:spacing w:line="480" w:lineRule="auto"/>
        <w:ind w:firstLine="720"/>
        <w:rPr>
          <w:rFonts w:ascii="Arial" w:eastAsia="Arial" w:hAnsi="Arial" w:cs="Arial"/>
        </w:rPr>
      </w:pPr>
      <w:r>
        <w:rPr>
          <w:rFonts w:ascii="Arial" w:eastAsia="Arial" w:hAnsi="Arial" w:cs="Arial"/>
        </w:rPr>
        <w:t>Salaries and benefits have a strong impact on employee engagement. If salaries are less than might be expected, given the skills and ex</w:t>
      </w:r>
      <w:r>
        <w:rPr>
          <w:rFonts w:ascii="Arial" w:eastAsia="Arial" w:hAnsi="Arial" w:cs="Arial"/>
        </w:rPr>
        <w:t xml:space="preserve">perience required by a role, employees tend to become disengaged as they do not feel as vested in their work (Vance, 2016). However, if salaries are significantly higher than what is required to attract talented candidates then it can lead to overstaffing </w:t>
      </w:r>
      <w:r>
        <w:rPr>
          <w:rFonts w:ascii="Arial" w:eastAsia="Arial" w:hAnsi="Arial" w:cs="Arial"/>
        </w:rPr>
        <w:t>and decreased productivity or absenteeism (Shaik and Makhecha, 2019). The same is true for company benefits. Moreover, if benefits are not competitive with those employed by competitors, employees can disengage.</w:t>
      </w:r>
    </w:p>
    <w:p w14:paraId="69401FAE" w14:textId="77777777" w:rsidR="00664A77" w:rsidRDefault="00664A77">
      <w:pPr>
        <w:spacing w:line="480" w:lineRule="auto"/>
        <w:ind w:firstLine="720"/>
        <w:rPr>
          <w:rFonts w:ascii="Arial" w:eastAsia="Arial" w:hAnsi="Arial" w:cs="Arial"/>
        </w:rPr>
      </w:pPr>
    </w:p>
    <w:p w14:paraId="69401FAF" w14:textId="77777777" w:rsidR="00664A77" w:rsidRDefault="000C43E0">
      <w:pPr>
        <w:pStyle w:val="1"/>
        <w:spacing w:line="480" w:lineRule="auto"/>
        <w:rPr>
          <w:rFonts w:ascii="Arial" w:eastAsia="Arial" w:hAnsi="Arial" w:cs="Arial"/>
          <w:color w:val="000000"/>
          <w:sz w:val="26"/>
          <w:szCs w:val="26"/>
        </w:rPr>
      </w:pPr>
      <w:bookmarkStart w:id="4" w:name="_2qcnre3jn81n" w:colFirst="0" w:colLast="0"/>
      <w:bookmarkEnd w:id="4"/>
      <w:r>
        <w:rPr>
          <w:rFonts w:ascii="Arial" w:eastAsia="Arial" w:hAnsi="Arial" w:cs="Arial"/>
          <w:color w:val="000000"/>
          <w:sz w:val="26"/>
          <w:szCs w:val="26"/>
        </w:rPr>
        <w:t>How to develop team engagement</w:t>
      </w:r>
    </w:p>
    <w:p w14:paraId="69401FB0" w14:textId="77777777" w:rsidR="00664A77" w:rsidRDefault="000C43E0">
      <w:pPr>
        <w:spacing w:line="480" w:lineRule="auto"/>
        <w:ind w:firstLine="720"/>
        <w:rPr>
          <w:rFonts w:ascii="Arial" w:eastAsia="Arial" w:hAnsi="Arial" w:cs="Arial"/>
        </w:rPr>
      </w:pPr>
      <w:r>
        <w:rPr>
          <w:rFonts w:ascii="Arial" w:eastAsia="Arial" w:hAnsi="Arial" w:cs="Arial"/>
        </w:rPr>
        <w:t>By understan</w:t>
      </w:r>
      <w:r>
        <w:rPr>
          <w:rFonts w:ascii="Arial" w:eastAsia="Arial" w:hAnsi="Arial" w:cs="Arial"/>
        </w:rPr>
        <w:t>ding the factors that drive engagement, managers and employees can direct their efforts towards improving the most significant factors and avoiding those that have led to disengagement or lost productivity (Zameer et al., 2018). Here are some suggestions o</w:t>
      </w:r>
      <w:r>
        <w:rPr>
          <w:rFonts w:ascii="Arial" w:eastAsia="Arial" w:hAnsi="Arial" w:cs="Arial"/>
        </w:rPr>
        <w:t xml:space="preserve">n how to improve engagement in teams: "Encourage employee participation in broad intra-company initiatives." Intra-company initiatives are company-wide efforts that create a sense of pride in the company and also help employees feel as though they have an </w:t>
      </w:r>
      <w:r>
        <w:rPr>
          <w:rFonts w:ascii="Arial" w:eastAsia="Arial" w:hAnsi="Arial" w:cs="Arial"/>
        </w:rPr>
        <w:t>impact on its direction (Zappalà,Salvatore and Mattera,Luisa, 2022). These initiatives should be ranked based on importance and allow for involvement from all levels within the company.</w:t>
      </w:r>
    </w:p>
    <w:p w14:paraId="69401FB1" w14:textId="77777777" w:rsidR="00664A77" w:rsidRDefault="000C43E0">
      <w:pPr>
        <w:spacing w:line="480" w:lineRule="auto"/>
        <w:ind w:firstLine="720"/>
        <w:rPr>
          <w:rFonts w:ascii="Arial" w:eastAsia="Arial" w:hAnsi="Arial" w:cs="Arial"/>
        </w:rPr>
      </w:pPr>
      <w:r>
        <w:rPr>
          <w:rFonts w:ascii="Arial" w:eastAsia="Arial" w:hAnsi="Arial" w:cs="Arial"/>
        </w:rPr>
        <w:t>Encourage employee involvement in broader external efforts. What is im</w:t>
      </w:r>
      <w:r>
        <w:rPr>
          <w:rFonts w:ascii="Arial" w:eastAsia="Arial" w:hAnsi="Arial" w:cs="Arial"/>
        </w:rPr>
        <w:t>portant to the company is not as important to employees. This is why it is best if companies strive to make internal initiatives a reflection of what the company as a whole wants rather than employees being forced to act outside of their own values or inte</w:t>
      </w:r>
      <w:r>
        <w:rPr>
          <w:rFonts w:ascii="Arial" w:eastAsia="Arial" w:hAnsi="Arial" w:cs="Arial"/>
        </w:rPr>
        <w:t xml:space="preserve">rests (Chanana and Sangeeta, 2020). External initiatives are often highly controversial and can serve as a real sense of purpose for the employees who are involved with them (Ababneh, 2021). An </w:t>
      </w:r>
      <w:r>
        <w:rPr>
          <w:rFonts w:ascii="Arial" w:eastAsia="Arial" w:hAnsi="Arial" w:cs="Arial"/>
        </w:rPr>
        <w:lastRenderedPageBreak/>
        <w:t>example of this would be a company that has recently announced</w:t>
      </w:r>
      <w:r>
        <w:rPr>
          <w:rFonts w:ascii="Arial" w:eastAsia="Arial" w:hAnsi="Arial" w:cs="Arial"/>
        </w:rPr>
        <w:t xml:space="preserve"> layoffs. How effective will this effort be if those affected think that it is just another way for the company to make money? External initiatives can include fund-raising campaigns, lobbying state and federal representatives, or working with local charit</w:t>
      </w:r>
      <w:r>
        <w:rPr>
          <w:rFonts w:ascii="Arial" w:eastAsia="Arial" w:hAnsi="Arial" w:cs="Arial"/>
        </w:rPr>
        <w:t>ies.</w:t>
      </w:r>
    </w:p>
    <w:p w14:paraId="69401FB2" w14:textId="77777777" w:rsidR="00664A77" w:rsidRDefault="00664A77">
      <w:pPr>
        <w:spacing w:line="480" w:lineRule="auto"/>
        <w:ind w:firstLine="720"/>
        <w:rPr>
          <w:rFonts w:ascii="Arial" w:eastAsia="Arial" w:hAnsi="Arial" w:cs="Arial"/>
        </w:rPr>
      </w:pPr>
    </w:p>
    <w:p w14:paraId="69401FB3" w14:textId="77777777" w:rsidR="00664A77" w:rsidRDefault="000C43E0">
      <w:pPr>
        <w:pStyle w:val="1"/>
        <w:spacing w:line="480" w:lineRule="auto"/>
        <w:rPr>
          <w:rFonts w:ascii="Arial" w:eastAsia="Arial" w:hAnsi="Arial" w:cs="Arial"/>
          <w:color w:val="000000"/>
          <w:sz w:val="26"/>
          <w:szCs w:val="26"/>
        </w:rPr>
      </w:pPr>
      <w:bookmarkStart w:id="5" w:name="_pvc6pzibzlvv" w:colFirst="0" w:colLast="0"/>
      <w:bookmarkEnd w:id="5"/>
      <w:r>
        <w:rPr>
          <w:rFonts w:ascii="Arial" w:eastAsia="Arial" w:hAnsi="Arial" w:cs="Arial"/>
          <w:color w:val="000000"/>
          <w:sz w:val="26"/>
          <w:szCs w:val="26"/>
        </w:rPr>
        <w:t>Diagnostic tools to measure employee engagement</w:t>
      </w:r>
    </w:p>
    <w:p w14:paraId="69401FB4" w14:textId="77777777" w:rsidR="00664A77" w:rsidRDefault="000C43E0">
      <w:pPr>
        <w:spacing w:line="480" w:lineRule="auto"/>
        <w:ind w:firstLine="720"/>
        <w:rPr>
          <w:rFonts w:ascii="Arial" w:eastAsia="Arial" w:hAnsi="Arial" w:cs="Arial"/>
        </w:rPr>
      </w:pPr>
      <w:r>
        <w:rPr>
          <w:rFonts w:ascii="Arial" w:eastAsia="Arial" w:hAnsi="Arial" w:cs="Arial"/>
        </w:rPr>
        <w:t>According to Robertson and Markwick (2009). measuring employee engagement is a difficult task as there is no one single definition of what it means to be engaged. Therefore, companies have developed a n</w:t>
      </w:r>
      <w:r>
        <w:rPr>
          <w:rFonts w:ascii="Arial" w:eastAsia="Arial" w:hAnsi="Arial" w:cs="Arial"/>
        </w:rPr>
        <w:t xml:space="preserve">umber of questionnaires and surveys which evaluate employees on different types of engagement. </w:t>
      </w:r>
    </w:p>
    <w:p w14:paraId="69401FB5" w14:textId="77777777" w:rsidR="00664A77" w:rsidRDefault="000C43E0">
      <w:pPr>
        <w:spacing w:line="480" w:lineRule="auto"/>
        <w:ind w:firstLine="720"/>
        <w:rPr>
          <w:rFonts w:ascii="Arial" w:eastAsia="Arial" w:hAnsi="Arial" w:cs="Arial"/>
        </w:rPr>
      </w:pPr>
      <w:r>
        <w:rPr>
          <w:rFonts w:ascii="Arial" w:eastAsia="Arial" w:hAnsi="Arial" w:cs="Arial"/>
        </w:rPr>
        <w:t>Robertson and Markwick (2009) discuss the various types of engagement surveys and which one might be best for each company's needs. One way to do this is to ide</w:t>
      </w:r>
      <w:r>
        <w:rPr>
          <w:rFonts w:ascii="Arial" w:eastAsia="Arial" w:hAnsi="Arial" w:cs="Arial"/>
        </w:rPr>
        <w:t>ntify the highest priority level of engagement as employee burnout is much more likely if the most important outcome is achieved at lower levels (Motyka, 2018). Another way is to survey employees on a number of different questions which will allow you to s</w:t>
      </w:r>
      <w:r>
        <w:rPr>
          <w:rFonts w:ascii="Arial" w:eastAsia="Arial" w:hAnsi="Arial" w:cs="Arial"/>
        </w:rPr>
        <w:t xml:space="preserve">ee how well they work together; how loyal they are and if they feel like they can speak up and make their voice heard. </w:t>
      </w:r>
    </w:p>
    <w:p w14:paraId="69401FB6" w14:textId="77777777" w:rsidR="00664A77" w:rsidRDefault="000C43E0">
      <w:pPr>
        <w:spacing w:line="480" w:lineRule="auto"/>
        <w:ind w:firstLine="720"/>
        <w:rPr>
          <w:rFonts w:ascii="Arial" w:eastAsia="Arial" w:hAnsi="Arial" w:cs="Arial"/>
        </w:rPr>
      </w:pPr>
      <w:r>
        <w:rPr>
          <w:rFonts w:ascii="Arial" w:eastAsia="Arial" w:hAnsi="Arial" w:cs="Arial"/>
        </w:rPr>
        <w:t>Another tool used to measure employee engagement is Gallup Workplace Audit. The Gallup Workplace Audit is an employee engagement questio</w:t>
      </w:r>
      <w:r>
        <w:rPr>
          <w:rFonts w:ascii="Arial" w:eastAsia="Arial" w:hAnsi="Arial" w:cs="Arial"/>
        </w:rPr>
        <w:t>nnaire which asks employees how engaged they feel at work, what problems or successes they can think of in the workplace and which colleagues are most likely to promote their ideas (Kumar and Upasana, 2019). A high level of engaged employees will also tend</w:t>
      </w:r>
      <w:r>
        <w:rPr>
          <w:rFonts w:ascii="Arial" w:eastAsia="Arial" w:hAnsi="Arial" w:cs="Arial"/>
        </w:rPr>
        <w:t xml:space="preserve"> to be more loyal, less likely to quit their job voluntarily and more productive.</w:t>
      </w:r>
    </w:p>
    <w:p w14:paraId="69401FB7" w14:textId="77777777" w:rsidR="00664A77" w:rsidRDefault="000C43E0">
      <w:pPr>
        <w:spacing w:line="480" w:lineRule="auto"/>
        <w:ind w:firstLine="720"/>
        <w:rPr>
          <w:rFonts w:ascii="Arial" w:eastAsia="Arial" w:hAnsi="Arial" w:cs="Arial"/>
        </w:rPr>
      </w:pPr>
      <w:r>
        <w:rPr>
          <w:rFonts w:ascii="Arial" w:eastAsia="Arial" w:hAnsi="Arial" w:cs="Arial"/>
        </w:rPr>
        <w:t xml:space="preserve">Tools used in measuring employee engagement can assist managers to identify both potential and actual problems and help them to plan how to tackle them. This also means </w:t>
      </w:r>
      <w:r>
        <w:rPr>
          <w:rFonts w:ascii="Arial" w:eastAsia="Arial" w:hAnsi="Arial" w:cs="Arial"/>
        </w:rPr>
        <w:lastRenderedPageBreak/>
        <w:t xml:space="preserve">that </w:t>
      </w:r>
      <w:r>
        <w:rPr>
          <w:rFonts w:ascii="Arial" w:eastAsia="Arial" w:hAnsi="Arial" w:cs="Arial"/>
        </w:rPr>
        <w:t>these tools can be used as a part of the whole employee engagement strategy (Motyka, 2018). Moreover, if these tools are used on a regular basis, it is possible to see how the engagement of employees changes over time.</w:t>
      </w:r>
    </w:p>
    <w:p w14:paraId="69401FB8" w14:textId="77777777" w:rsidR="00664A77" w:rsidRDefault="000C43E0">
      <w:pPr>
        <w:spacing w:line="480" w:lineRule="auto"/>
        <w:ind w:firstLine="720"/>
        <w:rPr>
          <w:rFonts w:ascii="Arial" w:eastAsia="Arial" w:hAnsi="Arial" w:cs="Arial"/>
        </w:rPr>
      </w:pPr>
      <w:r>
        <w:rPr>
          <w:rFonts w:ascii="Arial" w:eastAsia="Arial" w:hAnsi="Arial" w:cs="Arial"/>
        </w:rPr>
        <w:t>It is very important for companies to</w:t>
      </w:r>
      <w:r>
        <w:rPr>
          <w:rFonts w:ascii="Arial" w:eastAsia="Arial" w:hAnsi="Arial" w:cs="Arial"/>
        </w:rPr>
        <w:t xml:space="preserve"> deal with this topic as engaged employees can contribute to the competitive advantage of companies. Enhancing employee engagement leads to higher productivity, lower turnover, and less absenteeism (Albrecht et al., 2014). Moreover, engaged employees are a</w:t>
      </w:r>
      <w:r>
        <w:rPr>
          <w:rFonts w:ascii="Arial" w:eastAsia="Arial" w:hAnsi="Arial" w:cs="Arial"/>
        </w:rPr>
        <w:t xml:space="preserve">lso more satisfied with their jobs and feel that their goals are being met. Engaged employees are also happier in their jobs which attracts potential applicants as talented candidates prefer working for engaged companies and look forward to growing within </w:t>
      </w:r>
      <w:r>
        <w:rPr>
          <w:rFonts w:ascii="Arial" w:eastAsia="Arial" w:hAnsi="Arial" w:cs="Arial"/>
        </w:rPr>
        <w:t>them. Engaged workers report more satisfaction with personal development opportunities (Pandita and Ray, 2013). Moreover, engaged employees are more loyal to the company, as Engaged Employees Feel More Secure in Their Jobs. Therefore, companies cannot affo</w:t>
      </w:r>
      <w:r>
        <w:rPr>
          <w:rFonts w:ascii="Arial" w:eastAsia="Arial" w:hAnsi="Arial" w:cs="Arial"/>
        </w:rPr>
        <w:t>rd not to enhance engagement as it leads to profitability. Therefore, managers need to be aware of the possible causes of disengagement and how it may affect employees. This research shows that employee engagement has a significant influence on retention r</w:t>
      </w:r>
      <w:r>
        <w:rPr>
          <w:rFonts w:ascii="Arial" w:eastAsia="Arial" w:hAnsi="Arial" w:cs="Arial"/>
        </w:rPr>
        <w:t xml:space="preserve">ates as well as productivity and loyalty. </w:t>
      </w:r>
    </w:p>
    <w:p w14:paraId="69401FB9" w14:textId="77777777" w:rsidR="00664A77" w:rsidRDefault="00664A77">
      <w:pPr>
        <w:spacing w:line="480" w:lineRule="auto"/>
        <w:ind w:firstLine="720"/>
        <w:rPr>
          <w:rFonts w:ascii="Arial" w:eastAsia="Arial" w:hAnsi="Arial" w:cs="Arial"/>
        </w:rPr>
      </w:pPr>
    </w:p>
    <w:p w14:paraId="69401FBA" w14:textId="77777777" w:rsidR="00664A77" w:rsidRDefault="000C43E0">
      <w:pPr>
        <w:pStyle w:val="1"/>
        <w:spacing w:line="480" w:lineRule="auto"/>
        <w:rPr>
          <w:rFonts w:ascii="Arial" w:eastAsia="Arial" w:hAnsi="Arial" w:cs="Arial"/>
          <w:color w:val="000000"/>
          <w:sz w:val="26"/>
          <w:szCs w:val="26"/>
        </w:rPr>
      </w:pPr>
      <w:bookmarkStart w:id="6" w:name="_r375qlf6k97g" w:colFirst="0" w:colLast="0"/>
      <w:bookmarkEnd w:id="6"/>
      <w:r>
        <w:rPr>
          <w:rFonts w:ascii="Arial" w:eastAsia="Arial" w:hAnsi="Arial" w:cs="Arial"/>
          <w:color w:val="000000"/>
          <w:sz w:val="26"/>
          <w:szCs w:val="26"/>
        </w:rPr>
        <w:t>Employee value proposition</w:t>
      </w:r>
    </w:p>
    <w:p w14:paraId="69401FBB" w14:textId="77777777" w:rsidR="00664A77" w:rsidRDefault="000C43E0">
      <w:pPr>
        <w:spacing w:line="480" w:lineRule="auto"/>
        <w:ind w:firstLine="720"/>
        <w:rPr>
          <w:rFonts w:ascii="Arial" w:eastAsia="Arial" w:hAnsi="Arial" w:cs="Arial"/>
        </w:rPr>
      </w:pPr>
      <w:r>
        <w:rPr>
          <w:rFonts w:ascii="Arial" w:eastAsia="Arial" w:hAnsi="Arial" w:cs="Arial"/>
        </w:rPr>
        <w:t>Employee value proposition is how a company describes the total value provided by their employees. By doing this, it is possible to measure how much money a company is spending on their</w:t>
      </w:r>
      <w:r>
        <w:rPr>
          <w:rFonts w:ascii="Arial" w:eastAsia="Arial" w:hAnsi="Arial" w:cs="Arial"/>
        </w:rPr>
        <w:t xml:space="preserve"> employees and whether or not the company cares about what the employees are doing (Arasanmi and Krishna, 2019). Furthermore, managers can use this information to judge how well their employees are being paid. If a manager is not satisfied with the value t</w:t>
      </w:r>
      <w:r>
        <w:rPr>
          <w:rFonts w:ascii="Arial" w:eastAsia="Arial" w:hAnsi="Arial" w:cs="Arial"/>
        </w:rPr>
        <w:t xml:space="preserve">hat they are receiving from their employee(s) then they may be unhappy with all of the other things that they are being paid for as well. </w:t>
      </w:r>
    </w:p>
    <w:p w14:paraId="69401FBC" w14:textId="77777777" w:rsidR="00664A77" w:rsidRDefault="000C43E0">
      <w:pPr>
        <w:spacing w:line="480" w:lineRule="auto"/>
        <w:ind w:firstLine="720"/>
        <w:rPr>
          <w:rFonts w:ascii="Arial" w:eastAsia="Arial" w:hAnsi="Arial" w:cs="Arial"/>
        </w:rPr>
      </w:pPr>
      <w:r>
        <w:rPr>
          <w:rFonts w:ascii="Arial" w:eastAsia="Arial" w:hAnsi="Arial" w:cs="Arial"/>
        </w:rPr>
        <w:lastRenderedPageBreak/>
        <w:t>To measure employee value proposition, an organisation will look at several different variables in order to create th</w:t>
      </w:r>
      <w:r>
        <w:rPr>
          <w:rFonts w:ascii="Arial" w:eastAsia="Arial" w:hAnsi="Arial" w:cs="Arial"/>
        </w:rPr>
        <w:t>is "total" picture of what they offer. These variables could include compensation, benefits, training and career opportunities (Cattermole, 2019). The organisation will then look at what they are spending on each variable to determine how employees are bei</w:t>
      </w:r>
      <w:r>
        <w:rPr>
          <w:rFonts w:ascii="Arial" w:eastAsia="Arial" w:hAnsi="Arial" w:cs="Arial"/>
        </w:rPr>
        <w:t xml:space="preserve">ng valued. For example, if a company is spending money on compensation and benefits and has defined career opportunities as one of their total variables then they should also be considering the value they are receiving from training (Cattermole, 2018). If </w:t>
      </w:r>
      <w:r>
        <w:rPr>
          <w:rFonts w:ascii="Arial" w:eastAsia="Arial" w:hAnsi="Arial" w:cs="Arial"/>
        </w:rPr>
        <w:t>a company is only providing a certain amount of money in compensation and benefits then they need to have a better understanding of what it will take to get them to invest more in training. In order for an organisation to effectively measure their employee</w:t>
      </w:r>
      <w:r>
        <w:rPr>
          <w:rFonts w:ascii="Arial" w:eastAsia="Arial" w:hAnsi="Arial" w:cs="Arial"/>
        </w:rPr>
        <w:t xml:space="preserve"> value proposition, they need to understand their current situation. </w:t>
      </w:r>
    </w:p>
    <w:p w14:paraId="69401FBD" w14:textId="77777777" w:rsidR="00664A77" w:rsidRDefault="00664A77">
      <w:pPr>
        <w:spacing w:line="480" w:lineRule="auto"/>
        <w:ind w:firstLine="720"/>
        <w:rPr>
          <w:rFonts w:ascii="Arial" w:eastAsia="Arial" w:hAnsi="Arial" w:cs="Arial"/>
        </w:rPr>
      </w:pPr>
    </w:p>
    <w:p w14:paraId="69401FBE" w14:textId="77777777" w:rsidR="00664A77" w:rsidRDefault="000C43E0">
      <w:pPr>
        <w:pStyle w:val="1"/>
        <w:spacing w:line="480" w:lineRule="auto"/>
        <w:rPr>
          <w:rFonts w:ascii="Arial" w:eastAsia="Arial" w:hAnsi="Arial" w:cs="Arial"/>
          <w:color w:val="000000"/>
          <w:sz w:val="26"/>
          <w:szCs w:val="26"/>
        </w:rPr>
      </w:pPr>
      <w:bookmarkStart w:id="7" w:name="_3v9r7b8widme" w:colFirst="0" w:colLast="0"/>
      <w:bookmarkEnd w:id="7"/>
      <w:r>
        <w:rPr>
          <w:rFonts w:ascii="Arial" w:eastAsia="Arial" w:hAnsi="Arial" w:cs="Arial"/>
          <w:color w:val="000000"/>
          <w:sz w:val="26"/>
          <w:szCs w:val="26"/>
        </w:rPr>
        <w:t>Strategies to raise levels of engagement.</w:t>
      </w:r>
    </w:p>
    <w:p w14:paraId="69401FBF" w14:textId="77777777" w:rsidR="00664A77" w:rsidRDefault="000C43E0">
      <w:pPr>
        <w:spacing w:line="480" w:lineRule="auto"/>
        <w:ind w:firstLine="720"/>
        <w:rPr>
          <w:rFonts w:ascii="Arial" w:eastAsia="Arial" w:hAnsi="Arial" w:cs="Arial"/>
        </w:rPr>
      </w:pPr>
      <w:r>
        <w:rPr>
          <w:rFonts w:ascii="Arial" w:eastAsia="Arial" w:hAnsi="Arial" w:cs="Arial"/>
        </w:rPr>
        <w:t>There are several different strategies an organisation can use to raise the levels of engagement of their employees. One strategy that an organ</w:t>
      </w:r>
      <w:r>
        <w:rPr>
          <w:rFonts w:ascii="Arial" w:eastAsia="Arial" w:hAnsi="Arial" w:cs="Arial"/>
        </w:rPr>
        <w:t>isation can use is to create a shared vision amongst employees (Mone and London, 2018). This will help employees to see why they are there and how their part contributes towards achieving this goal. A second strategy is to make sure that managers are consi</w:t>
      </w:r>
      <w:r>
        <w:rPr>
          <w:rFonts w:ascii="Arial" w:eastAsia="Arial" w:hAnsi="Arial" w:cs="Arial"/>
        </w:rPr>
        <w:t>stently communicating about what the company values and what its goals are. If a company does not have a clear message, then this could lead to dissatisfaction amongst the younger generations who may be looking for more career opportunities at their time o</w:t>
      </w:r>
      <w:r>
        <w:rPr>
          <w:rFonts w:ascii="Arial" w:eastAsia="Arial" w:hAnsi="Arial" w:cs="Arial"/>
        </w:rPr>
        <w:t xml:space="preserve">f employment (Burnett and Lisk, 2019). Finally, one of the best strategies that managers can use is providing training and opportunities for employees but only when it makes sense. While training and opportunities can help engage employees, it also has to </w:t>
      </w:r>
      <w:r>
        <w:rPr>
          <w:rFonts w:ascii="Arial" w:eastAsia="Arial" w:hAnsi="Arial" w:cs="Arial"/>
        </w:rPr>
        <w:t>make sense. If they are not clear on the value of a particular training opportunity, or it is not clear why they have to attend a training session, then there is no value in providing it.</w:t>
      </w:r>
    </w:p>
    <w:p w14:paraId="69401FC0" w14:textId="77777777" w:rsidR="00664A77" w:rsidRDefault="000C43E0">
      <w:pPr>
        <w:spacing w:line="480" w:lineRule="auto"/>
        <w:ind w:firstLine="720"/>
        <w:rPr>
          <w:rFonts w:ascii="Arial" w:eastAsia="Arial" w:hAnsi="Arial" w:cs="Arial"/>
        </w:rPr>
      </w:pPr>
      <w:r>
        <w:rPr>
          <w:rFonts w:ascii="Arial" w:eastAsia="Arial" w:hAnsi="Arial" w:cs="Arial"/>
        </w:rPr>
        <w:lastRenderedPageBreak/>
        <w:t>Companies that implement the engagement strategy with their employee</w:t>
      </w:r>
      <w:r>
        <w:rPr>
          <w:rFonts w:ascii="Arial" w:eastAsia="Arial" w:hAnsi="Arial" w:cs="Arial"/>
        </w:rPr>
        <w:t>s find themselves acquiring many benefits from their team. Harnessing such energy and utilising it in the right areas become the key for better performance for both the organisation as well as for individuals. The graph shows four categories which employee</w:t>
      </w:r>
      <w:r>
        <w:rPr>
          <w:rFonts w:ascii="Arial" w:eastAsia="Arial" w:hAnsi="Arial" w:cs="Arial"/>
        </w:rPr>
        <w:t>s can be classified into; engaged, passive, actively disengaged or completely disengaged employees (Burnett and Lisk, 2019). Organisations can take a number of steps in order to prevent the disengagement of employees. In order to do this the organisation m</w:t>
      </w:r>
      <w:r>
        <w:rPr>
          <w:rFonts w:ascii="Arial" w:eastAsia="Arial" w:hAnsi="Arial" w:cs="Arial"/>
        </w:rPr>
        <w:t>ust first understand where things are going wrong (Martin and Bolliger, 2018). This can be done by conducting surveys and interviews with not just the employees but also the management team. Another way organisations can look at possible solutions is by as</w:t>
      </w:r>
      <w:r>
        <w:rPr>
          <w:rFonts w:ascii="Arial" w:eastAsia="Arial" w:hAnsi="Arial" w:cs="Arial"/>
        </w:rPr>
        <w:t>king the employees which problems they face on a day-to-day basis, and what could be done to improve these situations. Above all, from a managerial point of view, it is very important that they treat their employees like they would want their manager to tr</w:t>
      </w:r>
      <w:r>
        <w:rPr>
          <w:rFonts w:ascii="Arial" w:eastAsia="Arial" w:hAnsi="Arial" w:cs="Arial"/>
        </w:rPr>
        <w:t>eat them.</w:t>
      </w:r>
    </w:p>
    <w:p w14:paraId="69401FC2" w14:textId="0B87EDD9" w:rsidR="00664A77" w:rsidRDefault="000C43E0" w:rsidP="007E3486">
      <w:pPr>
        <w:spacing w:line="480" w:lineRule="auto"/>
        <w:ind w:firstLine="720"/>
        <w:rPr>
          <w:rFonts w:ascii="Arial" w:eastAsia="Arial" w:hAnsi="Arial" w:cs="Arial"/>
        </w:rPr>
      </w:pPr>
      <w:r>
        <w:rPr>
          <w:rFonts w:ascii="Arial" w:eastAsia="Arial" w:hAnsi="Arial" w:cs="Arial"/>
        </w:rPr>
        <w:t>Engagement is a complicated issue for managers. This research has highlighted that there are many different causes of disengagement and how this may affect an employee. The first point to look at in order to prevent disengagement amongst employee</w:t>
      </w:r>
      <w:r>
        <w:rPr>
          <w:rFonts w:ascii="Arial" w:eastAsia="Arial" w:hAnsi="Arial" w:cs="Arial"/>
        </w:rPr>
        <w:t xml:space="preserve">s is how they would recommend their employer as one of their top three sources of influence (Martin and Bolliger, 2018). Therefore, it is important for managers to understand how employees view their employer as one of their top three sources of influence </w:t>
      </w:r>
      <w:r>
        <w:rPr>
          <w:rFonts w:ascii="Arial" w:eastAsia="Arial" w:hAnsi="Arial" w:cs="Arial"/>
        </w:rPr>
        <w:t>(Meng and Berger, 2019). Furthermore, an organisation’s ability to deal with staff turnover is important to both the employees and the organisation itself (Robertson-Smith and Markwick, 2009). Therefore, if an organisation has a high rate of staff turnover</w:t>
      </w:r>
      <w:r>
        <w:rPr>
          <w:rFonts w:ascii="Arial" w:eastAsia="Arial" w:hAnsi="Arial" w:cs="Arial"/>
        </w:rPr>
        <w:t xml:space="preserve"> and is not able to deal with this effectively then it may have disengaged employees. Finally, the level of employee satisfaction that an employee feels in regards to benefits may be related to their levels of engagement</w:t>
      </w:r>
      <w:r w:rsidR="00A36413">
        <w:rPr>
          <w:rFonts w:ascii="Arial" w:eastAsia="Arial" w:hAnsi="Arial" w:cs="Arial"/>
        </w:rPr>
        <w:t>.</w:t>
      </w:r>
    </w:p>
    <w:p w14:paraId="6E5C74C7" w14:textId="77777777" w:rsidR="00A36413" w:rsidRDefault="00A36413" w:rsidP="007E3486">
      <w:pPr>
        <w:spacing w:line="480" w:lineRule="auto"/>
        <w:ind w:firstLine="720"/>
        <w:rPr>
          <w:rFonts w:ascii="Arial" w:eastAsia="Arial" w:hAnsi="Arial" w:cs="Arial"/>
        </w:rPr>
      </w:pPr>
    </w:p>
    <w:p w14:paraId="317B6723" w14:textId="77777777" w:rsidR="00BE309A" w:rsidRDefault="00BE309A" w:rsidP="007E3486">
      <w:pPr>
        <w:spacing w:line="480" w:lineRule="auto"/>
        <w:ind w:firstLine="720"/>
        <w:rPr>
          <w:rFonts w:ascii="Arial" w:eastAsia="Arial" w:hAnsi="Arial" w:cs="Arial"/>
        </w:rPr>
      </w:pPr>
    </w:p>
    <w:p w14:paraId="69401FC3" w14:textId="77777777" w:rsidR="00664A77" w:rsidRDefault="000C43E0">
      <w:pPr>
        <w:pStyle w:val="1"/>
        <w:spacing w:line="480" w:lineRule="auto"/>
        <w:rPr>
          <w:rFonts w:ascii="Arial" w:eastAsia="Arial" w:hAnsi="Arial" w:cs="Arial"/>
          <w:color w:val="000000"/>
          <w:sz w:val="26"/>
          <w:szCs w:val="26"/>
        </w:rPr>
      </w:pPr>
      <w:bookmarkStart w:id="8" w:name="_ttef4v31p095" w:colFirst="0" w:colLast="0"/>
      <w:bookmarkEnd w:id="8"/>
      <w:r>
        <w:rPr>
          <w:rFonts w:ascii="Arial" w:eastAsia="Arial" w:hAnsi="Arial" w:cs="Arial"/>
          <w:color w:val="000000"/>
          <w:sz w:val="26"/>
          <w:szCs w:val="26"/>
        </w:rPr>
        <w:lastRenderedPageBreak/>
        <w:t xml:space="preserve">Factors that can create </w:t>
      </w:r>
      <w:r>
        <w:rPr>
          <w:rFonts w:ascii="Arial" w:eastAsia="Arial" w:hAnsi="Arial" w:cs="Arial"/>
          <w:color w:val="000000"/>
          <w:sz w:val="26"/>
          <w:szCs w:val="26"/>
        </w:rPr>
        <w:t>disengagement at the workplace</w:t>
      </w:r>
    </w:p>
    <w:p w14:paraId="69401FC4" w14:textId="77777777" w:rsidR="00664A77" w:rsidRDefault="000C43E0">
      <w:pPr>
        <w:spacing w:line="480" w:lineRule="auto"/>
        <w:rPr>
          <w:rFonts w:ascii="Arial" w:eastAsia="Arial" w:hAnsi="Arial" w:cs="Arial"/>
        </w:rPr>
      </w:pPr>
      <w:r>
        <w:rPr>
          <w:rFonts w:ascii="Arial" w:eastAsia="Arial" w:hAnsi="Arial" w:cs="Arial"/>
        </w:rPr>
        <w:t>There are many factors that can create disengagement and managers need to understand these in order to effectively deal with this and prevent future instances (Meng and Berger, 2019). These factors could include an extreme wo</w:t>
      </w:r>
      <w:r>
        <w:rPr>
          <w:rFonts w:ascii="Arial" w:eastAsia="Arial" w:hAnsi="Arial" w:cs="Arial"/>
        </w:rPr>
        <w:t>rkload, low salary, poor communication and a lack of training or career opportunities which has been suggested by some managers (Young et al., 2018). Employees are likely to view their workplace as something that has a strong impact on their life. This wil</w:t>
      </w:r>
      <w:r>
        <w:rPr>
          <w:rFonts w:ascii="Arial" w:eastAsia="Arial" w:hAnsi="Arial" w:cs="Arial"/>
        </w:rPr>
        <w:t>l affect how much engagement they feel for the company. For example, if an organisation is well structured then employees will be more engaged because they believe that work does not impact their lives as much as it would have if it was not well-structured</w:t>
      </w:r>
      <w:r>
        <w:rPr>
          <w:rFonts w:ascii="Arial" w:eastAsia="Arial" w:hAnsi="Arial" w:cs="Arial"/>
        </w:rPr>
        <w:t>.</w:t>
      </w:r>
    </w:p>
    <w:p w14:paraId="69401FC5" w14:textId="77777777" w:rsidR="00664A77" w:rsidRDefault="000C43E0">
      <w:pPr>
        <w:spacing w:line="480" w:lineRule="auto"/>
        <w:ind w:firstLine="720"/>
        <w:rPr>
          <w:rFonts w:ascii="Arial" w:eastAsia="Arial" w:hAnsi="Arial" w:cs="Arial"/>
        </w:rPr>
      </w:pPr>
      <w:r>
        <w:rPr>
          <w:rFonts w:ascii="Arial" w:eastAsia="Arial" w:hAnsi="Arial" w:cs="Arial"/>
        </w:rPr>
        <w:t>Some of the most key points that can influence whether or not employees are engaged with their workplace are the management style and organisational culture in which employees work (Young et al., 2018). Managers need to make sure that this culture is one</w:t>
      </w:r>
      <w:r>
        <w:rPr>
          <w:rFonts w:ascii="Arial" w:eastAsia="Arial" w:hAnsi="Arial" w:cs="Arial"/>
        </w:rPr>
        <w:t xml:space="preserve"> that encourages engagement so that they can ensure a good performance from their staff. It is important for managers to understand the different levels of disengagement and how they affect each employee individually. Managers should also determine whether</w:t>
      </w:r>
      <w:r>
        <w:rPr>
          <w:rFonts w:ascii="Arial" w:eastAsia="Arial" w:hAnsi="Arial" w:cs="Arial"/>
        </w:rPr>
        <w:t xml:space="preserve"> disengagement in their organisation is something temporary or a permanent state.</w:t>
      </w:r>
    </w:p>
    <w:p w14:paraId="69401FC6" w14:textId="77777777" w:rsidR="00664A77" w:rsidRDefault="00664A77">
      <w:pPr>
        <w:spacing w:line="480" w:lineRule="auto"/>
        <w:ind w:firstLine="720"/>
        <w:rPr>
          <w:rFonts w:ascii="Arial" w:eastAsia="Arial" w:hAnsi="Arial" w:cs="Arial"/>
        </w:rPr>
      </w:pPr>
    </w:p>
    <w:p w14:paraId="69401FC7" w14:textId="77777777" w:rsidR="00664A77" w:rsidRDefault="000C43E0">
      <w:pPr>
        <w:pStyle w:val="1"/>
        <w:spacing w:line="480" w:lineRule="auto"/>
        <w:rPr>
          <w:rFonts w:ascii="Arial" w:eastAsia="Arial" w:hAnsi="Arial" w:cs="Arial"/>
          <w:color w:val="000000"/>
          <w:sz w:val="26"/>
          <w:szCs w:val="26"/>
        </w:rPr>
      </w:pPr>
      <w:bookmarkStart w:id="9" w:name="_ns33dd8hc3bj" w:colFirst="0" w:colLast="0"/>
      <w:bookmarkEnd w:id="9"/>
      <w:r>
        <w:rPr>
          <w:rFonts w:ascii="Arial" w:eastAsia="Arial" w:hAnsi="Arial" w:cs="Arial"/>
          <w:color w:val="000000"/>
          <w:sz w:val="26"/>
          <w:szCs w:val="26"/>
        </w:rPr>
        <w:t>Conclusion</w:t>
      </w:r>
    </w:p>
    <w:p w14:paraId="69401FD2" w14:textId="09935DB4" w:rsidR="00664A77" w:rsidRDefault="000C43E0">
      <w:pPr>
        <w:spacing w:line="480" w:lineRule="auto"/>
        <w:rPr>
          <w:rFonts w:ascii="Arial" w:eastAsia="Arial" w:hAnsi="Arial" w:cs="Arial"/>
        </w:rPr>
      </w:pPr>
      <w:r>
        <w:rPr>
          <w:rFonts w:ascii="Arial" w:eastAsia="Arial" w:hAnsi="Arial" w:cs="Arial"/>
        </w:rPr>
        <w:t xml:space="preserve">The engagement strategy plays a major role in any organisation as it affects the overall performance of the organisation and also its employees. How well the </w:t>
      </w:r>
      <w:r>
        <w:rPr>
          <w:rFonts w:ascii="Arial" w:eastAsia="Arial" w:hAnsi="Arial" w:cs="Arial"/>
        </w:rPr>
        <w:t>management team is able to do their job will determine whether they have engaged employees or disengaged employees. There are various strategies that managers can use to raise an employee level of engagement and there are various ways to deal with disengag</w:t>
      </w:r>
      <w:r>
        <w:rPr>
          <w:rFonts w:ascii="Arial" w:eastAsia="Arial" w:hAnsi="Arial" w:cs="Arial"/>
        </w:rPr>
        <w:t xml:space="preserve">ement amongst employees </w:t>
      </w:r>
      <w:r>
        <w:rPr>
          <w:rFonts w:ascii="Arial" w:eastAsia="Arial" w:hAnsi="Arial" w:cs="Arial"/>
        </w:rPr>
        <w:lastRenderedPageBreak/>
        <w:t>which has been highlighted throughout this report. Engagement is therefore important for organisations but so is its understanding.</w:t>
      </w:r>
    </w:p>
    <w:p w14:paraId="279BE50A" w14:textId="77777777" w:rsidR="00802AC3" w:rsidRDefault="00802AC3">
      <w:pPr>
        <w:spacing w:line="480" w:lineRule="auto"/>
        <w:rPr>
          <w:rFonts w:ascii="Arial" w:eastAsia="Arial" w:hAnsi="Arial" w:cs="Arial"/>
        </w:rPr>
      </w:pPr>
    </w:p>
    <w:p w14:paraId="1A7692FD" w14:textId="77777777" w:rsidR="00802AC3" w:rsidRDefault="00802AC3">
      <w:pPr>
        <w:spacing w:line="480" w:lineRule="auto"/>
        <w:rPr>
          <w:rFonts w:ascii="Arial" w:eastAsia="Arial" w:hAnsi="Arial" w:cs="Arial"/>
        </w:rPr>
      </w:pPr>
    </w:p>
    <w:p w14:paraId="40D459F0" w14:textId="77777777" w:rsidR="00802AC3" w:rsidRDefault="00802AC3">
      <w:pPr>
        <w:spacing w:line="480" w:lineRule="auto"/>
        <w:rPr>
          <w:rFonts w:ascii="Arial" w:eastAsia="Arial" w:hAnsi="Arial" w:cs="Arial"/>
        </w:rPr>
      </w:pPr>
    </w:p>
    <w:p w14:paraId="4B33AF43" w14:textId="77777777" w:rsidR="00802AC3" w:rsidRDefault="00802AC3">
      <w:pPr>
        <w:spacing w:line="480" w:lineRule="auto"/>
        <w:rPr>
          <w:rFonts w:ascii="Arial" w:eastAsia="Arial" w:hAnsi="Arial" w:cs="Arial"/>
        </w:rPr>
      </w:pPr>
    </w:p>
    <w:p w14:paraId="1D968ACA" w14:textId="77777777" w:rsidR="00802AC3" w:rsidRDefault="00802AC3">
      <w:pPr>
        <w:spacing w:line="480" w:lineRule="auto"/>
        <w:rPr>
          <w:rFonts w:ascii="Arial" w:eastAsia="Arial" w:hAnsi="Arial" w:cs="Arial"/>
        </w:rPr>
      </w:pPr>
    </w:p>
    <w:p w14:paraId="329C79D7" w14:textId="77777777" w:rsidR="00802AC3" w:rsidRDefault="00802AC3">
      <w:pPr>
        <w:spacing w:line="480" w:lineRule="auto"/>
        <w:rPr>
          <w:rFonts w:ascii="Arial" w:eastAsia="Arial" w:hAnsi="Arial" w:cs="Arial"/>
        </w:rPr>
      </w:pPr>
    </w:p>
    <w:p w14:paraId="33FE66D2" w14:textId="77777777" w:rsidR="00802AC3" w:rsidRDefault="00802AC3">
      <w:pPr>
        <w:spacing w:line="480" w:lineRule="auto"/>
        <w:rPr>
          <w:rFonts w:ascii="Arial" w:eastAsia="Arial" w:hAnsi="Arial" w:cs="Arial"/>
        </w:rPr>
      </w:pPr>
    </w:p>
    <w:p w14:paraId="4A839942" w14:textId="77777777" w:rsidR="00802AC3" w:rsidRDefault="00802AC3">
      <w:pPr>
        <w:spacing w:line="480" w:lineRule="auto"/>
        <w:rPr>
          <w:rFonts w:ascii="Arial" w:eastAsia="Arial" w:hAnsi="Arial" w:cs="Arial"/>
        </w:rPr>
      </w:pPr>
    </w:p>
    <w:p w14:paraId="225A9263" w14:textId="77777777" w:rsidR="00802AC3" w:rsidRDefault="00802AC3">
      <w:pPr>
        <w:spacing w:line="480" w:lineRule="auto"/>
        <w:rPr>
          <w:rFonts w:ascii="Arial" w:eastAsia="Arial" w:hAnsi="Arial" w:cs="Arial"/>
        </w:rPr>
      </w:pPr>
    </w:p>
    <w:p w14:paraId="4F248A2E" w14:textId="77777777" w:rsidR="00802AC3" w:rsidRDefault="00802AC3">
      <w:pPr>
        <w:spacing w:line="480" w:lineRule="auto"/>
        <w:rPr>
          <w:rFonts w:ascii="Arial" w:eastAsia="Arial" w:hAnsi="Arial" w:cs="Arial"/>
        </w:rPr>
      </w:pPr>
    </w:p>
    <w:p w14:paraId="733F70F4" w14:textId="77777777" w:rsidR="00802AC3" w:rsidRDefault="00802AC3">
      <w:pPr>
        <w:spacing w:line="480" w:lineRule="auto"/>
        <w:rPr>
          <w:rFonts w:ascii="Arial" w:eastAsia="Arial" w:hAnsi="Arial" w:cs="Arial"/>
        </w:rPr>
      </w:pPr>
    </w:p>
    <w:p w14:paraId="36787965" w14:textId="77777777" w:rsidR="00802AC3" w:rsidRDefault="00802AC3">
      <w:pPr>
        <w:spacing w:line="480" w:lineRule="auto"/>
        <w:rPr>
          <w:rFonts w:ascii="Arial" w:eastAsia="Arial" w:hAnsi="Arial" w:cs="Arial"/>
        </w:rPr>
      </w:pPr>
    </w:p>
    <w:p w14:paraId="1A184F24" w14:textId="77777777" w:rsidR="00802AC3" w:rsidRDefault="00802AC3">
      <w:pPr>
        <w:spacing w:line="480" w:lineRule="auto"/>
        <w:rPr>
          <w:rFonts w:ascii="Arial" w:eastAsia="Arial" w:hAnsi="Arial" w:cs="Arial"/>
        </w:rPr>
      </w:pPr>
    </w:p>
    <w:p w14:paraId="00323DD3" w14:textId="77777777" w:rsidR="00802AC3" w:rsidRDefault="00802AC3">
      <w:pPr>
        <w:spacing w:line="480" w:lineRule="auto"/>
        <w:rPr>
          <w:rFonts w:ascii="Arial" w:eastAsia="Arial" w:hAnsi="Arial" w:cs="Arial"/>
        </w:rPr>
      </w:pPr>
    </w:p>
    <w:p w14:paraId="4D90ACA8" w14:textId="77777777" w:rsidR="00802AC3" w:rsidRDefault="00802AC3">
      <w:pPr>
        <w:spacing w:line="480" w:lineRule="auto"/>
        <w:rPr>
          <w:rFonts w:ascii="Arial" w:eastAsia="Arial" w:hAnsi="Arial" w:cs="Arial"/>
        </w:rPr>
      </w:pPr>
    </w:p>
    <w:p w14:paraId="263359A9" w14:textId="77777777" w:rsidR="00802AC3" w:rsidRDefault="00802AC3">
      <w:pPr>
        <w:spacing w:line="480" w:lineRule="auto"/>
        <w:rPr>
          <w:rFonts w:ascii="Arial" w:eastAsia="Arial" w:hAnsi="Arial" w:cs="Arial"/>
        </w:rPr>
      </w:pPr>
    </w:p>
    <w:p w14:paraId="6D8BCD4A" w14:textId="77777777" w:rsidR="00802AC3" w:rsidRDefault="00802AC3">
      <w:pPr>
        <w:spacing w:line="480" w:lineRule="auto"/>
        <w:rPr>
          <w:rFonts w:ascii="Arial" w:eastAsia="Arial" w:hAnsi="Arial" w:cs="Arial"/>
        </w:rPr>
      </w:pPr>
    </w:p>
    <w:p w14:paraId="30DEDE9B" w14:textId="77777777" w:rsidR="00802AC3" w:rsidRDefault="00802AC3">
      <w:pPr>
        <w:spacing w:line="480" w:lineRule="auto"/>
        <w:rPr>
          <w:rFonts w:ascii="Arial" w:eastAsia="Arial" w:hAnsi="Arial" w:cs="Arial"/>
        </w:rPr>
      </w:pPr>
    </w:p>
    <w:p w14:paraId="5D613177" w14:textId="77777777" w:rsidR="00802AC3" w:rsidRPr="00A36413" w:rsidRDefault="00802AC3">
      <w:pPr>
        <w:spacing w:line="480" w:lineRule="auto"/>
        <w:rPr>
          <w:rFonts w:ascii="Arial" w:eastAsia="Arial" w:hAnsi="Arial" w:cs="Arial"/>
        </w:rPr>
      </w:pPr>
    </w:p>
    <w:p w14:paraId="69401FD3" w14:textId="77777777" w:rsidR="00664A77" w:rsidRDefault="000C43E0">
      <w:pPr>
        <w:pStyle w:val="1"/>
        <w:spacing w:line="480" w:lineRule="auto"/>
        <w:rPr>
          <w:rFonts w:ascii="Arial" w:eastAsia="Arial" w:hAnsi="Arial" w:cs="Arial"/>
          <w:color w:val="000000"/>
          <w:sz w:val="26"/>
          <w:szCs w:val="26"/>
        </w:rPr>
      </w:pPr>
      <w:bookmarkStart w:id="10" w:name="_1h0xfdrrtcmb" w:colFirst="0" w:colLast="0"/>
      <w:bookmarkEnd w:id="10"/>
      <w:r>
        <w:rPr>
          <w:rFonts w:ascii="Arial" w:eastAsia="Arial" w:hAnsi="Arial" w:cs="Arial"/>
          <w:color w:val="000000"/>
          <w:sz w:val="26"/>
          <w:szCs w:val="26"/>
        </w:rPr>
        <w:lastRenderedPageBreak/>
        <w:t>References</w:t>
      </w:r>
    </w:p>
    <w:p w14:paraId="69401FD4"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Antony, M.R. (2018). </w:t>
      </w:r>
      <w:r>
        <w:rPr>
          <w:rFonts w:ascii="Arial" w:eastAsia="Arial" w:hAnsi="Arial" w:cs="Arial"/>
          <w:i/>
        </w:rPr>
        <w:t>PARADIGM SHIFT IN EMPLOYEE ENGAGEMENT – A CRITICAL</w:t>
      </w:r>
    </w:p>
    <w:p w14:paraId="69401FD5"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t>ANALYSIS ON THE DRIVERS OF EMPLOYEE ENGAGEMENT - ProQuest</w:t>
      </w:r>
      <w:r>
        <w:rPr>
          <w:rFonts w:ascii="Arial" w:eastAsia="Arial" w:hAnsi="Arial" w:cs="Arial"/>
        </w:rPr>
        <w:t xml:space="preserve">. [online] Proquest.com. Available at: https://www.proquest.com/openview/5ef444cae975e8d20475386c9df33df4/1?pq-origsite=gscholar&amp;cbl=2032142 [Accessed </w:t>
      </w:r>
      <w:r>
        <w:rPr>
          <w:rFonts w:ascii="Arial" w:eastAsia="Arial" w:hAnsi="Arial" w:cs="Arial"/>
        </w:rPr>
        <w:t>2</w:t>
      </w:r>
      <w:r>
        <w:rPr>
          <w:rFonts w:ascii="Arial" w:eastAsia="Arial" w:hAnsi="Arial" w:cs="Arial"/>
        </w:rPr>
        <w:t xml:space="preserve"> Apr. 2022].</w:t>
      </w:r>
    </w:p>
    <w:p w14:paraId="69401FD6"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 Ababneh, O.M.A. (2021). </w:t>
      </w:r>
      <w:r>
        <w:rPr>
          <w:rFonts w:ascii="Arial" w:eastAsia="Arial" w:hAnsi="Arial" w:cs="Arial"/>
          <w:i/>
        </w:rPr>
        <w:t>How do g</w:t>
      </w:r>
      <w:r>
        <w:rPr>
          <w:rFonts w:ascii="Arial" w:eastAsia="Arial" w:hAnsi="Arial" w:cs="Arial"/>
          <w:i/>
        </w:rPr>
        <w:t>reen HRM practices affect employees’ green behaviors?</w:t>
      </w:r>
    </w:p>
    <w:p w14:paraId="69401FD7"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t>The role of employee engagement and personality attributes</w:t>
      </w:r>
      <w:r>
        <w:rPr>
          <w:rFonts w:ascii="Arial" w:eastAsia="Arial" w:hAnsi="Arial" w:cs="Arial"/>
        </w:rPr>
        <w:t>. [online] Journal of Environmental Planning and Management. Available at: https://www.tandfonline.com/doi/full/10.1080/09640568.2020.1814708 [A</w:t>
      </w:r>
      <w:r>
        <w:rPr>
          <w:rFonts w:ascii="Arial" w:eastAsia="Arial" w:hAnsi="Arial" w:cs="Arial"/>
        </w:rPr>
        <w:t xml:space="preserve">ccessed </w:t>
      </w:r>
      <w:r>
        <w:rPr>
          <w:rFonts w:ascii="Arial" w:eastAsia="Arial" w:hAnsi="Arial" w:cs="Arial"/>
        </w:rPr>
        <w:t>5</w:t>
      </w:r>
      <w:r>
        <w:rPr>
          <w:rFonts w:ascii="Arial" w:eastAsia="Arial" w:hAnsi="Arial" w:cs="Arial"/>
        </w:rPr>
        <w:t xml:space="preserve"> Apr. 2022].</w:t>
      </w:r>
    </w:p>
    <w:p w14:paraId="69401FD8"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 Arasanmi, C.N. and Krishna, A. (2019). Linking the employee value proposition (EVP) to</w:t>
      </w:r>
    </w:p>
    <w:p w14:paraId="69401FD9"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employee behavioural outcomes | Emerald Insight. </w:t>
      </w:r>
      <w:r>
        <w:rPr>
          <w:rFonts w:ascii="Arial" w:eastAsia="Arial" w:hAnsi="Arial" w:cs="Arial"/>
          <w:i/>
        </w:rPr>
        <w:t>Industrial and Commercial Training</w:t>
      </w:r>
      <w:r>
        <w:rPr>
          <w:rFonts w:ascii="Arial" w:eastAsia="Arial" w:hAnsi="Arial" w:cs="Arial"/>
        </w:rPr>
        <w:t>. [online] Available at: https://www.emerald.com/insight/conte</w:t>
      </w:r>
      <w:r>
        <w:rPr>
          <w:rFonts w:ascii="Arial" w:eastAsia="Arial" w:hAnsi="Arial" w:cs="Arial"/>
        </w:rPr>
        <w:t xml:space="preserve">nt/doi/10.1108/ICT-05-2019-0043/full/html [Accessed </w:t>
      </w:r>
      <w:r>
        <w:rPr>
          <w:rFonts w:ascii="Arial" w:eastAsia="Arial" w:hAnsi="Arial" w:cs="Arial"/>
        </w:rPr>
        <w:t>4</w:t>
      </w:r>
      <w:r>
        <w:rPr>
          <w:rFonts w:ascii="Arial" w:eastAsia="Arial" w:hAnsi="Arial" w:cs="Arial"/>
        </w:rPr>
        <w:t xml:space="preserve"> Apr. 2022].</w:t>
      </w:r>
    </w:p>
    <w:p w14:paraId="69401FDA"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‌Albrecht, S.L., Bakker, A.B., Gruman, J.A., mACEY, W.H. and Saks, A.M. (2014).</w:t>
      </w:r>
    </w:p>
    <w:p w14:paraId="69401FDB"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 xml:space="preserve">Employee engagement, human resource management practices and competitive advantage: An integrated </w:t>
      </w:r>
      <w:r>
        <w:rPr>
          <w:rFonts w:ascii="Arial" w:eastAsia="Arial" w:hAnsi="Arial" w:cs="Arial"/>
        </w:rPr>
        <w:t>approach | Emerald Insight. </w:t>
      </w:r>
      <w:r>
        <w:rPr>
          <w:rFonts w:ascii="Arial" w:eastAsia="Arial" w:hAnsi="Arial" w:cs="Arial"/>
          <w:i/>
        </w:rPr>
        <w:t>Journal of Organisational Effectiveness: People and Performance</w:t>
      </w:r>
      <w:r>
        <w:rPr>
          <w:rFonts w:ascii="Arial" w:eastAsia="Arial" w:hAnsi="Arial" w:cs="Arial"/>
        </w:rPr>
        <w:t xml:space="preserve">. [online] Available at: https://www.emerald.com/insight/content/doi/10.1108/JOEPP-08-2014-0042/full/html [Accessed </w:t>
      </w:r>
      <w:r>
        <w:rPr>
          <w:rFonts w:ascii="Arial" w:eastAsia="Arial" w:hAnsi="Arial" w:cs="Arial"/>
        </w:rPr>
        <w:t>4</w:t>
      </w:r>
      <w:r>
        <w:rPr>
          <w:rFonts w:ascii="Arial" w:eastAsia="Arial" w:hAnsi="Arial" w:cs="Arial"/>
        </w:rPr>
        <w:t xml:space="preserve"> Apr. 2022].</w:t>
      </w:r>
    </w:p>
    <w:p w14:paraId="69401FDC"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 Burnett, J.R. and Lisk, T.C. (201</w:t>
      </w:r>
      <w:r>
        <w:rPr>
          <w:rFonts w:ascii="Arial" w:eastAsia="Arial" w:hAnsi="Arial" w:cs="Arial"/>
        </w:rPr>
        <w:t>9). </w:t>
      </w:r>
      <w:r>
        <w:rPr>
          <w:rFonts w:ascii="Arial" w:eastAsia="Arial" w:hAnsi="Arial" w:cs="Arial"/>
          <w:i/>
        </w:rPr>
        <w:t>The Future of Employee Engagement: Real-Time</w:t>
      </w:r>
    </w:p>
    <w:p w14:paraId="69401FDD"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lastRenderedPageBreak/>
        <w:t>Monitoring and Digital Tools for Engaging a Workforce</w:t>
      </w:r>
      <w:r>
        <w:rPr>
          <w:rFonts w:ascii="Arial" w:eastAsia="Arial" w:hAnsi="Arial" w:cs="Arial"/>
        </w:rPr>
        <w:t xml:space="preserve">. [online] International Studies of Management &amp; Organisation. Available at: https://www.tandfonline.com/doi/abs/10.1080/00208825.2019.1565097 [Accessed </w:t>
      </w:r>
      <w:r>
        <w:rPr>
          <w:rFonts w:ascii="Arial" w:eastAsia="Arial" w:hAnsi="Arial" w:cs="Arial"/>
        </w:rPr>
        <w:t>3</w:t>
      </w:r>
      <w:r>
        <w:rPr>
          <w:rFonts w:ascii="Arial" w:eastAsia="Arial" w:hAnsi="Arial" w:cs="Arial"/>
        </w:rPr>
        <w:t xml:space="preserve"> Apr. 2022].</w:t>
      </w:r>
    </w:p>
    <w:p w14:paraId="69401FDE"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‌Cattermole, G. (2018). Creating an employee engagement strategy for millennials | Emerald</w:t>
      </w:r>
    </w:p>
    <w:p w14:paraId="69401FDF"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Insight. </w:t>
      </w:r>
      <w:r>
        <w:rPr>
          <w:rFonts w:ascii="Arial" w:eastAsia="Arial" w:hAnsi="Arial" w:cs="Arial"/>
          <w:i/>
        </w:rPr>
        <w:t>Strategic HR Review</w:t>
      </w:r>
      <w:r>
        <w:rPr>
          <w:rFonts w:ascii="Arial" w:eastAsia="Arial" w:hAnsi="Arial" w:cs="Arial"/>
        </w:rPr>
        <w:t xml:space="preserve">. [online] Available at: https://www.emerald.com/insight/content/doi/10.1108/SHR-07-2018-0059/full/html [Accessed </w:t>
      </w:r>
      <w:r>
        <w:rPr>
          <w:rFonts w:ascii="Arial" w:eastAsia="Arial" w:hAnsi="Arial" w:cs="Arial"/>
        </w:rPr>
        <w:t>2</w:t>
      </w:r>
      <w:r>
        <w:rPr>
          <w:rFonts w:ascii="Arial" w:eastAsia="Arial" w:hAnsi="Arial" w:cs="Arial"/>
        </w:rPr>
        <w:t xml:space="preserve"> Apr. 2022].</w:t>
      </w:r>
    </w:p>
    <w:p w14:paraId="69401FE0"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‌Cattermole, G. (2019). Developing the employee lifecycle to keep top talent | Emerald</w:t>
      </w:r>
    </w:p>
    <w:p w14:paraId="69401FE1"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Insight. </w:t>
      </w:r>
      <w:r>
        <w:rPr>
          <w:rFonts w:ascii="Arial" w:eastAsia="Arial" w:hAnsi="Arial" w:cs="Arial"/>
          <w:i/>
        </w:rPr>
        <w:t>Strategic HR Review</w:t>
      </w:r>
      <w:r>
        <w:rPr>
          <w:rFonts w:ascii="Arial" w:eastAsia="Arial" w:hAnsi="Arial" w:cs="Arial"/>
        </w:rPr>
        <w:t xml:space="preserve">. [online] Available at: https://www.emerald.com/insight/content/doi/10.1108/SHR-05-2019-0042/full/html [Accessed </w:t>
      </w:r>
      <w:r>
        <w:rPr>
          <w:rFonts w:ascii="Arial" w:eastAsia="Arial" w:hAnsi="Arial" w:cs="Arial"/>
        </w:rPr>
        <w:t>3</w:t>
      </w:r>
      <w:r>
        <w:rPr>
          <w:rFonts w:ascii="Arial" w:eastAsia="Arial" w:hAnsi="Arial" w:cs="Arial"/>
        </w:rPr>
        <w:t xml:space="preserve"> Apr. 2022].</w:t>
      </w:r>
    </w:p>
    <w:p w14:paraId="69401FE2"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 xml:space="preserve">‌Chanana, N. and Sangeeta (2020). Employee engagement practices during COVID‐19 </w:t>
      </w:r>
    </w:p>
    <w:p w14:paraId="69401FE3"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lockdown. </w:t>
      </w:r>
      <w:r>
        <w:rPr>
          <w:rFonts w:ascii="Arial" w:eastAsia="Arial" w:hAnsi="Arial" w:cs="Arial"/>
          <w:i/>
        </w:rPr>
        <w:t>Journal of Public Affairs</w:t>
      </w:r>
      <w:r>
        <w:rPr>
          <w:rFonts w:ascii="Arial" w:eastAsia="Arial" w:hAnsi="Arial" w:cs="Arial"/>
        </w:rPr>
        <w:t>, [online] 2</w:t>
      </w:r>
      <w:r>
        <w:rPr>
          <w:rFonts w:ascii="Arial" w:eastAsia="Arial" w:hAnsi="Arial" w:cs="Arial"/>
        </w:rPr>
        <w:t xml:space="preserve">1(4). Available at: https://onlinelibrary.wiley.com/doi/full/10.1002/pa.2508 [Accessed </w:t>
      </w:r>
      <w:r>
        <w:rPr>
          <w:rFonts w:ascii="Arial" w:eastAsia="Arial" w:hAnsi="Arial" w:cs="Arial"/>
        </w:rPr>
        <w:t>3</w:t>
      </w:r>
      <w:r>
        <w:rPr>
          <w:rFonts w:ascii="Arial" w:eastAsia="Arial" w:hAnsi="Arial" w:cs="Arial"/>
        </w:rPr>
        <w:t xml:space="preserve"> Apr. 2022].</w:t>
      </w:r>
    </w:p>
    <w:p w14:paraId="69401FE4"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 Kumar, S.V. and Upasana, D. (2019). </w:t>
      </w:r>
      <w:r>
        <w:rPr>
          <w:rFonts w:ascii="Arial" w:eastAsia="Arial" w:hAnsi="Arial" w:cs="Arial"/>
          <w:i/>
        </w:rPr>
        <w:t>Measuring Employee Engagement: Perspectives</w:t>
      </w:r>
    </w:p>
    <w:p w14:paraId="69401FE5" w14:textId="77777777" w:rsidR="00664A77" w:rsidRDefault="000C43E0">
      <w:pPr>
        <w:pBdr>
          <w:top w:val="nil"/>
          <w:left w:val="nil"/>
          <w:bottom w:val="nil"/>
          <w:right w:val="nil"/>
          <w:between w:val="nil"/>
        </w:pBdr>
        <w:spacing w:after="240" w:line="480" w:lineRule="auto"/>
        <w:ind w:left="720"/>
        <w:rPr>
          <w:rFonts w:ascii="Arial" w:eastAsia="Arial" w:hAnsi="Arial" w:cs="Arial"/>
          <w:i/>
        </w:rPr>
      </w:pPr>
      <w:r>
        <w:rPr>
          <w:rFonts w:ascii="Arial" w:eastAsia="Arial" w:hAnsi="Arial" w:cs="Arial"/>
          <w:i/>
        </w:rPr>
        <w:t>From Literature.</w:t>
      </w:r>
      <w:r>
        <w:rPr>
          <w:rFonts w:ascii="Arial" w:eastAsia="Arial" w:hAnsi="Arial" w:cs="Arial"/>
        </w:rPr>
        <w:t> [online] Ebscohost.com. Available at: https://web.p.ebscohost.com/abstract?direct=true&amp;profile=ehost&amp;scope=site&amp;authtype=crawler&amp;jrnl=0972687X&amp;AN=138079940&amp;h=qkVbNeJkm9xzRcRszHJYGRplmil9vtOMQj05xdMWqpGFQe72Cu4B317AnF4HwY7nIenedmy0U62vlNKo9zTPkA%3d%3d&amp;crl=</w:t>
      </w:r>
      <w:r>
        <w:rPr>
          <w:rFonts w:ascii="Arial" w:eastAsia="Arial" w:hAnsi="Arial" w:cs="Arial"/>
        </w:rPr>
        <w:t xml:space="preserve">c&amp;resultNs=AdminWebAuth&amp;resultLocal=ErrCrlNotAuth&amp;crlhashurl=login.aspx%3fdirect%3dtrue%26profile%3dehost%26scope%3dsite%26authtype%3dcrawler%26jrnl%3d0972687X%26AN%3d138079940 [Accessed </w:t>
      </w:r>
      <w:r>
        <w:rPr>
          <w:rFonts w:ascii="Arial" w:eastAsia="Arial" w:hAnsi="Arial" w:cs="Arial"/>
        </w:rPr>
        <w:t>5</w:t>
      </w:r>
      <w:r>
        <w:rPr>
          <w:rFonts w:ascii="Arial" w:eastAsia="Arial" w:hAnsi="Arial" w:cs="Arial"/>
        </w:rPr>
        <w:t xml:space="preserve"> Apr. 2022].</w:t>
      </w:r>
    </w:p>
    <w:p w14:paraId="69401FE6"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lastRenderedPageBreak/>
        <w:t>‌ Mone, E.M. and London, M. (2018). </w:t>
      </w:r>
      <w:r>
        <w:rPr>
          <w:rFonts w:ascii="Arial" w:eastAsia="Arial" w:hAnsi="Arial" w:cs="Arial"/>
          <w:i/>
        </w:rPr>
        <w:t>Employee Engagement</w:t>
      </w:r>
      <w:r>
        <w:rPr>
          <w:rFonts w:ascii="Arial" w:eastAsia="Arial" w:hAnsi="Arial" w:cs="Arial"/>
          <w:i/>
        </w:rPr>
        <w:t xml:space="preserve"> Through Effective Performance</w:t>
      </w:r>
    </w:p>
    <w:p w14:paraId="69401FE7"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t>Management</w:t>
      </w:r>
      <w:r>
        <w:rPr>
          <w:rFonts w:ascii="Arial" w:eastAsia="Arial" w:hAnsi="Arial" w:cs="Arial"/>
        </w:rPr>
        <w:t>. [online] Second Edition. | New York : Routledge, 2018. | Revised edition: Routledge. Available at: https://www.taylorfrancis.com/books/mono/10.4324/9781315626529/employee-engagement-effective-performance-managemen</w:t>
      </w:r>
      <w:r>
        <w:rPr>
          <w:rFonts w:ascii="Arial" w:eastAsia="Arial" w:hAnsi="Arial" w:cs="Arial"/>
        </w:rPr>
        <w:t xml:space="preserve">t-edward-mone-manuel-london [Accessed </w:t>
      </w:r>
      <w:r>
        <w:rPr>
          <w:rFonts w:ascii="Arial" w:eastAsia="Arial" w:hAnsi="Arial" w:cs="Arial"/>
        </w:rPr>
        <w:t>4</w:t>
      </w:r>
      <w:r>
        <w:rPr>
          <w:rFonts w:ascii="Arial" w:eastAsia="Arial" w:hAnsi="Arial" w:cs="Arial"/>
        </w:rPr>
        <w:t xml:space="preserve"> Apr. 2022].</w:t>
      </w:r>
    </w:p>
    <w:p w14:paraId="69401FE8"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‌Motyka, B. (2018). Employee engagement and performance: a systematic literature</w:t>
      </w:r>
    </w:p>
    <w:p w14:paraId="69401FE9"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review. </w:t>
      </w:r>
      <w:r>
        <w:rPr>
          <w:rFonts w:ascii="Arial" w:eastAsia="Arial" w:hAnsi="Arial" w:cs="Arial"/>
          <w:i/>
        </w:rPr>
        <w:t>International Journal of Management and Economics</w:t>
      </w:r>
      <w:r>
        <w:rPr>
          <w:rFonts w:ascii="Arial" w:eastAsia="Arial" w:hAnsi="Arial" w:cs="Arial"/>
        </w:rPr>
        <w:t>, [online] 54(3), pp.227–244. Available at: https://sciendo.com/es</w:t>
      </w:r>
      <w:r>
        <w:rPr>
          <w:rFonts w:ascii="Arial" w:eastAsia="Arial" w:hAnsi="Arial" w:cs="Arial"/>
        </w:rPr>
        <w:t xml:space="preserve">/article/10.2478/ijme-2018-0018 [Accessed </w:t>
      </w:r>
      <w:r>
        <w:rPr>
          <w:rFonts w:ascii="Arial" w:eastAsia="Arial" w:hAnsi="Arial" w:cs="Arial"/>
        </w:rPr>
        <w:t>1</w:t>
      </w:r>
      <w:r>
        <w:rPr>
          <w:rFonts w:ascii="Arial" w:eastAsia="Arial" w:hAnsi="Arial" w:cs="Arial"/>
        </w:rPr>
        <w:t xml:space="preserve"> Apr. 2022].</w:t>
      </w:r>
    </w:p>
    <w:p w14:paraId="69401FEA"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 Martin, F. and Bolliger, D.U. (2018). Engagement Matters: Student Perceptions on the</w:t>
      </w:r>
    </w:p>
    <w:p w14:paraId="69401FEB"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Importance of Engagement Strategies in the Online Learning Environment. </w:t>
      </w:r>
      <w:r>
        <w:rPr>
          <w:rFonts w:ascii="Arial" w:eastAsia="Arial" w:hAnsi="Arial" w:cs="Arial"/>
          <w:i/>
        </w:rPr>
        <w:t>Online Learning</w:t>
      </w:r>
      <w:r>
        <w:rPr>
          <w:rFonts w:ascii="Arial" w:eastAsia="Arial" w:hAnsi="Arial" w:cs="Arial"/>
        </w:rPr>
        <w:t xml:space="preserve">, [online] 22(1), pp.205–222. Available at: https://eric.ed.gov/?id=EJ1179659 [Accessed </w:t>
      </w:r>
      <w:r>
        <w:rPr>
          <w:rFonts w:ascii="Arial" w:eastAsia="Arial" w:hAnsi="Arial" w:cs="Arial"/>
        </w:rPr>
        <w:t>2</w:t>
      </w:r>
      <w:r>
        <w:rPr>
          <w:rFonts w:ascii="Arial" w:eastAsia="Arial" w:hAnsi="Arial" w:cs="Arial"/>
        </w:rPr>
        <w:t xml:space="preserve"> Apr. 2022].</w:t>
      </w:r>
    </w:p>
    <w:p w14:paraId="69401FEC"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‌Meng, J. and Berger, B.K. (2019). The impact of organizational culture and leadership</w:t>
      </w:r>
    </w:p>
    <w:p w14:paraId="69401FED"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performance on PR professionals’ job satisfaction: Testing the join</w:t>
      </w:r>
      <w:r>
        <w:rPr>
          <w:rFonts w:ascii="Arial" w:eastAsia="Arial" w:hAnsi="Arial" w:cs="Arial"/>
        </w:rPr>
        <w:t>t mediating effects of engagement and trust. </w:t>
      </w:r>
      <w:r>
        <w:rPr>
          <w:rFonts w:ascii="Arial" w:eastAsia="Arial" w:hAnsi="Arial" w:cs="Arial"/>
          <w:i/>
        </w:rPr>
        <w:t>Public Relations Review</w:t>
      </w:r>
      <w:r>
        <w:rPr>
          <w:rFonts w:ascii="Arial" w:eastAsia="Arial" w:hAnsi="Arial" w:cs="Arial"/>
        </w:rPr>
        <w:t xml:space="preserve">, [online] 45(1), pp.64–75. Available at: https://www.sciencedirect.com/science/article/abs/pii/S0363811118303801 [Accessed </w:t>
      </w:r>
      <w:r>
        <w:rPr>
          <w:rFonts w:ascii="Arial" w:eastAsia="Arial" w:hAnsi="Arial" w:cs="Arial"/>
        </w:rPr>
        <w:t>5</w:t>
      </w:r>
      <w:r>
        <w:rPr>
          <w:rFonts w:ascii="Arial" w:eastAsia="Arial" w:hAnsi="Arial" w:cs="Arial"/>
        </w:rPr>
        <w:t xml:space="preserve"> Apr. 2022].</w:t>
      </w:r>
    </w:p>
    <w:p w14:paraId="69401FEE"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‌Pandita, D. and Ray, S. (2013). Talent management</w:t>
      </w:r>
      <w:r>
        <w:rPr>
          <w:rFonts w:ascii="Arial" w:eastAsia="Arial" w:hAnsi="Arial" w:cs="Arial"/>
        </w:rPr>
        <w:t xml:space="preserve"> and employee engagement – a meta</w:t>
      </w:r>
    </w:p>
    <w:p w14:paraId="69401FEF"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analysis of their impact on talent retention | Emerald Insight. </w:t>
      </w:r>
      <w:r>
        <w:rPr>
          <w:rFonts w:ascii="Arial" w:eastAsia="Arial" w:hAnsi="Arial" w:cs="Arial"/>
          <w:i/>
        </w:rPr>
        <w:t>Industrial and Commercial Training</w:t>
      </w:r>
      <w:r>
        <w:rPr>
          <w:rFonts w:ascii="Arial" w:eastAsia="Arial" w:hAnsi="Arial" w:cs="Arial"/>
        </w:rPr>
        <w:t xml:space="preserve">. [online] Available at: </w:t>
      </w:r>
      <w:r>
        <w:rPr>
          <w:rFonts w:ascii="Arial" w:eastAsia="Arial" w:hAnsi="Arial" w:cs="Arial"/>
        </w:rPr>
        <w:lastRenderedPageBreak/>
        <w:t xml:space="preserve">https://www.emerald.com/insight/content/doi/10.1108/ICT-09-2017-0073/full/html [Accessed </w:t>
      </w:r>
      <w:r>
        <w:rPr>
          <w:rFonts w:ascii="Arial" w:eastAsia="Arial" w:hAnsi="Arial" w:cs="Arial"/>
        </w:rPr>
        <w:t>1</w:t>
      </w:r>
      <w:r>
        <w:rPr>
          <w:rFonts w:ascii="Arial" w:eastAsia="Arial" w:hAnsi="Arial" w:cs="Arial"/>
        </w:rPr>
        <w:t xml:space="preserve"> Apr. 2022].‌</w:t>
      </w:r>
    </w:p>
    <w:p w14:paraId="69401FF0" w14:textId="77777777" w:rsidR="00664A77" w:rsidRDefault="000C43E0">
      <w:pPr>
        <w:pBdr>
          <w:top w:val="nil"/>
          <w:left w:val="nil"/>
          <w:bottom w:val="nil"/>
          <w:right w:val="nil"/>
          <w:between w:val="nil"/>
        </w:pBdr>
        <w:spacing w:before="280" w:after="280" w:line="480" w:lineRule="auto"/>
        <w:rPr>
          <w:rFonts w:ascii="Arial" w:eastAsia="Arial" w:hAnsi="Arial" w:cs="Arial"/>
          <w:i/>
        </w:rPr>
      </w:pPr>
      <w:r>
        <w:rPr>
          <w:rFonts w:ascii="Arial" w:eastAsia="Arial" w:hAnsi="Arial" w:cs="Arial"/>
        </w:rPr>
        <w:t>Robertson-Smith, G. and Markwick, C. (2009). </w:t>
      </w:r>
      <w:r>
        <w:rPr>
          <w:rFonts w:ascii="Arial" w:eastAsia="Arial" w:hAnsi="Arial" w:cs="Arial"/>
          <w:i/>
        </w:rPr>
        <w:t>Employee Engagement A review of current</w:t>
      </w:r>
    </w:p>
    <w:p w14:paraId="69401FF1"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i/>
        </w:rPr>
        <w:t>thinking</w:t>
      </w:r>
      <w:r>
        <w:rPr>
          <w:rFonts w:ascii="Arial" w:eastAsia="Arial" w:hAnsi="Arial" w:cs="Arial"/>
        </w:rPr>
        <w:t xml:space="preserve">. [online] Available at: </w:t>
      </w:r>
      <w:hyperlink r:id="rId7">
        <w:r>
          <w:rPr>
            <w:rFonts w:ascii="Arial" w:eastAsia="Arial" w:hAnsi="Arial" w:cs="Arial"/>
            <w:u w:val="single"/>
          </w:rPr>
          <w:t>https://www.employment-studies.co.uk/system/files/resources/files/469.pdf</w:t>
        </w:r>
      </w:hyperlink>
      <w:r>
        <w:rPr>
          <w:rFonts w:ascii="Arial" w:eastAsia="Arial" w:hAnsi="Arial" w:cs="Arial"/>
        </w:rPr>
        <w:t>.</w:t>
      </w:r>
    </w:p>
    <w:p w14:paraId="69401FF2"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Shaik, F.F. and Makhecha, U.P. (2019). Drivers of Employee Engagement in Global Virtual</w:t>
      </w:r>
    </w:p>
    <w:p w14:paraId="69401FF3"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Teams. </w:t>
      </w:r>
      <w:r>
        <w:rPr>
          <w:rFonts w:ascii="Arial" w:eastAsia="Arial" w:hAnsi="Arial" w:cs="Arial"/>
          <w:i/>
        </w:rPr>
        <w:t>Au</w:t>
      </w:r>
      <w:r>
        <w:rPr>
          <w:rFonts w:ascii="Arial" w:eastAsia="Arial" w:hAnsi="Arial" w:cs="Arial"/>
          <w:i/>
        </w:rPr>
        <w:t>stralasian Journal of Information Systems</w:t>
      </w:r>
      <w:r>
        <w:rPr>
          <w:rFonts w:ascii="Arial" w:eastAsia="Arial" w:hAnsi="Arial" w:cs="Arial"/>
        </w:rPr>
        <w:t xml:space="preserve">, [online] 23. Available at: https://journal.acs.org.au/index.php/ajis/article/view/1770 [Accessed </w:t>
      </w:r>
      <w:r>
        <w:rPr>
          <w:rFonts w:ascii="Arial" w:eastAsia="Arial" w:hAnsi="Arial" w:cs="Arial"/>
        </w:rPr>
        <w:t>2</w:t>
      </w:r>
      <w:r>
        <w:rPr>
          <w:rFonts w:ascii="Arial" w:eastAsia="Arial" w:hAnsi="Arial" w:cs="Arial"/>
        </w:rPr>
        <w:t xml:space="preserve"> Apr. 2022].</w:t>
      </w:r>
    </w:p>
    <w:p w14:paraId="69401FF4" w14:textId="77777777" w:rsidR="00664A77" w:rsidRDefault="000C43E0">
      <w:pPr>
        <w:pBdr>
          <w:top w:val="nil"/>
          <w:left w:val="nil"/>
          <w:bottom w:val="nil"/>
          <w:right w:val="nil"/>
          <w:between w:val="nil"/>
        </w:pBdr>
        <w:spacing w:before="280" w:after="280" w:line="480" w:lineRule="auto"/>
        <w:rPr>
          <w:rFonts w:ascii="Arial" w:eastAsia="Arial" w:hAnsi="Arial" w:cs="Arial"/>
          <w:i/>
        </w:rPr>
      </w:pPr>
      <w:r>
        <w:rPr>
          <w:rFonts w:ascii="Arial" w:eastAsia="Arial" w:hAnsi="Arial" w:cs="Arial"/>
        </w:rPr>
        <w:t>‌Tran, Q. (n.d.). </w:t>
      </w:r>
      <w:r>
        <w:rPr>
          <w:rFonts w:ascii="Arial" w:eastAsia="Arial" w:hAnsi="Arial" w:cs="Arial"/>
          <w:i/>
        </w:rPr>
        <w:t>CORE View metadata, citation and similar papers at core.ac.uk provided by</w:t>
      </w:r>
    </w:p>
    <w:p w14:paraId="69401FF5"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i/>
        </w:rPr>
        <w:t>National Library of Finland DSpace Services</w:t>
      </w:r>
      <w:r>
        <w:rPr>
          <w:rFonts w:ascii="Arial" w:eastAsia="Arial" w:hAnsi="Arial" w:cs="Arial"/>
        </w:rPr>
        <w:t xml:space="preserve">. [online] Available at: </w:t>
      </w:r>
      <w:hyperlink r:id="rId8">
        <w:r>
          <w:rPr>
            <w:rFonts w:ascii="Arial" w:eastAsia="Arial" w:hAnsi="Arial" w:cs="Arial"/>
            <w:u w:val="single"/>
          </w:rPr>
          <w:t>https://core.ac.uk/download/pdf/153495565.pdf</w:t>
        </w:r>
      </w:hyperlink>
      <w:r>
        <w:rPr>
          <w:rFonts w:ascii="Arial" w:eastAsia="Arial" w:hAnsi="Arial" w:cs="Arial"/>
        </w:rPr>
        <w:t>.</w:t>
      </w:r>
    </w:p>
    <w:p w14:paraId="69401FF6"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Turner, P. (2020). </w:t>
      </w:r>
      <w:r>
        <w:rPr>
          <w:rFonts w:ascii="Arial" w:eastAsia="Arial" w:hAnsi="Arial" w:cs="Arial"/>
          <w:i/>
        </w:rPr>
        <w:t>Employee Engagement in Contemporary Organizations</w:t>
      </w:r>
      <w:r>
        <w:rPr>
          <w:rFonts w:ascii="Arial" w:eastAsia="Arial" w:hAnsi="Arial" w:cs="Arial"/>
        </w:rPr>
        <w:t>. [onlin</w:t>
      </w:r>
      <w:r>
        <w:rPr>
          <w:rFonts w:ascii="Arial" w:eastAsia="Arial" w:hAnsi="Arial" w:cs="Arial"/>
        </w:rPr>
        <w:t>e] Cham:</w:t>
      </w:r>
    </w:p>
    <w:p w14:paraId="69401FF7"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 xml:space="preserve">Springer International Publishing. Available at: https://link.springer.com/book/10.1007/978-3-030-36387-1?noAccess=true [Accessed </w:t>
      </w:r>
      <w:r>
        <w:rPr>
          <w:rFonts w:ascii="Arial" w:eastAsia="Arial" w:hAnsi="Arial" w:cs="Arial"/>
        </w:rPr>
        <w:t>4</w:t>
      </w:r>
      <w:r>
        <w:rPr>
          <w:rFonts w:ascii="Arial" w:eastAsia="Arial" w:hAnsi="Arial" w:cs="Arial"/>
        </w:rPr>
        <w:t xml:space="preserve"> Apr. 2022].</w:t>
      </w:r>
    </w:p>
    <w:p w14:paraId="69401FF8"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Vance, R. (2016). </w:t>
      </w:r>
      <w:r>
        <w:rPr>
          <w:rFonts w:ascii="Arial" w:eastAsia="Arial" w:hAnsi="Arial" w:cs="Arial"/>
          <w:i/>
        </w:rPr>
        <w:t>Employee Engagement and Commitment A guide to understanding,</w:t>
      </w:r>
    </w:p>
    <w:p w14:paraId="69401FF9"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t xml:space="preserve">measuring and </w:t>
      </w:r>
      <w:r>
        <w:rPr>
          <w:rFonts w:ascii="Arial" w:eastAsia="Arial" w:hAnsi="Arial" w:cs="Arial"/>
          <w:i/>
        </w:rPr>
        <w:t>increasing engagement in your organization</w:t>
      </w:r>
      <w:r>
        <w:rPr>
          <w:rFonts w:ascii="Arial" w:eastAsia="Arial" w:hAnsi="Arial" w:cs="Arial"/>
        </w:rPr>
        <w:t xml:space="preserve">. [online] Available at: </w:t>
      </w:r>
      <w:hyperlink r:id="rId9">
        <w:r>
          <w:rPr>
            <w:rFonts w:ascii="Arial" w:eastAsia="Arial" w:hAnsi="Arial" w:cs="Arial"/>
            <w:u w:val="single"/>
          </w:rPr>
          <w:t>https://www.shrm.org/hr-today/trends-and-forecasting/special-reports-and-expert-views/Documents/Employee-Engagement-Commitment.pdf</w:t>
        </w:r>
      </w:hyperlink>
      <w:r>
        <w:rPr>
          <w:rFonts w:ascii="Arial" w:eastAsia="Arial" w:hAnsi="Arial" w:cs="Arial"/>
        </w:rPr>
        <w:t>.</w:t>
      </w:r>
    </w:p>
    <w:p w14:paraId="69401FFA"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Zameer, H., Wang, Y., Yasmeen, H., Mofrad, A.A. and Waheed, A. (2018). Corporate image</w:t>
      </w:r>
    </w:p>
    <w:p w14:paraId="69401FFB"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lastRenderedPageBreak/>
        <w:t>and customer satisfaction by virtue o</w:t>
      </w:r>
      <w:r>
        <w:rPr>
          <w:rFonts w:ascii="Arial" w:eastAsia="Arial" w:hAnsi="Arial" w:cs="Arial"/>
        </w:rPr>
        <w:t>f employee engagement. </w:t>
      </w:r>
      <w:r>
        <w:rPr>
          <w:rFonts w:ascii="Arial" w:eastAsia="Arial" w:hAnsi="Arial" w:cs="Arial"/>
          <w:i/>
        </w:rPr>
        <w:t>Human Systems Management</w:t>
      </w:r>
      <w:r>
        <w:rPr>
          <w:rFonts w:ascii="Arial" w:eastAsia="Arial" w:hAnsi="Arial" w:cs="Arial"/>
        </w:rPr>
        <w:t xml:space="preserve">, [online] 37(2), pp.233–248. Available at: https://content.iospress.com/articles/human-systems-management/hsm17174 [Accessed </w:t>
      </w:r>
      <w:r>
        <w:rPr>
          <w:rFonts w:ascii="Arial" w:eastAsia="Arial" w:hAnsi="Arial" w:cs="Arial"/>
        </w:rPr>
        <w:t>5</w:t>
      </w:r>
      <w:r>
        <w:rPr>
          <w:rFonts w:ascii="Arial" w:eastAsia="Arial" w:hAnsi="Arial" w:cs="Arial"/>
        </w:rPr>
        <w:t xml:space="preserve"> Apr. 2022].</w:t>
      </w:r>
    </w:p>
    <w:p w14:paraId="69401FFC"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Zappalà,Salvatore and Mattera,Luisa (2022). Ethical leadership and se</w:t>
      </w:r>
      <w:r>
        <w:rPr>
          <w:rFonts w:ascii="Arial" w:eastAsia="Arial" w:hAnsi="Arial" w:cs="Arial"/>
        </w:rPr>
        <w:t>rvice orientation in</w:t>
      </w:r>
    </w:p>
    <w:p w14:paraId="69401FFD"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social care workers: Team engagement and service climate as sequential mediators. </w:t>
      </w:r>
      <w:r>
        <w:rPr>
          <w:rFonts w:ascii="Arial" w:eastAsia="Arial" w:hAnsi="Arial" w:cs="Arial"/>
          <w:i/>
        </w:rPr>
        <w:t>Psicologia sociale</w:t>
      </w:r>
      <w:r>
        <w:rPr>
          <w:rFonts w:ascii="Arial" w:eastAsia="Arial" w:hAnsi="Arial" w:cs="Arial"/>
        </w:rPr>
        <w:t xml:space="preserve">, [online] XVI(1), pp.75–97. Available at: https://www.rivisteweb.it/doi/10.1482/98845 [Accessed </w:t>
      </w:r>
      <w:r>
        <w:rPr>
          <w:rFonts w:ascii="Arial" w:eastAsia="Arial" w:hAnsi="Arial" w:cs="Arial"/>
        </w:rPr>
        <w:t>5</w:t>
      </w:r>
      <w:r>
        <w:rPr>
          <w:rFonts w:ascii="Arial" w:eastAsia="Arial" w:hAnsi="Arial" w:cs="Arial"/>
        </w:rPr>
        <w:t xml:space="preserve"> Apr. 2022].</w:t>
      </w:r>
    </w:p>
    <w:p w14:paraId="69401FFE"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Young, H.R., Glerum, D.R</w:t>
      </w:r>
      <w:r>
        <w:rPr>
          <w:rFonts w:ascii="Arial" w:eastAsia="Arial" w:hAnsi="Arial" w:cs="Arial"/>
        </w:rPr>
        <w:t>., Wang, W. and Joseph, D.L. (2018). Who are the most engaged</w:t>
      </w:r>
    </w:p>
    <w:p w14:paraId="69401FFF"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at work? A meta-analysis of personality and employee engagement. </w:t>
      </w:r>
      <w:r>
        <w:rPr>
          <w:rFonts w:ascii="Arial" w:eastAsia="Arial" w:hAnsi="Arial" w:cs="Arial"/>
          <w:i/>
        </w:rPr>
        <w:t>Journal of Organizational Behavior</w:t>
      </w:r>
      <w:r>
        <w:rPr>
          <w:rFonts w:ascii="Arial" w:eastAsia="Arial" w:hAnsi="Arial" w:cs="Arial"/>
        </w:rPr>
        <w:t>, [online] 39(10), pp.1330–1346. Available at: https://onlinelibrary.wiley.com/doi/abs/10.1002/</w:t>
      </w:r>
      <w:r>
        <w:rPr>
          <w:rFonts w:ascii="Arial" w:eastAsia="Arial" w:hAnsi="Arial" w:cs="Arial"/>
        </w:rPr>
        <w:t xml:space="preserve">job.2303 [Accessed </w:t>
      </w:r>
      <w:r>
        <w:rPr>
          <w:rFonts w:ascii="Arial" w:eastAsia="Arial" w:hAnsi="Arial" w:cs="Arial"/>
        </w:rPr>
        <w:t xml:space="preserve">5 </w:t>
      </w:r>
      <w:r>
        <w:rPr>
          <w:rFonts w:ascii="Arial" w:eastAsia="Arial" w:hAnsi="Arial" w:cs="Arial"/>
        </w:rPr>
        <w:t>Apr. 2022].</w:t>
      </w:r>
    </w:p>
    <w:sectPr w:rsidR="00664A77">
      <w:head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2510C" w14:textId="77777777" w:rsidR="000C43E0" w:rsidRDefault="000C43E0">
      <w:pPr>
        <w:spacing w:after="0" w:line="240" w:lineRule="auto"/>
      </w:pPr>
      <w:r>
        <w:separator/>
      </w:r>
    </w:p>
  </w:endnote>
  <w:endnote w:type="continuationSeparator" w:id="0">
    <w:p w14:paraId="2D9E6480" w14:textId="77777777" w:rsidR="000C43E0" w:rsidRDefault="000C4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7EAC7" w14:textId="77777777" w:rsidR="000C43E0" w:rsidRDefault="000C43E0">
      <w:pPr>
        <w:spacing w:after="0" w:line="240" w:lineRule="auto"/>
      </w:pPr>
      <w:r>
        <w:separator/>
      </w:r>
    </w:p>
  </w:footnote>
  <w:footnote w:type="continuationSeparator" w:id="0">
    <w:p w14:paraId="742589AA" w14:textId="77777777" w:rsidR="000C43E0" w:rsidRDefault="000C43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02000" w14:textId="4E5B06FE" w:rsidR="00664A77" w:rsidRDefault="000C43E0">
    <w:pPr>
      <w:pBdr>
        <w:top w:val="nil"/>
        <w:left w:val="nil"/>
        <w:bottom w:val="nil"/>
        <w:right w:val="nil"/>
        <w:between w:val="nil"/>
      </w:pBdr>
      <w:tabs>
        <w:tab w:val="center" w:pos="4513"/>
        <w:tab w:val="right" w:pos="9026"/>
      </w:tabs>
      <w:spacing w:after="0" w:line="240" w:lineRule="auto"/>
      <w:jc w:val="right"/>
      <w:rPr>
        <w:color w:val="000000"/>
      </w:rPr>
    </w:pPr>
    <w:r>
      <w:rPr>
        <w:color w:val="000000"/>
      </w:rPr>
      <w:t>Managing People</w:t>
    </w:r>
    <w:r>
      <w:rPr>
        <w:color w:val="000000"/>
      </w:rPr>
      <w:fldChar w:fldCharType="begin"/>
    </w:r>
    <w:r>
      <w:rPr>
        <w:color w:val="000000"/>
      </w:rPr>
      <w:instrText>PAGE</w:instrText>
    </w:r>
    <w:r>
      <w:rPr>
        <w:color w:val="000000"/>
      </w:rPr>
      <w:fldChar w:fldCharType="separate"/>
    </w:r>
    <w:r w:rsidR="00142F46">
      <w:rPr>
        <w:noProof/>
        <w:color w:val="000000"/>
      </w:rPr>
      <w:t>1</w:t>
    </w:r>
    <w:r>
      <w:rPr>
        <w:color w:val="000000"/>
      </w:rPr>
      <w:fldChar w:fldCharType="end"/>
    </w:r>
  </w:p>
  <w:p w14:paraId="69402001" w14:textId="77777777" w:rsidR="00664A77" w:rsidRDefault="00664A7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D54AB7"/>
    <w:multiLevelType w:val="hybridMultilevel"/>
    <w:tmpl w:val="34540754"/>
    <w:lvl w:ilvl="0" w:tplc="75F6C320">
      <w:start w:val="1"/>
      <w:numFmt w:val="decimal"/>
      <w:lvlText w:val="%1."/>
      <w:lvlJc w:val="left"/>
      <w:pPr>
        <w:ind w:left="720" w:hanging="360"/>
      </w:pPr>
    </w:lvl>
    <w:lvl w:ilvl="1" w:tplc="1F7E8AF6">
      <w:start w:val="1"/>
      <w:numFmt w:val="decimal"/>
      <w:lvlText w:val="%2."/>
      <w:lvlJc w:val="left"/>
      <w:pPr>
        <w:ind w:left="1440" w:hanging="1080"/>
      </w:pPr>
    </w:lvl>
    <w:lvl w:ilvl="2" w:tplc="9C4ECFAC">
      <w:start w:val="1"/>
      <w:numFmt w:val="decimal"/>
      <w:lvlText w:val="%3."/>
      <w:lvlJc w:val="left"/>
      <w:pPr>
        <w:ind w:left="2160" w:hanging="1980"/>
      </w:pPr>
    </w:lvl>
    <w:lvl w:ilvl="3" w:tplc="A91895DE">
      <w:start w:val="1"/>
      <w:numFmt w:val="decimal"/>
      <w:lvlText w:val="%4."/>
      <w:lvlJc w:val="left"/>
      <w:pPr>
        <w:ind w:left="2880" w:hanging="2520"/>
      </w:pPr>
    </w:lvl>
    <w:lvl w:ilvl="4" w:tplc="0564296A">
      <w:start w:val="1"/>
      <w:numFmt w:val="decimal"/>
      <w:lvlText w:val="%5."/>
      <w:lvlJc w:val="left"/>
      <w:pPr>
        <w:ind w:left="3600" w:hanging="3240"/>
      </w:pPr>
    </w:lvl>
    <w:lvl w:ilvl="5" w:tplc="48622BBE">
      <w:start w:val="1"/>
      <w:numFmt w:val="decimal"/>
      <w:lvlText w:val="%6."/>
      <w:lvlJc w:val="left"/>
      <w:pPr>
        <w:ind w:left="4320" w:hanging="4140"/>
      </w:pPr>
    </w:lvl>
    <w:lvl w:ilvl="6" w:tplc="6CDE0AB2">
      <w:start w:val="1"/>
      <w:numFmt w:val="decimal"/>
      <w:lvlText w:val="%7."/>
      <w:lvlJc w:val="left"/>
      <w:pPr>
        <w:ind w:left="5040" w:hanging="4680"/>
      </w:pPr>
    </w:lvl>
    <w:lvl w:ilvl="7" w:tplc="B92668D6">
      <w:start w:val="1"/>
      <w:numFmt w:val="decimal"/>
      <w:lvlText w:val="%8."/>
      <w:lvlJc w:val="left"/>
      <w:pPr>
        <w:ind w:left="5760" w:hanging="5400"/>
      </w:pPr>
    </w:lvl>
    <w:lvl w:ilvl="8" w:tplc="3E582518">
      <w:start w:val="1"/>
      <w:numFmt w:val="decimal"/>
      <w:lvlText w:val="%9."/>
      <w:lvlJc w:val="left"/>
      <w:pPr>
        <w:ind w:left="6480" w:hanging="6300"/>
      </w:pPr>
    </w:lvl>
  </w:abstractNum>
  <w:abstractNum w:abstractNumId="1" w15:restartNumberingAfterBreak="0">
    <w:nsid w:val="5C033227"/>
    <w:multiLevelType w:val="hybridMultilevel"/>
    <w:tmpl w:val="773A7486"/>
    <w:lvl w:ilvl="0" w:tplc="AB707686">
      <w:numFmt w:val="bullet"/>
      <w:lvlText w:val=""/>
      <w:lvlJc w:val="left"/>
      <w:pPr>
        <w:ind w:left="720" w:hanging="360"/>
      </w:pPr>
      <w:rPr>
        <w:rFonts w:ascii="Symbol" w:hAnsi="Symbol"/>
      </w:rPr>
    </w:lvl>
    <w:lvl w:ilvl="1" w:tplc="617AFD36">
      <w:numFmt w:val="bullet"/>
      <w:lvlText w:val="o"/>
      <w:lvlJc w:val="left"/>
      <w:pPr>
        <w:ind w:left="1440" w:hanging="1080"/>
      </w:pPr>
      <w:rPr>
        <w:rFonts w:ascii="Courier New" w:hAnsi="Courier New"/>
      </w:rPr>
    </w:lvl>
    <w:lvl w:ilvl="2" w:tplc="89F052E4">
      <w:numFmt w:val="bullet"/>
      <w:lvlText w:val=""/>
      <w:lvlJc w:val="left"/>
      <w:pPr>
        <w:ind w:left="2160" w:hanging="1800"/>
      </w:pPr>
    </w:lvl>
    <w:lvl w:ilvl="3" w:tplc="48B0F870">
      <w:numFmt w:val="bullet"/>
      <w:lvlText w:val=""/>
      <w:lvlJc w:val="left"/>
      <w:pPr>
        <w:ind w:left="2880" w:hanging="2520"/>
      </w:pPr>
      <w:rPr>
        <w:rFonts w:ascii="Symbol" w:hAnsi="Symbol"/>
      </w:rPr>
    </w:lvl>
    <w:lvl w:ilvl="4" w:tplc="7EF622B0">
      <w:numFmt w:val="bullet"/>
      <w:lvlText w:val="o"/>
      <w:lvlJc w:val="left"/>
      <w:pPr>
        <w:ind w:left="3600" w:hanging="3240"/>
      </w:pPr>
      <w:rPr>
        <w:rFonts w:ascii="Courier New" w:hAnsi="Courier New"/>
      </w:rPr>
    </w:lvl>
    <w:lvl w:ilvl="5" w:tplc="236C3D3C">
      <w:numFmt w:val="bullet"/>
      <w:lvlText w:val=""/>
      <w:lvlJc w:val="left"/>
      <w:pPr>
        <w:ind w:left="4320" w:hanging="3960"/>
      </w:pPr>
    </w:lvl>
    <w:lvl w:ilvl="6" w:tplc="8CF64508">
      <w:numFmt w:val="bullet"/>
      <w:lvlText w:val=""/>
      <w:lvlJc w:val="left"/>
      <w:pPr>
        <w:ind w:left="5040" w:hanging="4680"/>
      </w:pPr>
      <w:rPr>
        <w:rFonts w:ascii="Symbol" w:hAnsi="Symbol"/>
      </w:rPr>
    </w:lvl>
    <w:lvl w:ilvl="7" w:tplc="B2C477B6">
      <w:numFmt w:val="bullet"/>
      <w:lvlText w:val="o"/>
      <w:lvlJc w:val="left"/>
      <w:pPr>
        <w:ind w:left="5760" w:hanging="5400"/>
      </w:pPr>
      <w:rPr>
        <w:rFonts w:ascii="Courier New" w:hAnsi="Courier New"/>
      </w:rPr>
    </w:lvl>
    <w:lvl w:ilvl="8" w:tplc="0C9AB9AC">
      <w:numFmt w:val="bullet"/>
      <w:lvlText w:val=""/>
      <w:lvlJc w:val="left"/>
      <w:pPr>
        <w:ind w:left="6480" w:hanging="61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4A77"/>
    <w:rsid w:val="000C43E0"/>
    <w:rsid w:val="00142F46"/>
    <w:rsid w:val="001C25DB"/>
    <w:rsid w:val="004A23B0"/>
    <w:rsid w:val="005C03DA"/>
    <w:rsid w:val="00664A77"/>
    <w:rsid w:val="007E3486"/>
    <w:rsid w:val="00802AC3"/>
    <w:rsid w:val="008864E7"/>
    <w:rsid w:val="0094431D"/>
    <w:rsid w:val="009B53EB"/>
    <w:rsid w:val="00A36413"/>
    <w:rsid w:val="00A97C6B"/>
    <w:rsid w:val="00B51790"/>
    <w:rsid w:val="00BE309A"/>
    <w:rsid w:val="00C30855"/>
    <w:rsid w:val="00E426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01F7A"/>
  <w15:docId w15:val="{257BBEA7-C7BE-456D-9146-57DBAD682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spacing w:before="480"/>
      <w:outlineLvl w:val="0"/>
    </w:pPr>
    <w:rPr>
      <w:b/>
      <w:color w:val="345A8A"/>
      <w:sz w:val="32"/>
      <w:szCs w:val="32"/>
    </w:rPr>
  </w:style>
  <w:style w:type="paragraph" w:styleId="2">
    <w:name w:val="heading 2"/>
    <w:basedOn w:val="a"/>
    <w:next w:val="a"/>
    <w:uiPriority w:val="9"/>
    <w:unhideWhenUsed/>
    <w:qFormat/>
    <w:pPr>
      <w:spacing w:before="200"/>
      <w:outlineLvl w:val="1"/>
    </w:pPr>
    <w:rPr>
      <w:b/>
      <w:color w:val="4F81BD"/>
      <w:sz w:val="26"/>
      <w:szCs w:val="26"/>
    </w:rPr>
  </w:style>
  <w:style w:type="paragraph" w:styleId="3">
    <w:name w:val="heading 3"/>
    <w:basedOn w:val="a"/>
    <w:next w:val="a"/>
    <w:uiPriority w:val="9"/>
    <w:semiHidden/>
    <w:unhideWhenUsed/>
    <w:qFormat/>
    <w:pPr>
      <w:spacing w:before="200"/>
      <w:outlineLvl w:val="2"/>
    </w:pPr>
    <w:rPr>
      <w:b/>
      <w:color w:val="4F81BD"/>
      <w:sz w:val="24"/>
      <w:szCs w:val="24"/>
    </w:rPr>
  </w:style>
  <w:style w:type="paragraph" w:styleId="4">
    <w:name w:val="heading 4"/>
    <w:basedOn w:val="a"/>
    <w:next w:val="a"/>
    <w:uiPriority w:val="9"/>
    <w:semiHidden/>
    <w:unhideWhenUsed/>
    <w:qFormat/>
    <w:pPr>
      <w:keepNext/>
      <w:keepLines/>
      <w:spacing w:before="240" w:after="40"/>
      <w:outlineLvl w:val="3"/>
    </w:pPr>
    <w:rPr>
      <w:b/>
      <w:sz w:val="24"/>
      <w:szCs w:val="24"/>
    </w:rPr>
  </w:style>
  <w:style w:type="paragraph" w:styleId="5">
    <w:name w:val="heading 5"/>
    <w:basedOn w:val="a"/>
    <w:next w:val="a"/>
    <w:uiPriority w:val="9"/>
    <w:semiHidden/>
    <w:unhideWhenUsed/>
    <w:qFormat/>
    <w:pPr>
      <w:keepNext/>
      <w:keepLines/>
      <w:spacing w:before="220" w:after="40"/>
      <w:outlineLvl w:val="4"/>
    </w:pPr>
    <w:rPr>
      <w:b/>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spacing w:after="300"/>
    </w:pPr>
    <w:rPr>
      <w:color w:val="17365D"/>
      <w:sz w:val="52"/>
      <w:szCs w:val="52"/>
    </w:rPr>
  </w:style>
  <w:style w:type="paragraph" w:styleId="a4">
    <w:name w:val="Subtitle"/>
    <w:basedOn w:val="a"/>
    <w:next w:val="a"/>
    <w:uiPriority w:val="11"/>
    <w:qFormat/>
    <w:rPr>
      <w:i/>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re.ac.uk/download/pdf/153495565.pdf" TargetMode="External"/><Relationship Id="rId3" Type="http://schemas.openxmlformats.org/officeDocument/2006/relationships/settings" Target="settings.xml"/><Relationship Id="rId7" Type="http://schemas.openxmlformats.org/officeDocument/2006/relationships/hyperlink" Target="https://www.employment-studies.co.uk/system/files/resources/files/469.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hrm.org/hr-today/trends-and-forecasting/special-reports-and-expert-views/Documents/Employee-Engagement-Commit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15</Pages>
  <Words>3194</Words>
  <Characters>18209</Characters>
  <Application>Microsoft Office Word</Application>
  <DocSecurity>0</DocSecurity>
  <Lines>151</Lines>
  <Paragraphs>42</Paragraphs>
  <ScaleCrop>false</ScaleCrop>
  <Company/>
  <LinksUpToDate>false</LinksUpToDate>
  <CharactersWithSpaces>21361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Mersinkov</cp:lastModifiedBy>
  <cp:revision>16</cp:revision>
  <dcterms:created xsi:type="dcterms:W3CDTF">2022-04-14T19:43:00Z</dcterms:created>
  <dcterms:modified xsi:type="dcterms:W3CDTF">2022-04-14T20:02:00Z</dcterms:modified>
</cp:coreProperties>
</file>