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2CD6E" w14:textId="77777777" w:rsidR="004B6DC0" w:rsidRDefault="004B6DC0" w:rsidP="004B6DC0">
      <w:pPr>
        <w:jc w:val="center"/>
        <w:rPr>
          <w:b/>
          <w:sz w:val="36"/>
          <w:szCs w:val="36"/>
        </w:rPr>
      </w:pPr>
      <w:r w:rsidRPr="004B6DC0">
        <w:rPr>
          <w:b/>
          <w:sz w:val="36"/>
          <w:szCs w:val="36"/>
        </w:rPr>
        <w:t>International Financial Management</w:t>
      </w:r>
    </w:p>
    <w:p w14:paraId="4E2FBA0B" w14:textId="77777777" w:rsidR="004B6DC0" w:rsidRDefault="004B6DC0" w:rsidP="004B6DC0">
      <w:pPr>
        <w:jc w:val="center"/>
        <w:rPr>
          <w:b/>
          <w:sz w:val="36"/>
          <w:szCs w:val="36"/>
        </w:rPr>
      </w:pPr>
      <w:r w:rsidRPr="004B6DC0">
        <w:rPr>
          <w:b/>
          <w:sz w:val="36"/>
          <w:szCs w:val="36"/>
        </w:rPr>
        <w:t>LCBB6002</w:t>
      </w:r>
    </w:p>
    <w:p w14:paraId="180123F8" w14:textId="77777777" w:rsidR="004B6DC0" w:rsidRDefault="004B6DC0">
      <w:pPr>
        <w:rPr>
          <w:b/>
          <w:sz w:val="36"/>
          <w:szCs w:val="36"/>
        </w:rPr>
      </w:pPr>
    </w:p>
    <w:p w14:paraId="7ECDB11D" w14:textId="77777777" w:rsidR="004B6DC0" w:rsidRDefault="004B6DC0">
      <w:pPr>
        <w:rPr>
          <w:b/>
          <w:sz w:val="36"/>
          <w:szCs w:val="36"/>
        </w:rPr>
      </w:pPr>
    </w:p>
    <w:p w14:paraId="3410A570" w14:textId="77777777" w:rsidR="004B6DC0" w:rsidRDefault="004B6DC0">
      <w:pPr>
        <w:rPr>
          <w:b/>
          <w:sz w:val="36"/>
          <w:szCs w:val="36"/>
        </w:rPr>
      </w:pPr>
    </w:p>
    <w:p w14:paraId="7DA795EC" w14:textId="77777777" w:rsidR="004B6DC0" w:rsidRDefault="004B6DC0">
      <w:pPr>
        <w:rPr>
          <w:b/>
          <w:sz w:val="36"/>
          <w:szCs w:val="36"/>
        </w:rPr>
      </w:pPr>
    </w:p>
    <w:p w14:paraId="212F6F94" w14:textId="77777777" w:rsidR="004B6DC0" w:rsidRDefault="004B6DC0">
      <w:pPr>
        <w:rPr>
          <w:b/>
          <w:sz w:val="36"/>
          <w:szCs w:val="36"/>
        </w:rPr>
      </w:pPr>
    </w:p>
    <w:p w14:paraId="33D84986" w14:textId="77777777" w:rsidR="004B6DC0" w:rsidRDefault="004B6DC0">
      <w:pPr>
        <w:rPr>
          <w:b/>
          <w:sz w:val="36"/>
          <w:szCs w:val="36"/>
        </w:rPr>
      </w:pPr>
    </w:p>
    <w:p w14:paraId="0B895B78" w14:textId="77777777" w:rsidR="004B6DC0" w:rsidRDefault="004B6DC0">
      <w:pPr>
        <w:rPr>
          <w:b/>
          <w:sz w:val="36"/>
          <w:szCs w:val="36"/>
        </w:rPr>
      </w:pPr>
    </w:p>
    <w:p w14:paraId="2F86D081" w14:textId="77777777" w:rsidR="004B6DC0" w:rsidRDefault="004B6DC0">
      <w:pPr>
        <w:rPr>
          <w:b/>
          <w:sz w:val="36"/>
          <w:szCs w:val="36"/>
        </w:rPr>
      </w:pPr>
    </w:p>
    <w:p w14:paraId="61F9AA65" w14:textId="77777777" w:rsidR="004B6DC0" w:rsidRDefault="004B6DC0" w:rsidP="004B6DC0"/>
    <w:p w14:paraId="420AD41C" w14:textId="77777777" w:rsidR="004B6DC0" w:rsidRDefault="004B6DC0" w:rsidP="004B6DC0"/>
    <w:p w14:paraId="347813D5" w14:textId="77777777" w:rsidR="004B6DC0" w:rsidRDefault="004B6DC0" w:rsidP="004B6DC0"/>
    <w:p w14:paraId="7D9DAE2A" w14:textId="77777777" w:rsidR="004B6DC0" w:rsidRDefault="004B6DC0" w:rsidP="004B6DC0"/>
    <w:p w14:paraId="252F6EA8" w14:textId="77777777" w:rsidR="004B6DC0" w:rsidRDefault="004B6DC0" w:rsidP="004B6DC0"/>
    <w:p w14:paraId="27B4DE00" w14:textId="3E1E2203" w:rsidR="004B6DC0" w:rsidRDefault="004B6DC0" w:rsidP="004B6DC0">
      <w:r>
        <w:t>Student name</w:t>
      </w:r>
      <w:r w:rsidR="00165169">
        <w:t>: Cristina Solomon</w:t>
      </w:r>
    </w:p>
    <w:p w14:paraId="42878FE0" w14:textId="77777777" w:rsidR="00165169" w:rsidRDefault="004B6DC0" w:rsidP="004B6DC0">
      <w:r>
        <w:t xml:space="preserve">Student </w:t>
      </w:r>
      <w:r w:rsidR="00165169">
        <w:t>ID: 2025748</w:t>
      </w:r>
    </w:p>
    <w:p w14:paraId="60B57DF7" w14:textId="3DA7ACEF" w:rsidR="00A42C67" w:rsidRDefault="00165169" w:rsidP="004B6DC0">
      <w:r w:rsidRPr="00165169">
        <w:t>Module Leader: Dr Mudassar Hasan</w:t>
      </w:r>
      <w:r w:rsidR="00A42C67">
        <w:br w:type="page"/>
      </w:r>
    </w:p>
    <w:p w14:paraId="2DAE5003" w14:textId="77777777" w:rsidR="00A42C67" w:rsidRPr="00A42C67" w:rsidRDefault="00A42C67" w:rsidP="00A42C67">
      <w:pPr>
        <w:pStyle w:val="Heading1"/>
      </w:pPr>
      <w:bookmarkStart w:id="0" w:name="_Toc199873788"/>
      <w:r>
        <w:lastRenderedPageBreak/>
        <w:t>Executive summary</w:t>
      </w:r>
      <w:bookmarkEnd w:id="0"/>
      <w:r>
        <w:t xml:space="preserve"> </w:t>
      </w:r>
    </w:p>
    <w:p w14:paraId="1340506B" w14:textId="77777777" w:rsidR="00A42C67" w:rsidRDefault="00A42C67" w:rsidP="00A42C67">
      <w:r w:rsidRPr="00A42C67">
        <w:t>This report gives guidance on financial and governance matters to ABC Support Services Ltd, a UK company owned by a family that plans to be listed on the Alternative Investment Market (AIM). After the listing, family members will own 30% of the company, and they will need to ensure robust corporate governance to please new investors and keep control. The report assesses how the importance of corporate governance and agency theory affects changes to a company going public, such as using dual-class shares and making shareholder agreements. It also promotes fairness and transparency in the pay of directors using independent remuneration committees and incentives that depend on performance. Also, the report weighs how the rules and practices in the UK, Shanghai and the Netherlands differ to analyse possible choices of markets for listing. Financial experts consider the UK the best choice because of its well-known regulations and high governance standards. Recommendations are to strengthen how the business is managed, maintain a strong hold on its future and fit in with AIM’s standards to secure the company’s longevity after going public.</w:t>
      </w:r>
    </w:p>
    <w:p w14:paraId="2559DDBB" w14:textId="77777777" w:rsidR="00A42C67" w:rsidRDefault="00A42C67">
      <w:r>
        <w:br w:type="page"/>
      </w:r>
    </w:p>
    <w:sdt>
      <w:sdtPr>
        <w:rPr>
          <w:rFonts w:ascii="Times New Roman" w:eastAsiaTheme="minorHAnsi" w:hAnsi="Times New Roman" w:cs="Times New Roman"/>
          <w:color w:val="auto"/>
          <w:sz w:val="24"/>
          <w:szCs w:val="24"/>
        </w:rPr>
        <w:id w:val="1412439586"/>
        <w:docPartObj>
          <w:docPartGallery w:val="Table of Contents"/>
          <w:docPartUnique/>
        </w:docPartObj>
      </w:sdtPr>
      <w:sdtEndPr>
        <w:rPr>
          <w:b/>
          <w:bCs/>
          <w:noProof/>
        </w:rPr>
      </w:sdtEndPr>
      <w:sdtContent>
        <w:p w14:paraId="039C2601" w14:textId="77777777" w:rsidR="004B6DC0" w:rsidRDefault="004B6DC0">
          <w:pPr>
            <w:pStyle w:val="TOCHeading"/>
          </w:pPr>
          <w:r>
            <w:t>Table of Contents</w:t>
          </w:r>
        </w:p>
        <w:p w14:paraId="186AAA64" w14:textId="77777777" w:rsidR="004B6DC0" w:rsidRDefault="004B6DC0">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99873788" w:history="1">
            <w:r w:rsidRPr="00FD36C6">
              <w:rPr>
                <w:rStyle w:val="Hyperlink"/>
                <w:noProof/>
              </w:rPr>
              <w:t>Executive summary</w:t>
            </w:r>
            <w:r>
              <w:rPr>
                <w:noProof/>
                <w:webHidden/>
              </w:rPr>
              <w:tab/>
            </w:r>
            <w:r>
              <w:rPr>
                <w:noProof/>
                <w:webHidden/>
              </w:rPr>
              <w:fldChar w:fldCharType="begin"/>
            </w:r>
            <w:r>
              <w:rPr>
                <w:noProof/>
                <w:webHidden/>
              </w:rPr>
              <w:instrText xml:space="preserve"> PAGEREF _Toc199873788 \h </w:instrText>
            </w:r>
            <w:r>
              <w:rPr>
                <w:noProof/>
                <w:webHidden/>
              </w:rPr>
            </w:r>
            <w:r>
              <w:rPr>
                <w:noProof/>
                <w:webHidden/>
              </w:rPr>
              <w:fldChar w:fldCharType="separate"/>
            </w:r>
            <w:r>
              <w:rPr>
                <w:noProof/>
                <w:webHidden/>
              </w:rPr>
              <w:t>2</w:t>
            </w:r>
            <w:r>
              <w:rPr>
                <w:noProof/>
                <w:webHidden/>
              </w:rPr>
              <w:fldChar w:fldCharType="end"/>
            </w:r>
          </w:hyperlink>
        </w:p>
        <w:p w14:paraId="4F177061" w14:textId="77777777" w:rsidR="004B6DC0" w:rsidRDefault="004B6DC0">
          <w:pPr>
            <w:pStyle w:val="TOC1"/>
            <w:tabs>
              <w:tab w:val="right" w:leader="dot" w:pos="9350"/>
            </w:tabs>
            <w:rPr>
              <w:rFonts w:asciiTheme="minorHAnsi" w:eastAsiaTheme="minorEastAsia" w:hAnsiTheme="minorHAnsi" w:cstheme="minorBidi"/>
              <w:noProof/>
              <w:sz w:val="22"/>
              <w:szCs w:val="22"/>
            </w:rPr>
          </w:pPr>
          <w:hyperlink w:anchor="_Toc199873789" w:history="1">
            <w:r w:rsidRPr="00FD36C6">
              <w:rPr>
                <w:rStyle w:val="Hyperlink"/>
                <w:noProof/>
              </w:rPr>
              <w:t>Introduction</w:t>
            </w:r>
            <w:r>
              <w:rPr>
                <w:noProof/>
                <w:webHidden/>
              </w:rPr>
              <w:tab/>
            </w:r>
            <w:r>
              <w:rPr>
                <w:noProof/>
                <w:webHidden/>
              </w:rPr>
              <w:fldChar w:fldCharType="begin"/>
            </w:r>
            <w:r>
              <w:rPr>
                <w:noProof/>
                <w:webHidden/>
              </w:rPr>
              <w:instrText xml:space="preserve"> PAGEREF _Toc199873789 \h </w:instrText>
            </w:r>
            <w:r>
              <w:rPr>
                <w:noProof/>
                <w:webHidden/>
              </w:rPr>
            </w:r>
            <w:r>
              <w:rPr>
                <w:noProof/>
                <w:webHidden/>
              </w:rPr>
              <w:fldChar w:fldCharType="separate"/>
            </w:r>
            <w:r>
              <w:rPr>
                <w:noProof/>
                <w:webHidden/>
              </w:rPr>
              <w:t>4</w:t>
            </w:r>
            <w:r>
              <w:rPr>
                <w:noProof/>
                <w:webHidden/>
              </w:rPr>
              <w:fldChar w:fldCharType="end"/>
            </w:r>
          </w:hyperlink>
        </w:p>
        <w:p w14:paraId="513F1FF7" w14:textId="77777777" w:rsidR="004B6DC0" w:rsidRDefault="004B6DC0">
          <w:pPr>
            <w:pStyle w:val="TOC1"/>
            <w:tabs>
              <w:tab w:val="right" w:leader="dot" w:pos="9350"/>
            </w:tabs>
            <w:rPr>
              <w:rFonts w:asciiTheme="minorHAnsi" w:eastAsiaTheme="minorEastAsia" w:hAnsiTheme="minorHAnsi" w:cstheme="minorBidi"/>
              <w:noProof/>
              <w:sz w:val="22"/>
              <w:szCs w:val="22"/>
            </w:rPr>
          </w:pPr>
          <w:hyperlink w:anchor="_Toc199873790" w:history="1">
            <w:r w:rsidRPr="00FD36C6">
              <w:rPr>
                <w:rStyle w:val="Hyperlink"/>
                <w:noProof/>
              </w:rPr>
              <w:t>Discussion of Findings</w:t>
            </w:r>
            <w:r>
              <w:rPr>
                <w:noProof/>
                <w:webHidden/>
              </w:rPr>
              <w:tab/>
            </w:r>
            <w:r>
              <w:rPr>
                <w:noProof/>
                <w:webHidden/>
              </w:rPr>
              <w:fldChar w:fldCharType="begin"/>
            </w:r>
            <w:r>
              <w:rPr>
                <w:noProof/>
                <w:webHidden/>
              </w:rPr>
              <w:instrText xml:space="preserve"> PAGEREF _Toc199873790 \h </w:instrText>
            </w:r>
            <w:r>
              <w:rPr>
                <w:noProof/>
                <w:webHidden/>
              </w:rPr>
            </w:r>
            <w:r>
              <w:rPr>
                <w:noProof/>
                <w:webHidden/>
              </w:rPr>
              <w:fldChar w:fldCharType="separate"/>
            </w:r>
            <w:r>
              <w:rPr>
                <w:noProof/>
                <w:webHidden/>
              </w:rPr>
              <w:t>5</w:t>
            </w:r>
            <w:r>
              <w:rPr>
                <w:noProof/>
                <w:webHidden/>
              </w:rPr>
              <w:fldChar w:fldCharType="end"/>
            </w:r>
          </w:hyperlink>
        </w:p>
        <w:p w14:paraId="7DBA21B1" w14:textId="77777777" w:rsidR="004B6DC0" w:rsidRDefault="004B6DC0">
          <w:pPr>
            <w:pStyle w:val="TOC2"/>
            <w:tabs>
              <w:tab w:val="right" w:leader="dot" w:pos="9350"/>
            </w:tabs>
            <w:rPr>
              <w:rFonts w:asciiTheme="minorHAnsi" w:eastAsiaTheme="minorEastAsia" w:hAnsiTheme="minorHAnsi" w:cstheme="minorBidi"/>
              <w:noProof/>
              <w:sz w:val="22"/>
              <w:szCs w:val="22"/>
            </w:rPr>
          </w:pPr>
          <w:hyperlink w:anchor="_Toc199873791" w:history="1">
            <w:r w:rsidRPr="00FD36C6">
              <w:rPr>
                <w:rStyle w:val="Hyperlink"/>
                <w:noProof/>
              </w:rPr>
              <w:t>A. Corporate Governance and Agency Theory: Concepts and Significance</w:t>
            </w:r>
            <w:r>
              <w:rPr>
                <w:noProof/>
                <w:webHidden/>
              </w:rPr>
              <w:tab/>
            </w:r>
            <w:r>
              <w:rPr>
                <w:noProof/>
                <w:webHidden/>
              </w:rPr>
              <w:fldChar w:fldCharType="begin"/>
            </w:r>
            <w:r>
              <w:rPr>
                <w:noProof/>
                <w:webHidden/>
              </w:rPr>
              <w:instrText xml:space="preserve"> PAGEREF _Toc199873791 \h </w:instrText>
            </w:r>
            <w:r>
              <w:rPr>
                <w:noProof/>
                <w:webHidden/>
              </w:rPr>
            </w:r>
            <w:r>
              <w:rPr>
                <w:noProof/>
                <w:webHidden/>
              </w:rPr>
              <w:fldChar w:fldCharType="separate"/>
            </w:r>
            <w:r>
              <w:rPr>
                <w:noProof/>
                <w:webHidden/>
              </w:rPr>
              <w:t>5</w:t>
            </w:r>
            <w:r>
              <w:rPr>
                <w:noProof/>
                <w:webHidden/>
              </w:rPr>
              <w:fldChar w:fldCharType="end"/>
            </w:r>
          </w:hyperlink>
        </w:p>
        <w:p w14:paraId="68AB70C5" w14:textId="77777777" w:rsidR="004B6DC0" w:rsidRDefault="004B6DC0">
          <w:pPr>
            <w:pStyle w:val="TOC2"/>
            <w:tabs>
              <w:tab w:val="right" w:leader="dot" w:pos="9350"/>
            </w:tabs>
            <w:rPr>
              <w:rFonts w:asciiTheme="minorHAnsi" w:eastAsiaTheme="minorEastAsia" w:hAnsiTheme="minorHAnsi" w:cstheme="minorBidi"/>
              <w:noProof/>
              <w:sz w:val="22"/>
              <w:szCs w:val="22"/>
            </w:rPr>
          </w:pPr>
          <w:hyperlink w:anchor="_Toc199873792" w:history="1">
            <w:r w:rsidRPr="00FD36C6">
              <w:rPr>
                <w:rStyle w:val="Hyperlink"/>
                <w:noProof/>
              </w:rPr>
              <w:t>B. Retaining Control with 30% Shareholding</w:t>
            </w:r>
            <w:r>
              <w:rPr>
                <w:noProof/>
                <w:webHidden/>
              </w:rPr>
              <w:tab/>
            </w:r>
            <w:r>
              <w:rPr>
                <w:noProof/>
                <w:webHidden/>
              </w:rPr>
              <w:fldChar w:fldCharType="begin"/>
            </w:r>
            <w:r>
              <w:rPr>
                <w:noProof/>
                <w:webHidden/>
              </w:rPr>
              <w:instrText xml:space="preserve"> PAGEREF _Toc199873792 \h </w:instrText>
            </w:r>
            <w:r>
              <w:rPr>
                <w:noProof/>
                <w:webHidden/>
              </w:rPr>
            </w:r>
            <w:r>
              <w:rPr>
                <w:noProof/>
                <w:webHidden/>
              </w:rPr>
              <w:fldChar w:fldCharType="separate"/>
            </w:r>
            <w:r>
              <w:rPr>
                <w:noProof/>
                <w:webHidden/>
              </w:rPr>
              <w:t>5</w:t>
            </w:r>
            <w:r>
              <w:rPr>
                <w:noProof/>
                <w:webHidden/>
              </w:rPr>
              <w:fldChar w:fldCharType="end"/>
            </w:r>
          </w:hyperlink>
        </w:p>
        <w:p w14:paraId="14121DF2" w14:textId="77777777" w:rsidR="004B6DC0" w:rsidRDefault="004B6DC0">
          <w:pPr>
            <w:pStyle w:val="TOC2"/>
            <w:tabs>
              <w:tab w:val="right" w:leader="dot" w:pos="9350"/>
            </w:tabs>
            <w:rPr>
              <w:rFonts w:asciiTheme="minorHAnsi" w:eastAsiaTheme="minorEastAsia" w:hAnsiTheme="minorHAnsi" w:cstheme="minorBidi"/>
              <w:noProof/>
              <w:sz w:val="22"/>
              <w:szCs w:val="22"/>
            </w:rPr>
          </w:pPr>
          <w:hyperlink w:anchor="_Toc199873793" w:history="1">
            <w:r w:rsidRPr="00FD36C6">
              <w:rPr>
                <w:rStyle w:val="Hyperlink"/>
                <w:noProof/>
              </w:rPr>
              <w:t>C. Director Remuneration and Governance Structures</w:t>
            </w:r>
            <w:r>
              <w:rPr>
                <w:noProof/>
                <w:webHidden/>
              </w:rPr>
              <w:tab/>
            </w:r>
            <w:r>
              <w:rPr>
                <w:noProof/>
                <w:webHidden/>
              </w:rPr>
              <w:fldChar w:fldCharType="begin"/>
            </w:r>
            <w:r>
              <w:rPr>
                <w:noProof/>
                <w:webHidden/>
              </w:rPr>
              <w:instrText xml:space="preserve"> PAGEREF _Toc199873793 \h </w:instrText>
            </w:r>
            <w:r>
              <w:rPr>
                <w:noProof/>
                <w:webHidden/>
              </w:rPr>
            </w:r>
            <w:r>
              <w:rPr>
                <w:noProof/>
                <w:webHidden/>
              </w:rPr>
              <w:fldChar w:fldCharType="separate"/>
            </w:r>
            <w:r>
              <w:rPr>
                <w:noProof/>
                <w:webHidden/>
              </w:rPr>
              <w:t>6</w:t>
            </w:r>
            <w:r>
              <w:rPr>
                <w:noProof/>
                <w:webHidden/>
              </w:rPr>
              <w:fldChar w:fldCharType="end"/>
            </w:r>
          </w:hyperlink>
        </w:p>
        <w:p w14:paraId="1613815E" w14:textId="77777777" w:rsidR="004B6DC0" w:rsidRDefault="004B6DC0">
          <w:pPr>
            <w:pStyle w:val="TOC2"/>
            <w:tabs>
              <w:tab w:val="right" w:leader="dot" w:pos="9350"/>
            </w:tabs>
            <w:rPr>
              <w:rFonts w:asciiTheme="minorHAnsi" w:eastAsiaTheme="minorEastAsia" w:hAnsiTheme="minorHAnsi" w:cstheme="minorBidi"/>
              <w:noProof/>
              <w:sz w:val="22"/>
              <w:szCs w:val="22"/>
            </w:rPr>
          </w:pPr>
          <w:hyperlink w:anchor="_Toc199873794" w:history="1">
            <w:r w:rsidRPr="00FD36C6">
              <w:rPr>
                <w:rStyle w:val="Hyperlink"/>
                <w:noProof/>
              </w:rPr>
              <w:t>D. Institutional Differences: UK vs Shanghai vs Netherlands</w:t>
            </w:r>
            <w:r>
              <w:rPr>
                <w:noProof/>
                <w:webHidden/>
              </w:rPr>
              <w:tab/>
            </w:r>
            <w:r>
              <w:rPr>
                <w:noProof/>
                <w:webHidden/>
              </w:rPr>
              <w:fldChar w:fldCharType="begin"/>
            </w:r>
            <w:r>
              <w:rPr>
                <w:noProof/>
                <w:webHidden/>
              </w:rPr>
              <w:instrText xml:space="preserve"> PAGEREF _Toc199873794 \h </w:instrText>
            </w:r>
            <w:r>
              <w:rPr>
                <w:noProof/>
                <w:webHidden/>
              </w:rPr>
            </w:r>
            <w:r>
              <w:rPr>
                <w:noProof/>
                <w:webHidden/>
              </w:rPr>
              <w:fldChar w:fldCharType="separate"/>
            </w:r>
            <w:r>
              <w:rPr>
                <w:noProof/>
                <w:webHidden/>
              </w:rPr>
              <w:t>7</w:t>
            </w:r>
            <w:r>
              <w:rPr>
                <w:noProof/>
                <w:webHidden/>
              </w:rPr>
              <w:fldChar w:fldCharType="end"/>
            </w:r>
          </w:hyperlink>
        </w:p>
        <w:p w14:paraId="0556AC53" w14:textId="77777777" w:rsidR="004B6DC0" w:rsidRDefault="004B6DC0">
          <w:pPr>
            <w:pStyle w:val="TOC1"/>
            <w:tabs>
              <w:tab w:val="right" w:leader="dot" w:pos="9350"/>
            </w:tabs>
            <w:rPr>
              <w:rFonts w:asciiTheme="minorHAnsi" w:eastAsiaTheme="minorEastAsia" w:hAnsiTheme="minorHAnsi" w:cstheme="minorBidi"/>
              <w:noProof/>
              <w:sz w:val="22"/>
              <w:szCs w:val="22"/>
            </w:rPr>
          </w:pPr>
          <w:hyperlink w:anchor="_Toc199873795" w:history="1">
            <w:r w:rsidRPr="00FD36C6">
              <w:rPr>
                <w:rStyle w:val="Hyperlink"/>
                <w:noProof/>
              </w:rPr>
              <w:t>Conclusion</w:t>
            </w:r>
            <w:r>
              <w:rPr>
                <w:noProof/>
                <w:webHidden/>
              </w:rPr>
              <w:tab/>
            </w:r>
            <w:r>
              <w:rPr>
                <w:noProof/>
                <w:webHidden/>
              </w:rPr>
              <w:fldChar w:fldCharType="begin"/>
            </w:r>
            <w:r>
              <w:rPr>
                <w:noProof/>
                <w:webHidden/>
              </w:rPr>
              <w:instrText xml:space="preserve"> PAGEREF _Toc199873795 \h </w:instrText>
            </w:r>
            <w:r>
              <w:rPr>
                <w:noProof/>
                <w:webHidden/>
              </w:rPr>
            </w:r>
            <w:r>
              <w:rPr>
                <w:noProof/>
                <w:webHidden/>
              </w:rPr>
              <w:fldChar w:fldCharType="separate"/>
            </w:r>
            <w:r>
              <w:rPr>
                <w:noProof/>
                <w:webHidden/>
              </w:rPr>
              <w:t>9</w:t>
            </w:r>
            <w:r>
              <w:rPr>
                <w:noProof/>
                <w:webHidden/>
              </w:rPr>
              <w:fldChar w:fldCharType="end"/>
            </w:r>
          </w:hyperlink>
        </w:p>
        <w:p w14:paraId="691D8FF7" w14:textId="77777777" w:rsidR="004B6DC0" w:rsidRDefault="004B6DC0">
          <w:pPr>
            <w:pStyle w:val="TOC1"/>
            <w:tabs>
              <w:tab w:val="right" w:leader="dot" w:pos="9350"/>
            </w:tabs>
            <w:rPr>
              <w:rFonts w:asciiTheme="minorHAnsi" w:eastAsiaTheme="minorEastAsia" w:hAnsiTheme="minorHAnsi" w:cstheme="minorBidi"/>
              <w:noProof/>
              <w:sz w:val="22"/>
              <w:szCs w:val="22"/>
            </w:rPr>
          </w:pPr>
          <w:hyperlink w:anchor="_Toc199873796" w:history="1">
            <w:r w:rsidRPr="00FD36C6">
              <w:rPr>
                <w:rStyle w:val="Hyperlink"/>
                <w:noProof/>
              </w:rPr>
              <w:t>Recommendations</w:t>
            </w:r>
            <w:r>
              <w:rPr>
                <w:noProof/>
                <w:webHidden/>
              </w:rPr>
              <w:tab/>
            </w:r>
            <w:r>
              <w:rPr>
                <w:noProof/>
                <w:webHidden/>
              </w:rPr>
              <w:fldChar w:fldCharType="begin"/>
            </w:r>
            <w:r>
              <w:rPr>
                <w:noProof/>
                <w:webHidden/>
              </w:rPr>
              <w:instrText xml:space="preserve"> PAGEREF _Toc199873796 \h </w:instrText>
            </w:r>
            <w:r>
              <w:rPr>
                <w:noProof/>
                <w:webHidden/>
              </w:rPr>
            </w:r>
            <w:r>
              <w:rPr>
                <w:noProof/>
                <w:webHidden/>
              </w:rPr>
              <w:fldChar w:fldCharType="separate"/>
            </w:r>
            <w:r>
              <w:rPr>
                <w:noProof/>
                <w:webHidden/>
              </w:rPr>
              <w:t>10</w:t>
            </w:r>
            <w:r>
              <w:rPr>
                <w:noProof/>
                <w:webHidden/>
              </w:rPr>
              <w:fldChar w:fldCharType="end"/>
            </w:r>
          </w:hyperlink>
        </w:p>
        <w:p w14:paraId="2E28F031" w14:textId="77777777" w:rsidR="004B6DC0" w:rsidRDefault="004B6DC0">
          <w:pPr>
            <w:pStyle w:val="TOC1"/>
            <w:tabs>
              <w:tab w:val="right" w:leader="dot" w:pos="9350"/>
            </w:tabs>
            <w:rPr>
              <w:rFonts w:asciiTheme="minorHAnsi" w:eastAsiaTheme="minorEastAsia" w:hAnsiTheme="minorHAnsi" w:cstheme="minorBidi"/>
              <w:noProof/>
              <w:sz w:val="22"/>
              <w:szCs w:val="22"/>
            </w:rPr>
          </w:pPr>
          <w:hyperlink w:anchor="_Toc199873797" w:history="1">
            <w:r w:rsidRPr="00FD36C6">
              <w:rPr>
                <w:rStyle w:val="Hyperlink"/>
                <w:noProof/>
              </w:rPr>
              <w:t>References</w:t>
            </w:r>
            <w:r>
              <w:rPr>
                <w:noProof/>
                <w:webHidden/>
              </w:rPr>
              <w:tab/>
            </w:r>
            <w:r>
              <w:rPr>
                <w:noProof/>
                <w:webHidden/>
              </w:rPr>
              <w:fldChar w:fldCharType="begin"/>
            </w:r>
            <w:r>
              <w:rPr>
                <w:noProof/>
                <w:webHidden/>
              </w:rPr>
              <w:instrText xml:space="preserve"> PAGEREF _Toc199873797 \h </w:instrText>
            </w:r>
            <w:r>
              <w:rPr>
                <w:noProof/>
                <w:webHidden/>
              </w:rPr>
            </w:r>
            <w:r>
              <w:rPr>
                <w:noProof/>
                <w:webHidden/>
              </w:rPr>
              <w:fldChar w:fldCharType="separate"/>
            </w:r>
            <w:r>
              <w:rPr>
                <w:noProof/>
                <w:webHidden/>
              </w:rPr>
              <w:t>11</w:t>
            </w:r>
            <w:r>
              <w:rPr>
                <w:noProof/>
                <w:webHidden/>
              </w:rPr>
              <w:fldChar w:fldCharType="end"/>
            </w:r>
          </w:hyperlink>
        </w:p>
        <w:p w14:paraId="73934C22" w14:textId="77777777" w:rsidR="004B6DC0" w:rsidRDefault="004B6DC0">
          <w:r>
            <w:rPr>
              <w:b/>
              <w:bCs/>
              <w:noProof/>
            </w:rPr>
            <w:fldChar w:fldCharType="end"/>
          </w:r>
        </w:p>
      </w:sdtContent>
    </w:sdt>
    <w:p w14:paraId="74DCA75D" w14:textId="77777777" w:rsidR="00A42C67" w:rsidRDefault="00A42C67">
      <w:r>
        <w:br w:type="page"/>
      </w:r>
    </w:p>
    <w:p w14:paraId="500D9418" w14:textId="77777777" w:rsidR="00A42C67" w:rsidRPr="00A42C67" w:rsidRDefault="00A42C67" w:rsidP="00A42C67"/>
    <w:p w14:paraId="33F7398E" w14:textId="77777777" w:rsidR="00A42C67" w:rsidRPr="00A42C67" w:rsidRDefault="00A42C67" w:rsidP="00A42C67">
      <w:pPr>
        <w:pStyle w:val="Heading1"/>
      </w:pPr>
      <w:bookmarkStart w:id="1" w:name="_Toc199873789"/>
      <w:r>
        <w:t>Introduction</w:t>
      </w:r>
      <w:bookmarkEnd w:id="1"/>
      <w:r>
        <w:t xml:space="preserve"> </w:t>
      </w:r>
    </w:p>
    <w:p w14:paraId="2E67D873" w14:textId="77777777" w:rsidR="00A42C67" w:rsidRDefault="00A42C67" w:rsidP="00A42C67">
      <w:r w:rsidRPr="00A42C67">
        <w:t>ABC Support Services Ltd, based in the UK, provides healthcare and eldercare support to people. The firm, whose directors are four siblings, plans to become a public limited company by listing on the Alternative Investment Market (AIM) in London. The purpose of this action is to get money to grow the company nationally as well as to consider expansion abroad. The company’s move to less than 30% ownership by the founding family raises concerns about if they can still exercise effective control over the business. To ensure everyone sees the company openly, the company being listed publicly should have strict and reliable governance (Cadbury Report 1992; Financial Reporting Council 2018). At the same time, it is important to understand agency theory because it clarifies the possible conflicts between directors and external shareholders (Jensen &amp; Meckling, 1976). Working on these frameworks is necessary to ensure that AIM’s rules are followed in the company’s governance.</w:t>
      </w:r>
    </w:p>
    <w:p w14:paraId="60E781C7" w14:textId="77777777" w:rsidR="00A42C67" w:rsidRDefault="00A42C67">
      <w:r>
        <w:br w:type="page"/>
      </w:r>
    </w:p>
    <w:p w14:paraId="2C6A8C81" w14:textId="77777777" w:rsidR="00A42C67" w:rsidRPr="00A42C67" w:rsidRDefault="00A42C67" w:rsidP="00A42C67">
      <w:pPr>
        <w:pStyle w:val="Heading1"/>
      </w:pPr>
      <w:bookmarkStart w:id="2" w:name="_Toc199873790"/>
      <w:r w:rsidRPr="00A42C67">
        <w:lastRenderedPageBreak/>
        <w:t>Discussion of Findings</w:t>
      </w:r>
      <w:bookmarkEnd w:id="2"/>
      <w:r>
        <w:t xml:space="preserve"> </w:t>
      </w:r>
    </w:p>
    <w:p w14:paraId="0E9D0935" w14:textId="77777777" w:rsidR="00A42C67" w:rsidRPr="00A42C67" w:rsidRDefault="00A42C67" w:rsidP="00A42C67">
      <w:pPr>
        <w:pStyle w:val="Heading2"/>
      </w:pPr>
      <w:bookmarkStart w:id="3" w:name="_Toc199873791"/>
      <w:r w:rsidRPr="00A42C67">
        <w:t>A. Corporate Governance and Agency Theory: Concepts and Significance</w:t>
      </w:r>
      <w:bookmarkEnd w:id="3"/>
    </w:p>
    <w:p w14:paraId="3976EFA6" w14:textId="77777777" w:rsidR="00A42C67" w:rsidRPr="00A42C67" w:rsidRDefault="00A42C67" w:rsidP="00A42C67">
      <w:r w:rsidRPr="00A42C67">
        <w:t>The term corporate governance means the ways companies are guided and managed using certain systems, principles and processes. Its goal is to build a system that assures all stakeholders of a company that relationships are based on openness, fairness and accountability (Tricker, 2015). Some examples of governance are creating a proper board of directors, using controls, auditing and revealing important information. Once a company goes from being private to public, such frameworks are necessary to look after shareholders and boost investor faith (Mallin, 2019).</w:t>
      </w:r>
    </w:p>
    <w:p w14:paraId="22D49264" w14:textId="77777777" w:rsidR="00A42C67" w:rsidRPr="00A42C67" w:rsidRDefault="00A42C67" w:rsidP="00A42C67">
      <w:r w:rsidRPr="00A42C67">
        <w:t>Agency theory points out that whenever the management have different goals than the owners (shareholders), conflicts may occur (Jensen &amp; Meckling, 1976). Where shareholders and directors are the same people, there are not many conflicts of interest, as in ABC Support Services Ltd. When most of the shares are sold to the public on AIM, agency risks appear and call for sturdy corporate governance.</w:t>
      </w:r>
    </w:p>
    <w:p w14:paraId="5000CD0F" w14:textId="77777777" w:rsidR="00A42C67" w:rsidRPr="00A42C67" w:rsidRDefault="00A42C67" w:rsidP="00A42C67">
      <w:r w:rsidRPr="00A42C67">
        <w:t>Companies on AIM experience less regulation than those on the main market, but they must obey all AIM Rules for Companies and often follow the QCA Corporate Governance Code (Quoted Companies Alliance, 2018). Because of this, we now need to split ownership from control, disclose more information and set up proper policies for managing risks (Armstrong et al., 2010). Once shares are owned by more people and not just relatives, organisations need strong policies for open governance so that directors consider all stakeholders.</w:t>
      </w:r>
    </w:p>
    <w:p w14:paraId="49C7A445" w14:textId="77777777" w:rsidR="00A42C67" w:rsidRPr="00A42C67" w:rsidRDefault="00A42C67" w:rsidP="00A42C67">
      <w:r w:rsidRPr="00A42C67">
        <w:t>If governance and agency challenges are not handled properly, it may lower investor trust and make it harder for the company to take part in capital markets, which can damage the benefits of having an AIM listing.</w:t>
      </w:r>
    </w:p>
    <w:p w14:paraId="0AF5D385" w14:textId="77777777" w:rsidR="00A42C67" w:rsidRDefault="00A42C67" w:rsidP="00A42C67">
      <w:pPr>
        <w:pStyle w:val="Heading2"/>
      </w:pPr>
      <w:bookmarkStart w:id="4" w:name="_Toc199873792"/>
      <w:r w:rsidRPr="00A42C67">
        <w:t>B. Retaining Control with 30% Shareholding</w:t>
      </w:r>
      <w:bookmarkEnd w:id="4"/>
    </w:p>
    <w:p w14:paraId="13C050BD" w14:textId="77777777" w:rsidR="00A42C67" w:rsidRPr="00A42C67" w:rsidRDefault="00A42C67" w:rsidP="00A42C67">
      <w:r w:rsidRPr="00A42C67">
        <w:t>The share of the business they own has fallen from 100% to 30%, which means the company’s founding shareholders need to make a new strategy. Managing how a company moves forward and making important decisions goes beyond just owning a stake in the business.</w:t>
      </w:r>
    </w:p>
    <w:p w14:paraId="53E617B5" w14:textId="77777777" w:rsidR="00A42C67" w:rsidRPr="00A42C67" w:rsidRDefault="00A42C67" w:rsidP="00A42C67">
      <w:r w:rsidRPr="00A42C67">
        <w:t xml:space="preserve">For example, companies often go with dual-class share structures when designing their ownership and governance. Under this structure, some shareholders (often founders or executives) are able to </w:t>
      </w:r>
      <w:r w:rsidRPr="00A42C67">
        <w:lastRenderedPageBreak/>
        <w:t>use their shares to weigh more heavily in company decisions. In this way, Class A shares, meant for the general public, might give one vote for each share, but Class B shares, held by the family, could give 10 votes per share (Gompers et al., 2010). Family members can still determine important decisions while not holding the majority of economic rights.</w:t>
      </w:r>
    </w:p>
    <w:p w14:paraId="3D286BAC" w14:textId="77777777" w:rsidR="00A42C67" w:rsidRPr="00A42C67" w:rsidRDefault="00A42C67" w:rsidP="00A42C67">
      <w:r w:rsidRPr="00A42C67">
        <w:t>Apart from this, pre-emptive rights, board member selection and voting rules that benefit the original shareholders can be included in a shareholder agreement. In some cases, the legal documents give family members the authority to reject certain decisions (La Porta et al., 1999).</w:t>
      </w:r>
    </w:p>
    <w:p w14:paraId="52B7750F" w14:textId="77777777" w:rsidR="00A42C67" w:rsidRPr="00A42C67" w:rsidRDefault="00A42C67" w:rsidP="00A42C67">
      <w:r w:rsidRPr="00A42C67">
        <w:t>Board composition is extremely important for strategic control as well. The family may come to an agreement to secure seats on the board matching how much they own in the business. If independent non-executive directors agree with the family’s vision for the long term, they can help with extra oversight without being a risk to good corporate governance (Denis &amp; McConnell, 2003).</w:t>
      </w:r>
    </w:p>
    <w:p w14:paraId="6312968A" w14:textId="77777777" w:rsidR="00A42C67" w:rsidRPr="00A42C67" w:rsidRDefault="00A42C67" w:rsidP="00A42C67">
      <w:r w:rsidRPr="00A42C67">
        <w:t>At the same time, these ways should be measured against what investors want in terms of fairness and good governance. Having high levels of entrenchment may reduce how appealing the market is and may increase minority shareholders’ fears about their rights in AIM.</w:t>
      </w:r>
    </w:p>
    <w:p w14:paraId="5B262105" w14:textId="77777777" w:rsidR="00A42C67" w:rsidRDefault="00A42C67" w:rsidP="00A42C67">
      <w:pPr>
        <w:pStyle w:val="Heading2"/>
      </w:pPr>
      <w:bookmarkStart w:id="5" w:name="_Toc199873793"/>
      <w:r w:rsidRPr="00A42C67">
        <w:t>C. Director Remuneration and Governance Structures</w:t>
      </w:r>
      <w:bookmarkEnd w:id="5"/>
    </w:p>
    <w:p w14:paraId="60CDA471" w14:textId="77777777" w:rsidR="00A42C67" w:rsidRPr="00A42C67" w:rsidRDefault="00A42C67" w:rsidP="00A42C67">
      <w:r w:rsidRPr="00A42C67">
        <w:t>ABC Support Services Ltd ought to ensure directors’ remuneration is based on clear standards and reflects performance in its move to become a public company. Management should be paid in a way that draws skilled executives and helps them work towards what shareholders aim for.</w:t>
      </w:r>
    </w:p>
    <w:p w14:paraId="4C2A64E8" w14:textId="77777777" w:rsidR="00A42C67" w:rsidRPr="00A42C67" w:rsidRDefault="00A42C67" w:rsidP="00A42C67">
      <w:r w:rsidRPr="00A42C67">
        <w:t>The FRC’s (2018) UK Corporate Governance Code requires that director pay be agreed upon by a Remuneration Committee made up of non-executive directors. The main function of this committee is to conduct objective reviews of pay plans to avoid anyone having a conflict of interest or becoming too risky (Bebchuk &amp; Fried, 2004).</w:t>
      </w:r>
    </w:p>
    <w:p w14:paraId="116DFAAA" w14:textId="77777777" w:rsidR="00A42C67" w:rsidRPr="00A42C67" w:rsidRDefault="00A42C67" w:rsidP="00A42C67">
      <w:r w:rsidRPr="00A42C67">
        <w:t>The ideal reward system includes a stable base pay, bonuses based on short time periods and long-term awards such as stock options or performance shares (Conyon, 2006). Using LTIPs, directors have stronger incentives to help the company succeed financially since their rewards depend on producing value for shareholders.</w:t>
      </w:r>
    </w:p>
    <w:p w14:paraId="43361231" w14:textId="77777777" w:rsidR="00A42C67" w:rsidRPr="00A42C67" w:rsidRDefault="00A42C67" w:rsidP="00A42C67">
      <w:r w:rsidRPr="00A42C67">
        <w:t xml:space="preserve">In addition, performance-based compensation should be dependent on practical KPIs such as how the company grows, earns profits or uses its equity (Murphy, 1999). As a consequence, governance </w:t>
      </w:r>
      <w:r w:rsidRPr="00A42C67">
        <w:lastRenderedPageBreak/>
        <w:t>accountability addresses the expectations of external shareholders and the ABC family, who are its founders.</w:t>
      </w:r>
    </w:p>
    <w:p w14:paraId="0C64B1C1" w14:textId="77777777" w:rsidR="00A42C67" w:rsidRPr="00A42C67" w:rsidRDefault="00A42C67" w:rsidP="00A42C67">
      <w:r w:rsidRPr="00A42C67">
        <w:t>Sharing director pay details in annual reports makes things more transparent and gives shareholders the chance to exercise say-on-pay. Severe remuneration mismanagement can lead to poor results and a negative reputation, mainly for public market firms (Gregg et al., 2012).</w:t>
      </w:r>
    </w:p>
    <w:p w14:paraId="0E03E553" w14:textId="77777777" w:rsidR="00A42C67" w:rsidRDefault="00A42C67" w:rsidP="00A42C67">
      <w:pPr>
        <w:pStyle w:val="Heading2"/>
      </w:pPr>
      <w:bookmarkStart w:id="6" w:name="_Toc199873794"/>
      <w:r w:rsidRPr="00A42C67">
        <w:t>D. Institutional Differences: UK vs Shanghai vs Netherlands</w:t>
      </w:r>
      <w:bookmarkEnd w:id="6"/>
    </w:p>
    <w:p w14:paraId="46815B12" w14:textId="77777777" w:rsidR="00A42C67" w:rsidRPr="00A42C67" w:rsidRDefault="00A42C67" w:rsidP="00A42C67">
      <w:r w:rsidRPr="00A42C67">
        <w:t>ABC Support Services Ltd should know about the major differences in institutions and regulations when thinking about listing in AIM or another country such as Shanghai or the Netherlands.</w:t>
      </w:r>
    </w:p>
    <w:p w14:paraId="6B8FAB09" w14:textId="77777777" w:rsidR="00A42C67" w:rsidRPr="00A42C67" w:rsidRDefault="00A42C67" w:rsidP="00A42C67">
      <w:r w:rsidRPr="00A42C67">
        <w:t>UK AIM allows companies more freedom and requires less to start compared to the London Stock Exchange’s main market. Firms of all sizes benefit from cost-effective ways to acquire funds, but having a code such as the QCA Code still means good corporate governance is important (Espenlaub et al., 2012). UK law stresses that shareholders come first, independent non-executive directors are important and a high level of information is revealed.</w:t>
      </w:r>
    </w:p>
    <w:p w14:paraId="01A16EE3" w14:textId="77777777" w:rsidR="00A42C67" w:rsidRPr="00A42C67" w:rsidRDefault="00A42C67" w:rsidP="00A42C67">
      <w:r w:rsidRPr="00A42C67">
        <w:t>Meanwhile, the Shanghai Stock Exchange (SSE) is run by China’s Code of Corporate Governance, which puts greater focus on government control and the watchful eye of the board (Huang et al., 2018). Even though capital is easily accessible to Chinese companies, problems such as not having independent board members and weak enforcement of rights for shareholders continue (Clarke, 2003). Many foreign companies that list in Shanghai discover it is not easy to handle legal matters and transfer earnings back home.</w:t>
      </w:r>
    </w:p>
    <w:p w14:paraId="29279C42" w14:textId="77777777" w:rsidR="00A42C67" w:rsidRPr="00A42C67" w:rsidRDefault="00A42C67" w:rsidP="00A42C67">
      <w:r w:rsidRPr="00A42C67">
        <w:t>Unlike some countries, the Netherlands combines stakeholder and shareholder aspects in its corporate governance structure by following the Dutch Corporate Governance Code (Monitoring Commissie Corporate Governance, 2016). It pays special attention to how the firm will perform long into the future and to building consensus among board members. A company can award loyalty shares to holders who have been shareholders for a long time, giving them control just like the holders of dual-class shares (Gelter, 2018).</w:t>
      </w:r>
    </w:p>
    <w:p w14:paraId="6FA266BE" w14:textId="77777777" w:rsidR="00A42C67" w:rsidRPr="00A42C67" w:rsidRDefault="00A42C67" w:rsidP="00A42C67">
      <w:r w:rsidRPr="00A42C67">
        <w:t>Tax regulations, rules concerning workers and the language can be distinct as well. Since the Netherlands has good tax laws and access for EU investors, while Shanghai’s laws can be less certain for foreign companies, many businesses prefer the Netherlands for their operations. A change of headquarters would also involve adjustments to cultures, operations and rules.</w:t>
      </w:r>
    </w:p>
    <w:p w14:paraId="444C7967" w14:textId="77777777" w:rsidR="00A42C67" w:rsidRDefault="00A42C67" w:rsidP="00A42C67">
      <w:r w:rsidRPr="00A42C67">
        <w:lastRenderedPageBreak/>
        <w:t>This chapter provides an overview of key terms relating to businesses, explains how tax is used and draws links between tax and business activities.</w:t>
      </w:r>
    </w:p>
    <w:p w14:paraId="44DA35B7" w14:textId="77777777" w:rsidR="00A42C67" w:rsidRDefault="00A42C67">
      <w:r>
        <w:br w:type="page"/>
      </w:r>
    </w:p>
    <w:p w14:paraId="024B8A65" w14:textId="77777777" w:rsidR="00A42C67" w:rsidRPr="00A42C67" w:rsidRDefault="00A42C67" w:rsidP="00A42C67">
      <w:pPr>
        <w:pStyle w:val="Heading1"/>
      </w:pPr>
      <w:bookmarkStart w:id="7" w:name="_Toc199873795"/>
      <w:r>
        <w:lastRenderedPageBreak/>
        <w:t>Conclusion</w:t>
      </w:r>
      <w:bookmarkEnd w:id="7"/>
    </w:p>
    <w:p w14:paraId="27090129" w14:textId="77777777" w:rsidR="00A42C67" w:rsidRDefault="00A42C67" w:rsidP="00A42C67">
      <w:r w:rsidRPr="00A42C67">
        <w:t>Given the move from private status to AIM listing, ABC Support Services Ltd needs to reshape its governance structure. When the family’s stake drops to 30%, it is important to put in place measures that help the family keep control as they stay accountable to new investors. When a company follows good governance practices, it fulfils regulations, reassures investors and helps the company build value over time. Applying agency theory indicates that issues can arise after companies go public, which is why dual-class shares and bonuses based on how the company performs are important. Also, knowing the differences in the institutions of the UK, Shanghai and the Netherlands allows us to decide where and how to list and locate our headquarters. As we continue, having good governance in line with market practices will help ABC Support Services keep its credibility, competitiveness and responsibility in the public sector.</w:t>
      </w:r>
    </w:p>
    <w:p w14:paraId="1F7E4BC7" w14:textId="77777777" w:rsidR="00A42C67" w:rsidRDefault="00A42C67">
      <w:r>
        <w:br w:type="page"/>
      </w:r>
    </w:p>
    <w:p w14:paraId="4B2DDF85" w14:textId="77777777" w:rsidR="00A42C67" w:rsidRPr="00A42C67" w:rsidRDefault="00A42C67" w:rsidP="00A42C67"/>
    <w:p w14:paraId="39E4BD12" w14:textId="77777777" w:rsidR="00A42C67" w:rsidRPr="00A42C67" w:rsidRDefault="00A42C67" w:rsidP="00A42C67">
      <w:pPr>
        <w:pStyle w:val="Heading1"/>
      </w:pPr>
      <w:bookmarkStart w:id="8" w:name="_Toc199873796"/>
      <w:r>
        <w:t>Recommendations</w:t>
      </w:r>
      <w:bookmarkEnd w:id="8"/>
      <w:r>
        <w:t xml:space="preserve"> </w:t>
      </w:r>
    </w:p>
    <w:p w14:paraId="17362785" w14:textId="77777777" w:rsidR="00A42C67" w:rsidRPr="00A42C67" w:rsidRDefault="00A42C67" w:rsidP="00A42C67">
      <w:r w:rsidRPr="00A42C67">
        <w:t>ABC Support Services Ltd needs to use a dual-class share system so that the voting rights continue with the founding members after it lists on AIM. The shareholder agreement should clearly show which matters will require the approval of all shareholders and how new members of the board will be elected. The Remuneration Committee should consist of independent non-executive directors, and its task is to make sure employee compensation is fair, job-related, meets benchmarks and benefits the company. Increasing the effectiveness of governance should add independent board members, a reliable internal audit system and clear reporting methods according to the QCA Code. Although the UK offers a good balancing act for regulations and investors, the Netherlands has governance that looks after all parties and access to the EU. While Shanghai gives rapid access to capital, it has weaker laws that protect minority shareholders who are not from China. Because of this, choosing to list on AIM with a better governance and control structure and then seeking European expansion is the most strategic way forward. The steps will look after family interests and help the nation grow in a sustainable way.</w:t>
      </w:r>
    </w:p>
    <w:p w14:paraId="1396D3D7" w14:textId="77777777" w:rsidR="00A42C67" w:rsidRDefault="00A42C67">
      <w:r>
        <w:br w:type="page"/>
      </w:r>
    </w:p>
    <w:p w14:paraId="1C498D44" w14:textId="77777777" w:rsidR="00A42C67" w:rsidRPr="00D85F1C" w:rsidRDefault="00A42C67" w:rsidP="00A42C67">
      <w:pPr>
        <w:pStyle w:val="Heading1"/>
      </w:pPr>
      <w:bookmarkStart w:id="9" w:name="_Toc199873797"/>
      <w:r w:rsidRPr="00A42C67">
        <w:lastRenderedPageBreak/>
        <w:t>References</w:t>
      </w:r>
      <w:bookmarkEnd w:id="9"/>
    </w:p>
    <w:p w14:paraId="4CBD18FC" w14:textId="77777777" w:rsidR="00A42C67" w:rsidRPr="00A42C67" w:rsidRDefault="00A42C67" w:rsidP="00A42C67">
      <w:r w:rsidRPr="00A42C67">
        <w:t xml:space="preserve">Armstrong, C., Guay, W. and Weber, J. (2010) ‘The role of information and financial reporting in corporate governance’, </w:t>
      </w:r>
      <w:r w:rsidRPr="00A42C67">
        <w:rPr>
          <w:i/>
          <w:iCs/>
        </w:rPr>
        <w:t>Journal of Accounting and Economics</w:t>
      </w:r>
      <w:r w:rsidRPr="00A42C67">
        <w:t xml:space="preserve">, 50(2-3), pp. 179–234. </w:t>
      </w:r>
      <w:hyperlink r:id="rId8" w:history="1">
        <w:r w:rsidRPr="00535EA9">
          <w:rPr>
            <w:rStyle w:val="Hyperlink"/>
          </w:rPr>
          <w:t>https://doi.org/10.1016/j.jacceco.2010.10.001</w:t>
        </w:r>
      </w:hyperlink>
      <w:r>
        <w:t xml:space="preserve"> </w:t>
      </w:r>
    </w:p>
    <w:p w14:paraId="0D7446A1" w14:textId="77777777" w:rsidR="00A42C67" w:rsidRPr="00A42C67" w:rsidRDefault="00A42C67" w:rsidP="00A42C67">
      <w:r w:rsidRPr="00A42C67">
        <w:t xml:space="preserve">Bebchuk, L.A. and Fried, J.M. (2004) </w:t>
      </w:r>
      <w:r w:rsidRPr="00A42C67">
        <w:rPr>
          <w:i/>
          <w:iCs/>
        </w:rPr>
        <w:t>Pay Without Performance: The Unfulfilled Promise of Executive Compensation</w:t>
      </w:r>
      <w:r w:rsidRPr="00A42C67">
        <w:t>. Cambridge, MA: Harvard University Press.</w:t>
      </w:r>
    </w:p>
    <w:p w14:paraId="40C6421D" w14:textId="77777777" w:rsidR="00A42C67" w:rsidRPr="00A42C67" w:rsidRDefault="00A42C67" w:rsidP="00A42C67">
      <w:r w:rsidRPr="00A42C67">
        <w:t xml:space="preserve">Clarke, D.C. (2003) ‘Corporate governance in China: An overview’, </w:t>
      </w:r>
      <w:r w:rsidRPr="00A42C67">
        <w:rPr>
          <w:i/>
          <w:iCs/>
        </w:rPr>
        <w:t>China Economic Review</w:t>
      </w:r>
      <w:r w:rsidRPr="00A42C67">
        <w:t>, 14(4), pp. 494–507. https://doi.org/10.1016/j.chieco.2003.09.005</w:t>
      </w:r>
    </w:p>
    <w:p w14:paraId="10E33226" w14:textId="77777777" w:rsidR="00A42C67" w:rsidRPr="00A42C67" w:rsidRDefault="00A42C67" w:rsidP="00A42C67">
      <w:r w:rsidRPr="00A42C67">
        <w:t xml:space="preserve">Denis, D.K. and McConnell, J.J. (2003) ‘International corporate governance’, </w:t>
      </w:r>
      <w:r w:rsidRPr="00A42C67">
        <w:rPr>
          <w:i/>
          <w:iCs/>
        </w:rPr>
        <w:t>Journal of Financial and Quantitative Analysis</w:t>
      </w:r>
      <w:r w:rsidRPr="00A42C67">
        <w:t>, 38(1), pp. 1–36. https://doi.org/10.2307/4126762</w:t>
      </w:r>
    </w:p>
    <w:p w14:paraId="77078696" w14:textId="77777777" w:rsidR="00A42C67" w:rsidRPr="00A42C67" w:rsidRDefault="00A42C67" w:rsidP="00A42C67">
      <w:r w:rsidRPr="00A42C67">
        <w:t xml:space="preserve">Financial Reporting Council (FRC) (2018) </w:t>
      </w:r>
      <w:r w:rsidRPr="00A42C67">
        <w:rPr>
          <w:i/>
          <w:iCs/>
        </w:rPr>
        <w:t>The UK Corporate Governance Code</w:t>
      </w:r>
      <w:r w:rsidRPr="00A42C67">
        <w:t xml:space="preserve">. Available at: </w:t>
      </w:r>
      <w:hyperlink r:id="rId9" w:tgtFrame="_new" w:history="1">
        <w:r w:rsidRPr="00A42C67">
          <w:rPr>
            <w:rStyle w:val="Hyperlink"/>
          </w:rPr>
          <w:t>https://www.frc.org.uk</w:t>
        </w:r>
      </w:hyperlink>
      <w:r w:rsidRPr="00A42C67">
        <w:t xml:space="preserve"> (Accessed: 3 June 2025)</w:t>
      </w:r>
    </w:p>
    <w:p w14:paraId="76C31DD4" w14:textId="77777777" w:rsidR="00A42C67" w:rsidRPr="00A42C67" w:rsidRDefault="00A42C67" w:rsidP="00A42C67">
      <w:r w:rsidRPr="00A42C67">
        <w:t xml:space="preserve">Gompers, P.A., Ishii, J.L. and Metrick, A. (2010) ‘Extreme governance: An analysis of dual-class firms in the United States’, </w:t>
      </w:r>
      <w:r w:rsidRPr="00A42C67">
        <w:rPr>
          <w:i/>
          <w:iCs/>
        </w:rPr>
        <w:t>The Review of Financial Studies</w:t>
      </w:r>
      <w:r w:rsidRPr="00A42C67">
        <w:t>, 23(3), pp. 1051–1088. https://doi.org/10.1093/rfs/hhp024</w:t>
      </w:r>
    </w:p>
    <w:p w14:paraId="365C393D" w14:textId="77777777" w:rsidR="00A42C67" w:rsidRPr="00A42C67" w:rsidRDefault="00A42C67" w:rsidP="00A42C67">
      <w:r w:rsidRPr="00A42C67">
        <w:t xml:space="preserve">Gregg, P., Jewell, S. and Tonks, I. (2012) ‘Executive pay and performance: Did bankers’ bonuses cause the crisis?’, </w:t>
      </w:r>
      <w:r w:rsidRPr="00A42C67">
        <w:rPr>
          <w:i/>
          <w:iCs/>
        </w:rPr>
        <w:t>International Review of Finance</w:t>
      </w:r>
      <w:r w:rsidRPr="00A42C67">
        <w:t>, 12(1), pp. 89–122. https://doi.org/10.1111/j.1468-2443.2011.01137.x</w:t>
      </w:r>
    </w:p>
    <w:p w14:paraId="0B0CB04E" w14:textId="77777777" w:rsidR="00A42C67" w:rsidRPr="00A42C67" w:rsidRDefault="00A42C67" w:rsidP="00A42C67">
      <w:r w:rsidRPr="00A42C67">
        <w:t xml:space="preserve">Huang, R.H., Li, H. and Lin, G.Y. (2018) ‘The anatomy of securities class action in China: A functional and comparative approach with the United States’, </w:t>
      </w:r>
      <w:r w:rsidRPr="00A42C67">
        <w:rPr>
          <w:i/>
          <w:iCs/>
        </w:rPr>
        <w:t>Securities Regulation Law Journal</w:t>
      </w:r>
      <w:r w:rsidRPr="00A42C67">
        <w:t xml:space="preserve">, 46(2). Available at: </w:t>
      </w:r>
      <w:hyperlink r:id="rId10" w:tgtFrame="_new" w:history="1">
        <w:r w:rsidRPr="00A42C67">
          <w:rPr>
            <w:rStyle w:val="Hyperlink"/>
          </w:rPr>
          <w:t>https://drive.google.com/file/d/1jsDyv4gsoDubWza2McizcmjRL9gUAo3D/view</w:t>
        </w:r>
      </w:hyperlink>
      <w:r w:rsidRPr="00A42C67">
        <w:t xml:space="preserve"> (Accessed: 3 June 2025)</w:t>
      </w:r>
    </w:p>
    <w:p w14:paraId="00D45D55" w14:textId="77777777" w:rsidR="00A42C67" w:rsidRPr="00A42C67" w:rsidRDefault="00A42C67" w:rsidP="00A42C67">
      <w:r w:rsidRPr="00A42C67">
        <w:t xml:space="preserve">Jensen, M.C. and Meckling, W.H. (1976) ‘Theory of the firm: Managerial behavior, agency costs and ownership structure’, </w:t>
      </w:r>
      <w:r w:rsidRPr="00A42C67">
        <w:rPr>
          <w:i/>
          <w:iCs/>
        </w:rPr>
        <w:t>Journal of Financial Economics</w:t>
      </w:r>
      <w:r w:rsidRPr="00A42C67">
        <w:t>, 3(4), pp. 305–360. https://doi.org/10.1016/0304-405X(76)90026-X</w:t>
      </w:r>
    </w:p>
    <w:p w14:paraId="6E0D33CF" w14:textId="77777777" w:rsidR="00A42C67" w:rsidRPr="00A42C67" w:rsidRDefault="00A42C67" w:rsidP="00A42C67">
      <w:r w:rsidRPr="00A42C67">
        <w:t xml:space="preserve">La Porta, R., Lopez-de-Silanes, F. and Shleifer, A. (1999) ‘Corporate ownership around the world’, </w:t>
      </w:r>
      <w:r w:rsidRPr="00A42C67">
        <w:rPr>
          <w:i/>
          <w:iCs/>
        </w:rPr>
        <w:t>The Journal of Finance</w:t>
      </w:r>
      <w:r w:rsidRPr="00A42C67">
        <w:t>, 54(2), pp. 471–517. https://doi.org/10.1111/0022-1082.00115</w:t>
      </w:r>
    </w:p>
    <w:p w14:paraId="0B89734E" w14:textId="77777777" w:rsidR="00A42C67" w:rsidRPr="00A42C67" w:rsidRDefault="00A42C67" w:rsidP="00A42C67">
      <w:r w:rsidRPr="00A42C67">
        <w:lastRenderedPageBreak/>
        <w:t xml:space="preserve">Mallin, C.A. (2019) </w:t>
      </w:r>
      <w:r w:rsidRPr="00A42C67">
        <w:rPr>
          <w:i/>
          <w:iCs/>
        </w:rPr>
        <w:t>Corporate Governance</w:t>
      </w:r>
      <w:r w:rsidRPr="00A42C67">
        <w:t>. 6th edn. Oxford: Oxford University Press.</w:t>
      </w:r>
    </w:p>
    <w:p w14:paraId="331933F4" w14:textId="77777777" w:rsidR="00A42C67" w:rsidRPr="00A42C67" w:rsidRDefault="00A42C67" w:rsidP="00A42C67">
      <w:r w:rsidRPr="00A42C67">
        <w:t xml:space="preserve">Monitoring Commissie Corporate Governance (2016) </w:t>
      </w:r>
      <w:r w:rsidRPr="00A42C67">
        <w:rPr>
          <w:i/>
          <w:iCs/>
        </w:rPr>
        <w:t>Dutch Corporate Governance Code</w:t>
      </w:r>
      <w:r w:rsidRPr="00A42C67">
        <w:t xml:space="preserve">. Available at: </w:t>
      </w:r>
      <w:hyperlink r:id="rId11" w:tgtFrame="_new" w:history="1">
        <w:r w:rsidRPr="00A42C67">
          <w:rPr>
            <w:rStyle w:val="Hyperlink"/>
          </w:rPr>
          <w:t>https://www.mccg.nl</w:t>
        </w:r>
      </w:hyperlink>
      <w:r w:rsidRPr="00A42C67">
        <w:t xml:space="preserve"> (Accessed: 3 June 2025)</w:t>
      </w:r>
    </w:p>
    <w:p w14:paraId="68EAEF74" w14:textId="77777777" w:rsidR="00A42C67" w:rsidRPr="00A42C67" w:rsidRDefault="00A42C67" w:rsidP="00A42C67">
      <w:r w:rsidRPr="00A42C67">
        <w:t xml:space="preserve">Murphy, K.J. (1999) ‘Executive compensation’, in Ashenfelter, O. and Card, D. (eds.) </w:t>
      </w:r>
      <w:r w:rsidRPr="00A42C67">
        <w:rPr>
          <w:i/>
          <w:iCs/>
        </w:rPr>
        <w:t>Handbook of Labor Economics</w:t>
      </w:r>
      <w:r w:rsidRPr="00A42C67">
        <w:t>, vol. 3. Amsterdam: Elsevier, pp. 2485–2563. https://doi.org/10.1016/S1573-4463(99)30024-9</w:t>
      </w:r>
    </w:p>
    <w:p w14:paraId="17F130DA" w14:textId="77777777" w:rsidR="00A42C67" w:rsidRPr="00A42C67" w:rsidRDefault="00A42C67" w:rsidP="00A42C67">
      <w:r w:rsidRPr="00A42C67">
        <w:t xml:space="preserve">Quoted Companies Alliance (2018) </w:t>
      </w:r>
      <w:r w:rsidRPr="00A42C67">
        <w:rPr>
          <w:i/>
          <w:iCs/>
        </w:rPr>
        <w:t>QCA Corporate Governance Code</w:t>
      </w:r>
      <w:r w:rsidRPr="00A42C67">
        <w:t xml:space="preserve">. Available at: </w:t>
      </w:r>
      <w:hyperlink r:id="rId12" w:tgtFrame="_new" w:history="1">
        <w:r w:rsidRPr="00A42C67">
          <w:rPr>
            <w:rStyle w:val="Hyperlink"/>
          </w:rPr>
          <w:t>https://www.theqca.com</w:t>
        </w:r>
      </w:hyperlink>
      <w:r w:rsidRPr="00A42C67">
        <w:t xml:space="preserve"> (Accessed: 3 June 2025)</w:t>
      </w:r>
    </w:p>
    <w:p w14:paraId="1AEBCA67" w14:textId="77777777" w:rsidR="00A42C67" w:rsidRPr="00A42C67" w:rsidRDefault="00A42C67" w:rsidP="00A42C67">
      <w:r w:rsidRPr="00A42C67">
        <w:t xml:space="preserve">Tricker, B. (2015) </w:t>
      </w:r>
      <w:r w:rsidRPr="00A42C67">
        <w:rPr>
          <w:i/>
          <w:iCs/>
        </w:rPr>
        <w:t>Corporate Governance: Principles, Policies, and Practices</w:t>
      </w:r>
      <w:r w:rsidRPr="00A42C67">
        <w:t>. 3rd edn. Oxford: Oxford University Press.</w:t>
      </w:r>
    </w:p>
    <w:sectPr w:rsidR="00A42C67" w:rsidRPr="00A42C67">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5C36F" w14:textId="77777777" w:rsidR="008C2F5A" w:rsidRDefault="008C2F5A" w:rsidP="00D85F1C">
      <w:pPr>
        <w:spacing w:before="0" w:after="0" w:line="240" w:lineRule="auto"/>
      </w:pPr>
      <w:r>
        <w:separator/>
      </w:r>
    </w:p>
  </w:endnote>
  <w:endnote w:type="continuationSeparator" w:id="0">
    <w:p w14:paraId="1081C771" w14:textId="77777777" w:rsidR="008C2F5A" w:rsidRDefault="008C2F5A" w:rsidP="00D85F1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70F8C" w14:textId="77777777" w:rsidR="00295E56" w:rsidRDefault="00295E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9272899"/>
      <w:docPartObj>
        <w:docPartGallery w:val="Page Numbers (Bottom of Page)"/>
        <w:docPartUnique/>
      </w:docPartObj>
    </w:sdtPr>
    <w:sdtEndPr>
      <w:rPr>
        <w:color w:val="7F7F7F" w:themeColor="background1" w:themeShade="7F"/>
        <w:spacing w:val="60"/>
      </w:rPr>
    </w:sdtEndPr>
    <w:sdtContent>
      <w:p w14:paraId="48DD611A" w14:textId="77777777" w:rsidR="00D85F1C" w:rsidRDefault="00D85F1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B6DC0" w:rsidRPr="004B6DC0">
          <w:rPr>
            <w:b/>
            <w:bCs/>
            <w:noProof/>
          </w:rPr>
          <w:t>1</w:t>
        </w:r>
        <w:r>
          <w:rPr>
            <w:b/>
            <w:bCs/>
            <w:noProof/>
          </w:rPr>
          <w:fldChar w:fldCharType="end"/>
        </w:r>
        <w:r>
          <w:rPr>
            <w:b/>
            <w:bCs/>
          </w:rPr>
          <w:t xml:space="preserve"> | </w:t>
        </w:r>
        <w:r>
          <w:rPr>
            <w:color w:val="7F7F7F" w:themeColor="background1" w:themeShade="7F"/>
            <w:spacing w:val="60"/>
          </w:rPr>
          <w:t>Page</w:t>
        </w:r>
      </w:p>
    </w:sdtContent>
  </w:sdt>
  <w:p w14:paraId="6FE2FD2E" w14:textId="77777777" w:rsidR="00D85F1C" w:rsidRDefault="00D85F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F715F" w14:textId="77777777" w:rsidR="00295E56" w:rsidRDefault="00295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FA362" w14:textId="77777777" w:rsidR="008C2F5A" w:rsidRDefault="008C2F5A" w:rsidP="00D85F1C">
      <w:pPr>
        <w:spacing w:before="0" w:after="0" w:line="240" w:lineRule="auto"/>
      </w:pPr>
      <w:r>
        <w:separator/>
      </w:r>
    </w:p>
  </w:footnote>
  <w:footnote w:type="continuationSeparator" w:id="0">
    <w:p w14:paraId="63A9439F" w14:textId="77777777" w:rsidR="008C2F5A" w:rsidRDefault="008C2F5A" w:rsidP="00D85F1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2CBCC" w14:textId="77777777" w:rsidR="00295E56" w:rsidRDefault="00295E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7E374" w14:textId="77777777" w:rsidR="00295E56" w:rsidRDefault="00295E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27E08" w14:textId="77777777" w:rsidR="00295E56" w:rsidRDefault="00295E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12870"/>
    <w:multiLevelType w:val="hybridMultilevel"/>
    <w:tmpl w:val="34B2E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0804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F1C"/>
    <w:rsid w:val="0009394D"/>
    <w:rsid w:val="00165169"/>
    <w:rsid w:val="00171692"/>
    <w:rsid w:val="00295288"/>
    <w:rsid w:val="00295E56"/>
    <w:rsid w:val="002F7E13"/>
    <w:rsid w:val="004B6DC0"/>
    <w:rsid w:val="004F5CE2"/>
    <w:rsid w:val="00510029"/>
    <w:rsid w:val="005308E7"/>
    <w:rsid w:val="00613293"/>
    <w:rsid w:val="007929EE"/>
    <w:rsid w:val="008C2F5A"/>
    <w:rsid w:val="008F1DAF"/>
    <w:rsid w:val="009276E0"/>
    <w:rsid w:val="009F405E"/>
    <w:rsid w:val="00A42C67"/>
    <w:rsid w:val="00AA2E6F"/>
    <w:rsid w:val="00B3109C"/>
    <w:rsid w:val="00B9116E"/>
    <w:rsid w:val="00BB5E08"/>
    <w:rsid w:val="00C2099E"/>
    <w:rsid w:val="00CC261C"/>
    <w:rsid w:val="00D85F1C"/>
    <w:rsid w:val="00E54674"/>
    <w:rsid w:val="00F563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B06AC"/>
  <w15:chartTrackingRefBased/>
  <w15:docId w15:val="{E2729C99-2A43-4F77-BF62-1695C715D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F5CE2"/>
    <w:pPr>
      <w:keepNext/>
      <w:keepLines/>
      <w:spacing w:before="240"/>
      <w:outlineLvl w:val="0"/>
    </w:pPr>
    <w:rPr>
      <w:rFonts w:eastAsia="MS Gothic"/>
      <w:b/>
      <w:color w:val="2E74B5" w:themeColor="accent1" w:themeShade="BF"/>
      <w:sz w:val="32"/>
    </w:rPr>
  </w:style>
  <w:style w:type="paragraph" w:styleId="Heading2">
    <w:name w:val="heading 2"/>
    <w:basedOn w:val="Normal"/>
    <w:next w:val="Normal"/>
    <w:link w:val="Heading2Char"/>
    <w:autoRedefine/>
    <w:uiPriority w:val="9"/>
    <w:unhideWhenUsed/>
    <w:qFormat/>
    <w:rsid w:val="004F5CE2"/>
    <w:pPr>
      <w:keepNext/>
      <w:keepLines/>
      <w:spacing w:before="40"/>
      <w:outlineLvl w:val="1"/>
    </w:pPr>
    <w:rPr>
      <w:rFonts w:eastAsia="MS Mincho"/>
      <w:b/>
      <w:color w:val="2E74B5" w:themeColor="accent1" w:themeShade="BF"/>
      <w:sz w:val="28"/>
    </w:rPr>
  </w:style>
  <w:style w:type="paragraph" w:styleId="Heading3">
    <w:name w:val="heading 3"/>
    <w:basedOn w:val="Normal"/>
    <w:next w:val="Normal"/>
    <w:link w:val="Heading3Char"/>
    <w:autoRedefine/>
    <w:uiPriority w:val="9"/>
    <w:unhideWhenUsed/>
    <w:qFormat/>
    <w:rsid w:val="00510029"/>
    <w:pPr>
      <w:keepNext/>
      <w:keepLines/>
      <w:spacing w:before="40"/>
      <w:outlineLvl w:val="2"/>
    </w:pPr>
    <w:rPr>
      <w:rFonts w:eastAsiaTheme="majorEastAsia" w:cstheme="majorBidi"/>
      <w:b/>
      <w:color w:val="00B0F0"/>
    </w:rPr>
  </w:style>
  <w:style w:type="paragraph" w:styleId="Heading4">
    <w:name w:val="heading 4"/>
    <w:basedOn w:val="Normal"/>
    <w:next w:val="Normal"/>
    <w:link w:val="Heading4Char"/>
    <w:uiPriority w:val="9"/>
    <w:semiHidden/>
    <w:unhideWhenUsed/>
    <w:qFormat/>
    <w:rsid w:val="00D85F1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CE2"/>
    <w:rPr>
      <w:rFonts w:eastAsia="MS Gothic"/>
      <w:b/>
      <w:color w:val="2E74B5" w:themeColor="accent1" w:themeShade="BF"/>
      <w:sz w:val="32"/>
    </w:rPr>
  </w:style>
  <w:style w:type="character" w:customStyle="1" w:styleId="Heading2Char">
    <w:name w:val="Heading 2 Char"/>
    <w:basedOn w:val="DefaultParagraphFont"/>
    <w:link w:val="Heading2"/>
    <w:uiPriority w:val="9"/>
    <w:rsid w:val="004F5CE2"/>
    <w:rPr>
      <w:rFonts w:eastAsia="MS Mincho"/>
      <w:b/>
      <w:color w:val="2E74B5" w:themeColor="accent1" w:themeShade="BF"/>
      <w:sz w:val="28"/>
    </w:rPr>
  </w:style>
  <w:style w:type="character" w:customStyle="1" w:styleId="Heading3Char">
    <w:name w:val="Heading 3 Char"/>
    <w:basedOn w:val="DefaultParagraphFont"/>
    <w:link w:val="Heading3"/>
    <w:uiPriority w:val="9"/>
    <w:rsid w:val="00510029"/>
    <w:rPr>
      <w:rFonts w:eastAsiaTheme="majorEastAsia" w:cstheme="majorBidi"/>
      <w:b/>
      <w:color w:val="00B0F0"/>
      <w:szCs w:val="24"/>
    </w:rPr>
  </w:style>
  <w:style w:type="paragraph" w:styleId="Header">
    <w:name w:val="header"/>
    <w:basedOn w:val="Normal"/>
    <w:link w:val="HeaderChar"/>
    <w:uiPriority w:val="99"/>
    <w:unhideWhenUsed/>
    <w:rsid w:val="00D85F1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85F1C"/>
  </w:style>
  <w:style w:type="paragraph" w:styleId="Footer">
    <w:name w:val="footer"/>
    <w:basedOn w:val="Normal"/>
    <w:link w:val="FooterChar"/>
    <w:uiPriority w:val="99"/>
    <w:unhideWhenUsed/>
    <w:rsid w:val="00D85F1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85F1C"/>
  </w:style>
  <w:style w:type="character" w:customStyle="1" w:styleId="Heading4Char">
    <w:name w:val="Heading 4 Char"/>
    <w:basedOn w:val="DefaultParagraphFont"/>
    <w:link w:val="Heading4"/>
    <w:uiPriority w:val="9"/>
    <w:semiHidden/>
    <w:rsid w:val="00D85F1C"/>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unhideWhenUsed/>
    <w:rsid w:val="00D85F1C"/>
    <w:rPr>
      <w:color w:val="0563C1" w:themeColor="hyperlink"/>
      <w:u w:val="single"/>
    </w:rPr>
  </w:style>
  <w:style w:type="paragraph" w:styleId="TOCHeading">
    <w:name w:val="TOC Heading"/>
    <w:basedOn w:val="Heading1"/>
    <w:next w:val="Normal"/>
    <w:uiPriority w:val="39"/>
    <w:unhideWhenUsed/>
    <w:qFormat/>
    <w:rsid w:val="00D85F1C"/>
    <w:pPr>
      <w:spacing w:after="0" w:line="259" w:lineRule="auto"/>
      <w:jc w:val="left"/>
      <w:outlineLvl w:val="9"/>
    </w:pPr>
    <w:rPr>
      <w:rFonts w:asciiTheme="majorHAnsi" w:eastAsiaTheme="majorEastAsia" w:hAnsiTheme="majorHAnsi" w:cstheme="majorBidi"/>
      <w:b w:val="0"/>
      <w:szCs w:val="32"/>
    </w:rPr>
  </w:style>
  <w:style w:type="paragraph" w:styleId="TOC1">
    <w:name w:val="toc 1"/>
    <w:basedOn w:val="Normal"/>
    <w:next w:val="Normal"/>
    <w:autoRedefine/>
    <w:uiPriority w:val="39"/>
    <w:unhideWhenUsed/>
    <w:rsid w:val="00D85F1C"/>
    <w:pPr>
      <w:spacing w:after="100"/>
    </w:pPr>
  </w:style>
  <w:style w:type="paragraph" w:styleId="TOC2">
    <w:name w:val="toc 2"/>
    <w:basedOn w:val="Normal"/>
    <w:next w:val="Normal"/>
    <w:autoRedefine/>
    <w:uiPriority w:val="39"/>
    <w:unhideWhenUsed/>
    <w:rsid w:val="00D85F1C"/>
    <w:pPr>
      <w:spacing w:after="100"/>
      <w:ind w:left="240"/>
    </w:pPr>
  </w:style>
  <w:style w:type="paragraph" w:styleId="ListParagraph">
    <w:name w:val="List Paragraph"/>
    <w:basedOn w:val="Normal"/>
    <w:uiPriority w:val="34"/>
    <w:qFormat/>
    <w:rsid w:val="00A42C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40257">
      <w:bodyDiv w:val="1"/>
      <w:marLeft w:val="0"/>
      <w:marRight w:val="0"/>
      <w:marTop w:val="0"/>
      <w:marBottom w:val="0"/>
      <w:divBdr>
        <w:top w:val="none" w:sz="0" w:space="0" w:color="auto"/>
        <w:left w:val="none" w:sz="0" w:space="0" w:color="auto"/>
        <w:bottom w:val="none" w:sz="0" w:space="0" w:color="auto"/>
        <w:right w:val="none" w:sz="0" w:space="0" w:color="auto"/>
      </w:divBdr>
    </w:div>
    <w:div w:id="165026526">
      <w:bodyDiv w:val="1"/>
      <w:marLeft w:val="0"/>
      <w:marRight w:val="0"/>
      <w:marTop w:val="0"/>
      <w:marBottom w:val="0"/>
      <w:divBdr>
        <w:top w:val="none" w:sz="0" w:space="0" w:color="auto"/>
        <w:left w:val="none" w:sz="0" w:space="0" w:color="auto"/>
        <w:bottom w:val="none" w:sz="0" w:space="0" w:color="auto"/>
        <w:right w:val="none" w:sz="0" w:space="0" w:color="auto"/>
      </w:divBdr>
    </w:div>
    <w:div w:id="176235745">
      <w:bodyDiv w:val="1"/>
      <w:marLeft w:val="0"/>
      <w:marRight w:val="0"/>
      <w:marTop w:val="0"/>
      <w:marBottom w:val="0"/>
      <w:divBdr>
        <w:top w:val="none" w:sz="0" w:space="0" w:color="auto"/>
        <w:left w:val="none" w:sz="0" w:space="0" w:color="auto"/>
        <w:bottom w:val="none" w:sz="0" w:space="0" w:color="auto"/>
        <w:right w:val="none" w:sz="0" w:space="0" w:color="auto"/>
      </w:divBdr>
      <w:divsChild>
        <w:div w:id="974725369">
          <w:marLeft w:val="0"/>
          <w:marRight w:val="0"/>
          <w:marTop w:val="0"/>
          <w:marBottom w:val="0"/>
          <w:divBdr>
            <w:top w:val="none" w:sz="0" w:space="0" w:color="auto"/>
            <w:left w:val="none" w:sz="0" w:space="0" w:color="auto"/>
            <w:bottom w:val="none" w:sz="0" w:space="0" w:color="auto"/>
            <w:right w:val="none" w:sz="0" w:space="0" w:color="auto"/>
          </w:divBdr>
          <w:divsChild>
            <w:div w:id="1308513975">
              <w:marLeft w:val="0"/>
              <w:marRight w:val="0"/>
              <w:marTop w:val="0"/>
              <w:marBottom w:val="0"/>
              <w:divBdr>
                <w:top w:val="none" w:sz="0" w:space="0" w:color="auto"/>
                <w:left w:val="none" w:sz="0" w:space="0" w:color="auto"/>
                <w:bottom w:val="none" w:sz="0" w:space="0" w:color="auto"/>
                <w:right w:val="none" w:sz="0" w:space="0" w:color="auto"/>
              </w:divBdr>
              <w:divsChild>
                <w:div w:id="1530528553">
                  <w:marLeft w:val="0"/>
                  <w:marRight w:val="0"/>
                  <w:marTop w:val="0"/>
                  <w:marBottom w:val="0"/>
                  <w:divBdr>
                    <w:top w:val="none" w:sz="0" w:space="0" w:color="auto"/>
                    <w:left w:val="none" w:sz="0" w:space="0" w:color="auto"/>
                    <w:bottom w:val="none" w:sz="0" w:space="0" w:color="auto"/>
                    <w:right w:val="none" w:sz="0" w:space="0" w:color="auto"/>
                  </w:divBdr>
                  <w:divsChild>
                    <w:div w:id="1460876511">
                      <w:marLeft w:val="0"/>
                      <w:marRight w:val="0"/>
                      <w:marTop w:val="0"/>
                      <w:marBottom w:val="0"/>
                      <w:divBdr>
                        <w:top w:val="none" w:sz="0" w:space="0" w:color="auto"/>
                        <w:left w:val="none" w:sz="0" w:space="0" w:color="auto"/>
                        <w:bottom w:val="none" w:sz="0" w:space="0" w:color="auto"/>
                        <w:right w:val="none" w:sz="0" w:space="0" w:color="auto"/>
                      </w:divBdr>
                      <w:divsChild>
                        <w:div w:id="1434549716">
                          <w:marLeft w:val="0"/>
                          <w:marRight w:val="0"/>
                          <w:marTop w:val="0"/>
                          <w:marBottom w:val="0"/>
                          <w:divBdr>
                            <w:top w:val="none" w:sz="0" w:space="0" w:color="auto"/>
                            <w:left w:val="none" w:sz="0" w:space="0" w:color="auto"/>
                            <w:bottom w:val="none" w:sz="0" w:space="0" w:color="auto"/>
                            <w:right w:val="none" w:sz="0" w:space="0" w:color="auto"/>
                          </w:divBdr>
                          <w:divsChild>
                            <w:div w:id="637106257">
                              <w:marLeft w:val="0"/>
                              <w:marRight w:val="0"/>
                              <w:marTop w:val="0"/>
                              <w:marBottom w:val="0"/>
                              <w:divBdr>
                                <w:top w:val="none" w:sz="0" w:space="0" w:color="auto"/>
                                <w:left w:val="none" w:sz="0" w:space="0" w:color="auto"/>
                                <w:bottom w:val="none" w:sz="0" w:space="0" w:color="auto"/>
                                <w:right w:val="none" w:sz="0" w:space="0" w:color="auto"/>
                              </w:divBdr>
                              <w:divsChild>
                                <w:div w:id="2048943919">
                                  <w:marLeft w:val="0"/>
                                  <w:marRight w:val="0"/>
                                  <w:marTop w:val="0"/>
                                  <w:marBottom w:val="0"/>
                                  <w:divBdr>
                                    <w:top w:val="none" w:sz="0" w:space="0" w:color="auto"/>
                                    <w:left w:val="none" w:sz="0" w:space="0" w:color="auto"/>
                                    <w:bottom w:val="none" w:sz="0" w:space="0" w:color="auto"/>
                                    <w:right w:val="none" w:sz="0" w:space="0" w:color="auto"/>
                                  </w:divBdr>
                                  <w:divsChild>
                                    <w:div w:id="58349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4158158">
      <w:bodyDiv w:val="1"/>
      <w:marLeft w:val="0"/>
      <w:marRight w:val="0"/>
      <w:marTop w:val="0"/>
      <w:marBottom w:val="0"/>
      <w:divBdr>
        <w:top w:val="none" w:sz="0" w:space="0" w:color="auto"/>
        <w:left w:val="none" w:sz="0" w:space="0" w:color="auto"/>
        <w:bottom w:val="none" w:sz="0" w:space="0" w:color="auto"/>
        <w:right w:val="none" w:sz="0" w:space="0" w:color="auto"/>
      </w:divBdr>
    </w:div>
    <w:div w:id="935748167">
      <w:bodyDiv w:val="1"/>
      <w:marLeft w:val="0"/>
      <w:marRight w:val="0"/>
      <w:marTop w:val="0"/>
      <w:marBottom w:val="0"/>
      <w:divBdr>
        <w:top w:val="none" w:sz="0" w:space="0" w:color="auto"/>
        <w:left w:val="none" w:sz="0" w:space="0" w:color="auto"/>
        <w:bottom w:val="none" w:sz="0" w:space="0" w:color="auto"/>
        <w:right w:val="none" w:sz="0" w:space="0" w:color="auto"/>
      </w:divBdr>
    </w:div>
    <w:div w:id="1638024253">
      <w:bodyDiv w:val="1"/>
      <w:marLeft w:val="0"/>
      <w:marRight w:val="0"/>
      <w:marTop w:val="0"/>
      <w:marBottom w:val="0"/>
      <w:divBdr>
        <w:top w:val="none" w:sz="0" w:space="0" w:color="auto"/>
        <w:left w:val="none" w:sz="0" w:space="0" w:color="auto"/>
        <w:bottom w:val="none" w:sz="0" w:space="0" w:color="auto"/>
        <w:right w:val="none" w:sz="0" w:space="0" w:color="auto"/>
      </w:divBdr>
    </w:div>
    <w:div w:id="1677608597">
      <w:bodyDiv w:val="1"/>
      <w:marLeft w:val="0"/>
      <w:marRight w:val="0"/>
      <w:marTop w:val="0"/>
      <w:marBottom w:val="0"/>
      <w:divBdr>
        <w:top w:val="none" w:sz="0" w:space="0" w:color="auto"/>
        <w:left w:val="none" w:sz="0" w:space="0" w:color="auto"/>
        <w:bottom w:val="none" w:sz="0" w:space="0" w:color="auto"/>
        <w:right w:val="none" w:sz="0" w:space="0" w:color="auto"/>
      </w:divBdr>
    </w:div>
    <w:div w:id="209292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acceco.2010.10.001"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qca.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ccg.n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rive.google.com/file/d/1jsDyv4gsoDubWza2McizcmjRL9gUAo3D/view"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rc.org.uk"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394C3A6-5DB7-4A24-9429-86241EE7D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2360</Words>
  <Characters>13457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Cristina Solomon</cp:lastModifiedBy>
  <cp:revision>3</cp:revision>
  <dcterms:created xsi:type="dcterms:W3CDTF">2025-06-03T14:11:00Z</dcterms:created>
  <dcterms:modified xsi:type="dcterms:W3CDTF">2025-06-22T09:03:00Z</dcterms:modified>
</cp:coreProperties>
</file>