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Critically analyse the implications for advocacy managers regarding the professionalisation of Independent Advocacy within a context of your choice.</w:t>
      </w:r>
    </w:p>
    <w:p w:rsidR="00000000" w:rsidDel="00000000" w:rsidP="00000000" w:rsidRDefault="00000000" w:rsidRPr="00000000" w14:paraId="00000002">
      <w:pPr>
        <w:jc w:val="left"/>
        <w:rPr>
          <w:rFonts w:ascii="Playfair Display" w:cs="Playfair Display" w:eastAsia="Playfair Display" w:hAnsi="Playfair Display"/>
          <w:sz w:val="24"/>
          <w:szCs w:val="24"/>
        </w:rPr>
      </w:pPr>
      <w:r w:rsidDel="00000000" w:rsidR="00000000" w:rsidRPr="00000000">
        <w:rPr>
          <w:rtl w:val="0"/>
        </w:rPr>
      </w:r>
    </w:p>
    <w:p w:rsidR="00000000" w:rsidDel="00000000" w:rsidP="00000000" w:rsidRDefault="00000000" w:rsidRPr="00000000" w14:paraId="00000003">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The management of advocacy - How a lack of standardised service, limits the execution of recognised advocacy practice whilst simultaneously ensuring the quality of service. Protection vs Prevention - Hearing youth.</w:t>
      </w:r>
    </w:p>
    <w:p w:rsidR="00000000" w:rsidDel="00000000" w:rsidP="00000000" w:rsidRDefault="00000000" w:rsidRPr="00000000" w14:paraId="00000004">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05">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Advocacy practice suffers globally from a lack of consensus on its definition. The concept of advocacy is generally understood as the defence of an individual or group’s rights. (Dalrymple, 2004) However, the managerial system in place to facilitate many modes of advocacy is one which lacks consistency as a result perhaps of the issues surrounding definition. The Scottish government recognises that there are a ”plethora of definitions and models of advocacy” (Scottish Government, 2021) whilst highlighting common issues as explained in their advice and guidance publication on social security and advocacy service standards.</w:t>
      </w:r>
    </w:p>
    <w:p w:rsidR="00000000" w:rsidDel="00000000" w:rsidP="00000000" w:rsidRDefault="00000000" w:rsidRPr="00000000" w14:paraId="00000006">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07">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Whilst advocacy as a concept is simple because it is about supporting an individual to share their views, perceptions or wishes, defining the tangible parameters of advocacy remains a complex and difficult task. (Scottish Government, 2021).</w:t>
      </w:r>
    </w:p>
    <w:p w:rsidR="00000000" w:rsidDel="00000000" w:rsidP="00000000" w:rsidRDefault="00000000" w:rsidRPr="00000000" w14:paraId="00000008">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09">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difficulty appears to be in the details, and this may have arisen due to the diverse ways advocacy services have developed to support a diverse collective of individuals and groups in a multitude of contexts. (Mind, 2024)</w:t>
      </w:r>
    </w:p>
    <w:p w:rsidR="00000000" w:rsidDel="00000000" w:rsidP="00000000" w:rsidRDefault="00000000" w:rsidRPr="00000000" w14:paraId="0000000A">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0B">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Advocacy has been becoming increasingly important within the complex modern social landscape where individuals and groups require help navigating the processes and events that affect their lives within the administrative structures of society. In an era of mass censorship, restricted speech and silencing. Social reproduction theory is often associated with the barriers to social mobility and efforts by Tony Blair to create a classless society with social mobility (Saunders, 2019). In this essay, the focus is on the position of young people within society who have experienced the care system with the input of advocacy works in a variety of positions and levels of support and or power. It involves navigating the legal and social justice system or courts and police, establishing financial independence, emotional stability and consistent support throughout their time in care. </w:t>
      </w:r>
    </w:p>
    <w:p w:rsidR="00000000" w:rsidDel="00000000" w:rsidP="00000000" w:rsidRDefault="00000000" w:rsidRPr="00000000" w14:paraId="0000000C">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0D">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Many of these young individuals which do not have access to the financial resources or social skills, legal documentation and familiar support necessary to advocate for themselves in an effective manner nor choose a suitable professional to represent them. </w:t>
      </w:r>
    </w:p>
    <w:p w:rsidR="00000000" w:rsidDel="00000000" w:rsidP="00000000" w:rsidRDefault="00000000" w:rsidRPr="00000000" w14:paraId="0000000E">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0F">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Under an increase in extreme conservative value (Beauchamp, 2024), is the implementation of civil, organised defence and recognised support that has become an apparent must in such an uncertain time to grow. “When you want to help people, you tell them the truth. When you want to help yourself, you tell them what they want to hear.” (ConservativeHome, 2025). This brings into question the presentation of youth rights against a back group of ancient administrative practice and a lack of formal discourse. A world where the words of one represent a collective. How can advocacy ever be truly professionalised when it is already so personal? </w:t>
      </w:r>
    </w:p>
    <w:p w:rsidR="00000000" w:rsidDel="00000000" w:rsidP="00000000" w:rsidRDefault="00000000" w:rsidRPr="00000000" w14:paraId="00000010">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1">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This essay sets out to explore the professionalisation of youth advocacy services and its implications. </w:t>
      </w:r>
    </w:p>
    <w:p w:rsidR="00000000" w:rsidDel="00000000" w:rsidP="00000000" w:rsidRDefault="00000000" w:rsidRPr="00000000" w14:paraId="00000012">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3">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Young people in need of advocacy are extremely vulnerable and therefore the highest standards of service must be available. Managers are tasked with providing advocates who can deliver such support consistently and without bias to all who require it. Managers must also support the continued professional development and training of their advocates. (BCCYAC, 2025). </w:t>
      </w:r>
      <w:r w:rsidDel="00000000" w:rsidR="00000000" w:rsidRPr="00000000">
        <w:rPr>
          <w:rFonts w:ascii="Playfair Display" w:cs="Playfair Display" w:eastAsia="Playfair Display" w:hAnsi="Playfair Display"/>
          <w:sz w:val="20"/>
          <w:szCs w:val="20"/>
          <w:rtl w:val="0"/>
        </w:rPr>
        <w:t xml:space="preserve">Professional advocacy, while highly beneficial, also faces several challenges, for example,</w:t>
      </w:r>
      <w:r w:rsidDel="00000000" w:rsidR="00000000" w:rsidRPr="00000000">
        <w:rPr>
          <w:rFonts w:ascii="Playfair Display" w:cs="Playfair Display" w:eastAsia="Playfair Display" w:hAnsi="Playfair Display"/>
          <w:sz w:val="20"/>
          <w:szCs w:val="20"/>
          <w:rtl w:val="0"/>
        </w:rPr>
        <w:t xml:space="preserve"> l</w:t>
      </w:r>
      <w:r w:rsidDel="00000000" w:rsidR="00000000" w:rsidRPr="00000000">
        <w:rPr>
          <w:rFonts w:ascii="Playfair Display" w:cs="Playfair Display" w:eastAsia="Playfair Display" w:hAnsi="Playfair Display"/>
          <w:sz w:val="20"/>
          <w:szCs w:val="20"/>
          <w:rtl w:val="0"/>
        </w:rPr>
        <w:t xml:space="preserve">imitations to advocacy include a lack of support quality standards, time, funding and legislative barriers, personal advocate bias and a lack of continuity. Access and availability.  “</w:t>
      </w:r>
      <w:r w:rsidDel="00000000" w:rsidR="00000000" w:rsidRPr="00000000">
        <w:rPr>
          <w:rFonts w:ascii="Playfair Display" w:cs="Playfair Display" w:eastAsia="Playfair Display" w:hAnsi="Playfair Display"/>
          <w:sz w:val="20"/>
          <w:szCs w:val="20"/>
          <w:rtl w:val="0"/>
        </w:rPr>
        <w:t xml:space="preserve">Not all individuals have equal access to professional advocacy services. Funding and Resources: Adequate funding and resources are required to ensure high-quality advocacy services.” (Learning, 2024). Over the last few decades, the fight for professionalised practice within advocacy has increased, this is represented in legislation and jurisdiction.</w:t>
      </w:r>
      <w:r w:rsidDel="00000000" w:rsidR="00000000" w:rsidRPr="00000000">
        <w:rPr>
          <w:rtl w:val="0"/>
        </w:rPr>
      </w:r>
    </w:p>
    <w:p w:rsidR="00000000" w:rsidDel="00000000" w:rsidP="00000000" w:rsidRDefault="00000000" w:rsidRPr="00000000" w14:paraId="00000014">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5">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induction of the 1989 Children's Act placed a duty of care within local authorities as a promotion of safeguarding the welfare of children in the UK by  “providing a range of services appropriate to those children’s needs” (Foster, 2025) this is highlighted in section 17. In addition setting out standard reactions, practices and responsibility from local authorities and governance in response to the “reasonable cause to suspect that a child in its area is suffering, or is likely to suffer, significant harm” (Foster, 2025) As required in section 47. The Children’s Act was one of the first examples of youth-led legislation and standardising safeguarding. Recognising the responsibility of civil service in the role of advocacy. However, as must all social law, interaction and motion there is evasion and limitations to the rule. For example, “Section 31 of the Act set out the circumstances under which a court may make an order placing a child in local authority care.” (Foster, 2025) regardless of an authority-elected individual, organisation or charity there are still parameters to the safeguarding and advocacy and child as a reflection of what is recognised as acceptable and standard welfare. If a young person does not meet the criteria of ‘victim’, ‘vulnerable’ or ‘endangered’ under the scrutiny of the elected global governance the service available to them is limited, especially concerning looked-after children under section 22. </w:t>
      </w:r>
    </w:p>
    <w:p w:rsidR="00000000" w:rsidDel="00000000" w:rsidP="00000000" w:rsidRDefault="00000000" w:rsidRPr="00000000" w14:paraId="00000016">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7">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safety of young people cannot be balanced upon the simple code of practice, there is no universal understanding of well-being with the trajectory to secure a professionalised practice. Advocacy is too individualised.</w:t>
      </w:r>
    </w:p>
    <w:p w:rsidR="00000000" w:rsidDel="00000000" w:rsidP="00000000" w:rsidRDefault="00000000" w:rsidRPr="00000000" w14:paraId="00000018">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9">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To advocate effectively we must recognise an individual's standing, history and experience. The value of which can be often lost within the framework of organisations that strive to professionalise and promote equal opportunity for young people. There is a contact battle between professionalisation and personalisation in the performance of advocacy. </w:t>
      </w:r>
    </w:p>
    <w:p w:rsidR="00000000" w:rsidDel="00000000" w:rsidP="00000000" w:rsidRDefault="00000000" w:rsidRPr="00000000" w14:paraId="0000001A">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B">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“Advocates come from a diverse range of backgrounds but all have an incisive, intelligent interest in the law and a determined approach when it comes to assessing their client's position.” If anyone can advocate how can the practice and outcome be standardised, every advocate, each young person requires their unique definition. There are strong arguments for the professionalisation of advocacy to ensure all children have equal access to high-quality support and services, however, others have argued that the standardised approach to youth advocacy in recent years has had some negative consequences. “Professionalisation, in its push for accepted standards of practice, could eliminate styles of work which are effective but idiosyncratic and unorthodox.” (Sercombe, 2004). Furthermore, the efficacy of advocates is often limited within the practice where other authorities often hold sway and multiple agencies have their agenda. Similar to the advocacy of any group, for example domestic violence surviours, evidence attributes to value and value influences action </w:t>
      </w:r>
    </w:p>
    <w:p w:rsidR="00000000" w:rsidDel="00000000" w:rsidP="00000000" w:rsidRDefault="00000000" w:rsidRPr="00000000" w14:paraId="0000001C">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D">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.Not everyone has the same access opportunities. For example victims of domestic violence; by limiting an individuals  ability ability to identify and leave difficult situations such as domestic violence. “When you have no access to money and other economic resources, the barriers to escaping domestic abuse can seem insurmountable.” (Women's Aid, 2019). The economics of abuse is a prime example of the transition between power and control. All due to the preexciped roles, values and positions of an individual in society as a reflection of their recognised identify. </w:t>
      </w:r>
    </w:p>
    <w:p w:rsidR="00000000" w:rsidDel="00000000" w:rsidP="00000000" w:rsidRDefault="00000000" w:rsidRPr="00000000" w14:paraId="0000001E">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1F">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social reproduction of inequality highlights the vulnerable position of young people in society as victims of experience typology that reproduces inequality through exercised roles within and outside of the system. Expectations and standard practice cannot be subject to change in such a manner if Advocacy is to be globally recognises and managed in a productive manner against other authrietiry figures, powers and funding bodies. Youth advocacy does not have the same stage nor practice to be defined as such, a scratch on the map of social justice and stability.</w:t>
      </w:r>
    </w:p>
    <w:p w:rsidR="00000000" w:rsidDel="00000000" w:rsidP="00000000" w:rsidRDefault="00000000" w:rsidRPr="00000000" w14:paraId="00000020">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1">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Between the ascribed continents for areas of progression; for example American deporttion laws being at the forefront of national new in a country (Kerr, 2025) where over </w:t>
      </w:r>
      <w:r w:rsidDel="00000000" w:rsidR="00000000" w:rsidRPr="00000000">
        <w:rPr>
          <w:rFonts w:ascii="Playfair Display" w:cs="Playfair Display" w:eastAsia="Playfair Display" w:hAnsi="Playfair Display"/>
          <w:sz w:val="20"/>
          <w:szCs w:val="20"/>
          <w:rtl w:val="0"/>
        </w:rPr>
        <w:t xml:space="preserve">“606,000 children” (Bureau of Justice, 2021) as of 2021 are recognised under the care system. In comparison to the 2023 census which estimated over 48.2 million young people in the United States aged 14 to 24. This includes about 30.5 million young adults aged 18 to 24. (Department of Economics, 2023). In 2019, 49% of these ‘recognised’ children in the United States participated in a social safety net program(“How Many People Participate in the Social Safety Net? | ASPE”, 2023). Which is to suggest the intervention of youth advocacy programs is at an all time high, yet undervalued within social spheres to gain the trajectory necessary to make a difference, Gain funding and standardised practice there must be recognition. A mere 606,000 children are understood as a part of the social service system, designated to “help people meet their basic needs for health and welfare. “ (Bureau of Justice, 2021). </w:t>
      </w:r>
    </w:p>
    <w:p w:rsidR="00000000" w:rsidDel="00000000" w:rsidP="00000000" w:rsidRDefault="00000000" w:rsidRPr="00000000" w14:paraId="00000022">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3">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publication and social recognition of  the importance of youth advocacy is necessary in the progression of the professionalisation of Avocaty, providing managers with a platform for change. </w:t>
      </w:r>
    </w:p>
    <w:p w:rsidR="00000000" w:rsidDel="00000000" w:rsidP="00000000" w:rsidRDefault="00000000" w:rsidRPr="00000000" w14:paraId="00000024">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However in comparison to the US where an individual is ‘relased’ from the care of social services at eighteen; the UK allowed intervention for an extended period of time at the discretion of advocacy organisations. “In the UK social care system, a person typically ‘leaves care’ when they turn 18 years old, although local authorities must provide support until at least age 25 for those leaving the care system; this means they are no longer considered to be under the direct supervision of social care services after 18, but can still access support for transitioning into independent living. (UK.GOV, 2023). Even between to globally recognised nations of power, these is a level of indifference when referring to youth advocacy and social services which limits the scope of influence positive change may have. </w:t>
      </w:r>
    </w:p>
    <w:p w:rsidR="00000000" w:rsidDel="00000000" w:rsidP="00000000" w:rsidRDefault="00000000" w:rsidRPr="00000000" w14:paraId="00000025">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6">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Advocacy services support young people in several ways and a range of spheres such as mental health, financial wellness, crime and independence. Professional advocates support young people alongside a multitude of external authority structures such as the UK’s disclosure and barring service,  courts, social services as well as regulatory frameworks within a fragmented childcare industry.  (Mind, 2024). There is an ambiguous definition of advocate authority. </w:t>
      </w:r>
    </w:p>
    <w:p w:rsidR="00000000" w:rsidDel="00000000" w:rsidP="00000000" w:rsidRDefault="00000000" w:rsidRPr="00000000" w14:paraId="00000027">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8">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Professionalisation in itself is an instructed practice “Professionalisation is defined as "The action or process of giving an occupation, activity, or group professional qualities, typically by increasing training or raising required qualifications.” (PtD, 2024).</w:t>
      </w:r>
      <w:r w:rsidDel="00000000" w:rsidR="00000000" w:rsidRPr="00000000">
        <w:rPr>
          <w:rtl w:val="0"/>
        </w:rPr>
      </w:r>
    </w:p>
    <w:p w:rsidR="00000000" w:rsidDel="00000000" w:rsidP="00000000" w:rsidRDefault="00000000" w:rsidRPr="00000000" w14:paraId="00000029">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There are no specific qualifications or rules to the role of an advocate nor advocacy manager. However in recent years there has been in incline in advocacy based training. As stipulated in the city and guilds, there are now “</w:t>
      </w:r>
      <w:r w:rsidDel="00000000" w:rsidR="00000000" w:rsidRPr="00000000">
        <w:rPr>
          <w:rFonts w:ascii="Playfair Display" w:cs="Playfair Display" w:eastAsia="Playfair Display" w:hAnsi="Playfair Display"/>
          <w:sz w:val="20"/>
          <w:szCs w:val="20"/>
          <w:rtl w:val="0"/>
        </w:rPr>
        <w:t xml:space="preserve">qualifications specifically designed to support the role of the Independent Advocate” (City and Guilds, 2023). These were introduced in 2023 a mere thirty four years following the Children's act of 1989. </w:t>
      </w:r>
    </w:p>
    <w:p w:rsidR="00000000" w:rsidDel="00000000" w:rsidP="00000000" w:rsidRDefault="00000000" w:rsidRPr="00000000" w14:paraId="0000002A">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B">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Regardless of age, sex, occupation or background the presence of advocacy is gradually becoming a prerequisite. “Appropriate recognition and action are critical, yet there may be a sense that the responsibility to respond rests mainly with local child welfare and law enforcement agencies that hold the mandate to investigate, leaving the clinician in an ancillary role.”(Shaffer </w:t>
      </w:r>
      <w:r w:rsidDel="00000000" w:rsidR="00000000" w:rsidRPr="00000000">
        <w:rPr>
          <w:rFonts w:ascii="Playfair Display" w:cs="Playfair Display" w:eastAsia="Playfair Display" w:hAnsi="Playfair Display"/>
          <w:i w:val="1"/>
          <w:sz w:val="20"/>
          <w:szCs w:val="20"/>
          <w:rtl w:val="0"/>
        </w:rPr>
        <w:t xml:space="preserve">et al.</w:t>
      </w:r>
      <w:r w:rsidDel="00000000" w:rsidR="00000000" w:rsidRPr="00000000">
        <w:rPr>
          <w:rFonts w:ascii="Playfair Display" w:cs="Playfair Display" w:eastAsia="Playfair Display" w:hAnsi="Playfair Display"/>
          <w:sz w:val="20"/>
          <w:szCs w:val="20"/>
          <w:rtl w:val="0"/>
        </w:rPr>
        <w:t xml:space="preserve">, 2018). Especially for those within the care system. Young people familiar with the social care system face many challenges as a result that are in addition to the narrative that is branded to them. “a silent and invisible issue, childhood trauma is pervasive, and has profound individual, societal and economic impacts” (Shaffer </w:t>
      </w:r>
      <w:r w:rsidDel="00000000" w:rsidR="00000000" w:rsidRPr="00000000">
        <w:rPr>
          <w:rFonts w:ascii="Playfair Display" w:cs="Playfair Display" w:eastAsia="Playfair Display" w:hAnsi="Playfair Display"/>
          <w:i w:val="1"/>
          <w:sz w:val="20"/>
          <w:szCs w:val="20"/>
          <w:rtl w:val="0"/>
        </w:rPr>
        <w:t xml:space="preserve">et al.</w:t>
      </w:r>
      <w:r w:rsidDel="00000000" w:rsidR="00000000" w:rsidRPr="00000000">
        <w:rPr>
          <w:rFonts w:ascii="Playfair Display" w:cs="Playfair Display" w:eastAsia="Playfair Display" w:hAnsi="Playfair Display"/>
          <w:sz w:val="20"/>
          <w:szCs w:val="20"/>
          <w:rtl w:val="0"/>
        </w:rPr>
        <w:t xml:space="preserve">, 2018). This includes issues of retaining independence, financial stability and emotional freedom.</w:t>
      </w:r>
    </w:p>
    <w:p w:rsidR="00000000" w:rsidDel="00000000" w:rsidP="00000000" w:rsidRDefault="00000000" w:rsidRPr="00000000" w14:paraId="0000002C">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D">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 Mental health charity ‘Mind’ recognises advocacy as a “means getting support from another person to help you express your views and wishes. And to help you stand up for your rights. Someone who helps you in this way is called your advocate.“(Mind, 2024), These patterns of unclear thought between agencies are imprinted within the systems which rely on advocacy the most (reference). There is no clear boundary of a description of an advocate outside of an individual's promise to uphold the views and wishes of another regardless of their own. How is one to define, manage and enforce an expectation or standard practice for such an open relationship between advocate and client? “In some jurisdictions, the model of service delivery is referred to as a Child Advocacy Centre (CAC), while in other locations the terminology is a Child &amp; Youth Advocacy Centre (CYAC). For this website, when referring to Canadian models, CYAC includes both terms” (BCCYAC, 2025).</w:t>
      </w:r>
    </w:p>
    <w:p w:rsidR="00000000" w:rsidDel="00000000" w:rsidP="00000000" w:rsidRDefault="00000000" w:rsidRPr="00000000" w14:paraId="0000002E">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2F">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The measure of human compassion therefore cannot be standardised and thus advocacy must limit its spectrum of influence within other societal infrastructure. For example, union representation, an arguable domino effect of the practice of advocacy however creates an essence of solidarity. This is to argue that the position of advocates especially within the care system is built upon an expectation of human good. Advocacy is “multifaceted, requiring the intersecting involvement of child welfare, law enforcement, medical care, mental health services and victim support. These agencies all have separate mandates that address specific aspects of an overall case, but often have overlap in the information they require, their level of involvement” (Shaffer </w:t>
      </w:r>
      <w:r w:rsidDel="00000000" w:rsidR="00000000" w:rsidRPr="00000000">
        <w:rPr>
          <w:rFonts w:ascii="Playfair Display" w:cs="Playfair Display" w:eastAsia="Playfair Display" w:hAnsi="Playfair Display"/>
          <w:i w:val="1"/>
          <w:sz w:val="20"/>
          <w:szCs w:val="20"/>
          <w:rtl w:val="0"/>
        </w:rPr>
        <w:t xml:space="preserve">et al.</w:t>
      </w:r>
      <w:r w:rsidDel="00000000" w:rsidR="00000000" w:rsidRPr="00000000">
        <w:rPr>
          <w:rFonts w:ascii="Playfair Display" w:cs="Playfair Display" w:eastAsia="Playfair Display" w:hAnsi="Playfair Display"/>
          <w:sz w:val="20"/>
          <w:szCs w:val="20"/>
          <w:rtl w:val="0"/>
        </w:rPr>
        <w:t xml:space="preserve">, 2018). To create an effective narrative of advocacy there must be a spectrum of value, who is deemed important enough to represent, who has suffered more, who is vulnerable under the view of a fixed system. For advocacy to be professionalised there must be a fall out of young people that do not meet the parameters set out for true, organised, formal and inclusive advocacy with the ability to enable change. As previously stated the children’s act may have mandated power to local authorities yet there is a duty of care to all young people, regardless of met requirements and this advocacy loses standing in many professional sectors due to a lack of recognised power. </w:t>
      </w:r>
    </w:p>
    <w:p w:rsidR="00000000" w:rsidDel="00000000" w:rsidP="00000000" w:rsidRDefault="00000000" w:rsidRPr="00000000" w14:paraId="00000030">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31">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Anyone can advocate, just as anyone may need a voice to project their own. However to serve these individuals in a publicly recognised and authoritative manner is to accept a system which labels and substuquentily misses victims within the system. Just as E</w:t>
      </w:r>
      <w:r w:rsidDel="00000000" w:rsidR="00000000" w:rsidRPr="00000000">
        <w:rPr>
          <w:rFonts w:ascii="Playfair Display" w:cs="Playfair Display" w:eastAsia="Playfair Display" w:hAnsi="Playfair Display"/>
          <w:sz w:val="20"/>
          <w:szCs w:val="20"/>
          <w:rtl w:val="0"/>
        </w:rPr>
        <w:t xml:space="preserve">mile Durkheim, a French sociologist, laid the foundation for labeling theory in his work, which </w:t>
      </w:r>
      <w:r w:rsidDel="00000000" w:rsidR="00000000" w:rsidRPr="00000000">
        <w:rPr>
          <w:rFonts w:ascii="Playfair Display" w:cs="Playfair Display" w:eastAsia="Playfair Display" w:hAnsi="Playfair Display"/>
          <w:sz w:val="20"/>
          <w:szCs w:val="20"/>
          <w:rtl w:val="0"/>
        </w:rPr>
        <w:t xml:space="preserve">argued that crime is a social reaction, not just a violation of the law (Labeling theory | Concepts, Theories, &amp; Criticism | Britannica”, 2025.). Who is to say a young persons needs are not reflective of system which limits them and advocates that are bound to profession practice and therefore cannot effective evoke for them? No one manager or organisation should be given the authonomy to make these decisions it is a global responsibility to enact such social law, one which unfortunately appears decades away. If advocates require speakers themselves in the profession of a ‘manager’ who advocates for them? If not a system built to oppress the voices which do not suit their predetermined judgments and plans.</w:t>
      </w:r>
    </w:p>
    <w:p w:rsidR="00000000" w:rsidDel="00000000" w:rsidP="00000000" w:rsidRDefault="00000000" w:rsidRPr="00000000" w14:paraId="00000032">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33">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It is these indiscretions that place advocacy managers in a unique position. Who is worthy of support and who does not meet the criteria. </w:t>
      </w:r>
    </w:p>
    <w:p w:rsidR="00000000" w:rsidDel="00000000" w:rsidP="00000000" w:rsidRDefault="00000000" w:rsidRPr="00000000" w14:paraId="00000034">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35">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In conclusion, it is the vast spectrum of people regardless of age, sex, gender and background which require advocacy that in itself destabilised its ability to aid. Outdated legislation is the backbone of youth advocacy, cemented so deep within the social justice system that progress is minimised by barriers of an already overworked, underfunded, regressing authority system and global audience. For a young person to effectively address their own needs and aspirations they must be given the chance to build a report/relationship which enables them. These relationships are becoming increasingly harder to achieve and maintain due to an overworked system. Even in the accounts where professionalisation could benefit a system it must first recognise a criteria that is near on importance to identify within a flood of specialised cases and a lack of global publocation. For a manager to properly navigate the professionalisation of advocacy would be to change the face, the definition and scope of their role. Limiting one path of action in order to promote and protect another. The professionalistion of advocacy is not impossible however it is under defined and lacking in social value to have any real pull within the current social climate.</w:t>
      </w:r>
    </w:p>
    <w:p w:rsidR="00000000" w:rsidDel="00000000" w:rsidP="00000000" w:rsidRDefault="00000000" w:rsidRPr="00000000" w14:paraId="00000036">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37">
      <w:pPr>
        <w:spacing w:line="360" w:lineRule="auto"/>
        <w:jc w:val="both"/>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Jasmine Williams </w:t>
      </w:r>
    </w:p>
    <w:p w:rsidR="00000000" w:rsidDel="00000000" w:rsidP="00000000" w:rsidRDefault="00000000" w:rsidRPr="00000000" w14:paraId="00000038">
      <w:pPr>
        <w:spacing w:line="360" w:lineRule="auto"/>
        <w:jc w:val="both"/>
        <w:rPr>
          <w:rFonts w:ascii="Playfair Display" w:cs="Playfair Display" w:eastAsia="Playfair Display" w:hAnsi="Playfair Display"/>
          <w:sz w:val="20"/>
          <w:szCs w:val="20"/>
        </w:rPr>
      </w:pPr>
      <w:r w:rsidDel="00000000" w:rsidR="00000000" w:rsidRPr="00000000">
        <w:rPr>
          <w:rFonts w:ascii="Playfair Display" w:cs="Playfair Display" w:eastAsia="Playfair Display" w:hAnsi="Playfair Display"/>
          <w:sz w:val="20"/>
          <w:szCs w:val="20"/>
          <w:rtl w:val="0"/>
        </w:rPr>
        <w:t xml:space="preserve">10.02.2025</w:t>
      </w:r>
    </w:p>
    <w:p w:rsidR="00000000" w:rsidDel="00000000" w:rsidP="00000000" w:rsidRDefault="00000000" w:rsidRPr="00000000" w14:paraId="00000039">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3A">
      <w:pPr>
        <w:spacing w:line="360" w:lineRule="auto"/>
        <w:jc w:val="both"/>
        <w:rPr>
          <w:rFonts w:ascii="Playfair Display" w:cs="Playfair Display" w:eastAsia="Playfair Display" w:hAnsi="Playfair Display"/>
          <w:sz w:val="20"/>
          <w:szCs w:val="20"/>
        </w:rPr>
      </w:pPr>
      <w:r w:rsidDel="00000000" w:rsidR="00000000" w:rsidRPr="00000000">
        <w:rPr>
          <w:rtl w:val="0"/>
        </w:rPr>
      </w:r>
    </w:p>
    <w:p w:rsidR="00000000" w:rsidDel="00000000" w:rsidP="00000000" w:rsidRDefault="00000000" w:rsidRPr="00000000" w14:paraId="0000003B">
      <w:pPr>
        <w:spacing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3C">
      <w:pPr>
        <w:rPr>
          <w:rFonts w:ascii="Playfair Display" w:cs="Playfair Display" w:eastAsia="Playfair Display" w:hAnsi="Playfair Display"/>
          <w:color w:val="3f5351"/>
          <w:sz w:val="24"/>
          <w:szCs w:val="24"/>
          <w:highlight w:val="white"/>
        </w:rPr>
      </w:pPr>
      <w:r w:rsidDel="00000000" w:rsidR="00000000" w:rsidRPr="00000000">
        <w:rPr>
          <w:rFonts w:ascii="Playfair Display" w:cs="Playfair Display" w:eastAsia="Playfair Display" w:hAnsi="Playfair Display"/>
          <w:color w:val="3f5351"/>
          <w:sz w:val="24"/>
          <w:szCs w:val="24"/>
          <w:highlight w:val="white"/>
          <w:rtl w:val="0"/>
        </w:rPr>
        <w:t xml:space="preserve">Bibliography:</w:t>
      </w:r>
    </w:p>
    <w:p w:rsidR="00000000" w:rsidDel="00000000" w:rsidP="00000000" w:rsidRDefault="00000000" w:rsidRPr="00000000" w14:paraId="0000003D">
      <w:pPr>
        <w:rPr>
          <w:color w:val="3f5351"/>
          <w:sz w:val="20"/>
          <w:szCs w:val="20"/>
          <w:highlight w:val="white"/>
        </w:rPr>
      </w:pPr>
      <w:r w:rsidDel="00000000" w:rsidR="00000000" w:rsidRPr="00000000">
        <w:rPr>
          <w:rtl w:val="0"/>
        </w:rPr>
      </w:r>
    </w:p>
    <w:p w:rsidR="00000000" w:rsidDel="00000000" w:rsidP="00000000" w:rsidRDefault="00000000" w:rsidRPr="00000000" w14:paraId="0000003E">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Atkinson, D. (1999), </w:t>
      </w:r>
      <w:r w:rsidDel="00000000" w:rsidR="00000000" w:rsidRPr="00000000">
        <w:rPr>
          <w:rFonts w:ascii="Playfair Display" w:cs="Playfair Display" w:eastAsia="Playfair Display" w:hAnsi="Playfair Display"/>
          <w:i w:val="1"/>
          <w:color w:val="3f5351"/>
          <w:sz w:val="20"/>
          <w:szCs w:val="20"/>
          <w:highlight w:val="white"/>
          <w:rtl w:val="0"/>
        </w:rPr>
        <w:t xml:space="preserve">Advocacy: A Review</w:t>
      </w:r>
      <w:r w:rsidDel="00000000" w:rsidR="00000000" w:rsidRPr="00000000">
        <w:rPr>
          <w:rFonts w:ascii="Playfair Display" w:cs="Playfair Display" w:eastAsia="Playfair Display" w:hAnsi="Playfair Display"/>
          <w:color w:val="3f5351"/>
          <w:sz w:val="20"/>
          <w:szCs w:val="20"/>
          <w:highlight w:val="white"/>
          <w:rtl w:val="0"/>
        </w:rPr>
        <w:t xml:space="preserve">, Pavilion Publishing [for the] Joseph Rowntree Foundation, Shoreham-by-Sea.</w:t>
      </w:r>
    </w:p>
    <w:p w:rsidR="00000000" w:rsidDel="00000000" w:rsidP="00000000" w:rsidRDefault="00000000" w:rsidRPr="00000000" w14:paraId="0000003F">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BCCYAC. (2025), “The CYAC Model - BC CYAC Network”, </w:t>
      </w:r>
      <w:r w:rsidDel="00000000" w:rsidR="00000000" w:rsidRPr="00000000">
        <w:rPr>
          <w:rFonts w:ascii="Playfair Display" w:cs="Playfair Display" w:eastAsia="Playfair Display" w:hAnsi="Playfair Display"/>
          <w:i w:val="1"/>
          <w:color w:val="3f5351"/>
          <w:sz w:val="20"/>
          <w:szCs w:val="20"/>
          <w:highlight w:val="white"/>
          <w:rtl w:val="0"/>
        </w:rPr>
        <w:t xml:space="preserve">British Columbia - Network of Youth Advocacy Networks</w:t>
      </w:r>
      <w:r w:rsidDel="00000000" w:rsidR="00000000" w:rsidRPr="00000000">
        <w:rPr>
          <w:rFonts w:ascii="Playfair Display" w:cs="Playfair Display" w:eastAsia="Playfair Display" w:hAnsi="Playfair Display"/>
          <w:color w:val="3f5351"/>
          <w:sz w:val="20"/>
          <w:szCs w:val="20"/>
          <w:highlight w:val="white"/>
          <w:rtl w:val="0"/>
        </w:rPr>
        <w:t xml:space="preserve">, available at:</w:t>
      </w:r>
      <w:hyperlink r:id="rId6">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7">
        <w:r w:rsidDel="00000000" w:rsidR="00000000" w:rsidRPr="00000000">
          <w:rPr>
            <w:rFonts w:ascii="Playfair Display" w:cs="Playfair Display" w:eastAsia="Playfair Display" w:hAnsi="Playfair Display"/>
            <w:color w:val="1155cc"/>
            <w:sz w:val="20"/>
            <w:szCs w:val="20"/>
            <w:highlight w:val="white"/>
            <w:u w:val="single"/>
            <w:rtl w:val="0"/>
          </w:rPr>
          <w:t xml:space="preserve">https://www.bccyac.ca/about-us/the-cyac-model/</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16 January 2025).</w:t>
      </w:r>
    </w:p>
    <w:p w:rsidR="00000000" w:rsidDel="00000000" w:rsidP="00000000" w:rsidRDefault="00000000" w:rsidRPr="00000000" w14:paraId="00000040">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Beauchamp, Z. (2024), “Why the far right is surging all over the world”, </w:t>
      </w:r>
      <w:r w:rsidDel="00000000" w:rsidR="00000000" w:rsidRPr="00000000">
        <w:rPr>
          <w:rFonts w:ascii="Playfair Display" w:cs="Playfair Display" w:eastAsia="Playfair Display" w:hAnsi="Playfair Display"/>
          <w:i w:val="1"/>
          <w:color w:val="3f5351"/>
          <w:sz w:val="20"/>
          <w:szCs w:val="20"/>
          <w:highlight w:val="white"/>
          <w:rtl w:val="0"/>
        </w:rPr>
        <w:t xml:space="preserve">Vox</w:t>
      </w:r>
      <w:r w:rsidDel="00000000" w:rsidR="00000000" w:rsidRPr="00000000">
        <w:rPr>
          <w:rFonts w:ascii="Playfair Display" w:cs="Playfair Display" w:eastAsia="Playfair Display" w:hAnsi="Playfair Display"/>
          <w:color w:val="3f5351"/>
          <w:sz w:val="20"/>
          <w:szCs w:val="20"/>
          <w:highlight w:val="white"/>
          <w:rtl w:val="0"/>
        </w:rPr>
        <w:t xml:space="preserve">, 17 July, available at:</w:t>
      </w:r>
      <w:hyperlink r:id="rId8">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9">
        <w:r w:rsidDel="00000000" w:rsidR="00000000" w:rsidRPr="00000000">
          <w:rPr>
            <w:rFonts w:ascii="Playfair Display" w:cs="Playfair Display" w:eastAsia="Playfair Display" w:hAnsi="Playfair Display"/>
            <w:color w:val="1155cc"/>
            <w:sz w:val="20"/>
            <w:szCs w:val="20"/>
            <w:highlight w:val="white"/>
            <w:u w:val="single"/>
            <w:rtl w:val="0"/>
          </w:rPr>
          <w:t xml:space="preserve">https://www.vox.com/politics/361136/far-right-authoritarianism-germany-reactionary-spirit</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1">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Bureau of Economics. (2021), “US Child &amp; Social Services Statistics and Data Trends: maltreatment, foster care, population, and more”, </w:t>
      </w:r>
      <w:r w:rsidDel="00000000" w:rsidR="00000000" w:rsidRPr="00000000">
        <w:rPr>
          <w:rFonts w:ascii="Playfair Display" w:cs="Playfair Display" w:eastAsia="Playfair Display" w:hAnsi="Playfair Display"/>
          <w:i w:val="1"/>
          <w:color w:val="3f5351"/>
          <w:sz w:val="20"/>
          <w:szCs w:val="20"/>
          <w:highlight w:val="white"/>
          <w:rtl w:val="0"/>
        </w:rPr>
        <w:t xml:space="preserve">USAFacts</w:t>
      </w:r>
      <w:r w:rsidDel="00000000" w:rsidR="00000000" w:rsidRPr="00000000">
        <w:rPr>
          <w:rFonts w:ascii="Playfair Display" w:cs="Playfair Display" w:eastAsia="Playfair Display" w:hAnsi="Playfair Display"/>
          <w:color w:val="3f5351"/>
          <w:sz w:val="20"/>
          <w:szCs w:val="20"/>
          <w:highlight w:val="white"/>
          <w:rtl w:val="0"/>
        </w:rPr>
        <w:t xml:space="preserve">, available at:</w:t>
      </w:r>
      <w:hyperlink r:id="rId10">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11">
        <w:r w:rsidDel="00000000" w:rsidR="00000000" w:rsidRPr="00000000">
          <w:rPr>
            <w:rFonts w:ascii="Playfair Display" w:cs="Playfair Display" w:eastAsia="Playfair Display" w:hAnsi="Playfair Display"/>
            <w:color w:val="1155cc"/>
            <w:sz w:val="20"/>
            <w:szCs w:val="20"/>
            <w:highlight w:val="white"/>
            <w:u w:val="single"/>
            <w:rtl w:val="0"/>
          </w:rPr>
          <w:t xml:space="preserve">https://usafacts.org/topics/child-social-services/</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2">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City and Guilds. (2023), “Independent Advocacy qualifications and training courses | City &amp; Guilds”, available at:</w:t>
      </w:r>
      <w:hyperlink r:id="rId12">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13">
        <w:r w:rsidDel="00000000" w:rsidR="00000000" w:rsidRPr="00000000">
          <w:rPr>
            <w:rFonts w:ascii="Playfair Display" w:cs="Playfair Display" w:eastAsia="Playfair Display" w:hAnsi="Playfair Display"/>
            <w:color w:val="1155cc"/>
            <w:sz w:val="20"/>
            <w:szCs w:val="20"/>
            <w:highlight w:val="white"/>
            <w:u w:val="single"/>
            <w:rtl w:val="0"/>
          </w:rPr>
          <w:t xml:space="preserve">https://www.cityandguilds.com/qualifications-and-apprenticeships/health-and-social-care/care/3610-independent-advocacy#tab=information&amp;acc=general-info</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3">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ConservativeHome. (2025), “‘We are going to be telling the British people the truth even when it is difficult to hear.’ Badenoch’s speech - full text”, </w:t>
      </w:r>
      <w:r w:rsidDel="00000000" w:rsidR="00000000" w:rsidRPr="00000000">
        <w:rPr>
          <w:rFonts w:ascii="Playfair Display" w:cs="Playfair Display" w:eastAsia="Playfair Display" w:hAnsi="Playfair Display"/>
          <w:i w:val="1"/>
          <w:color w:val="3f5351"/>
          <w:sz w:val="20"/>
          <w:szCs w:val="20"/>
          <w:highlight w:val="white"/>
          <w:rtl w:val="0"/>
        </w:rPr>
        <w:t xml:space="preserve">Conservative Home</w:t>
      </w:r>
      <w:r w:rsidDel="00000000" w:rsidR="00000000" w:rsidRPr="00000000">
        <w:rPr>
          <w:rFonts w:ascii="Playfair Display" w:cs="Playfair Display" w:eastAsia="Playfair Display" w:hAnsi="Playfair Display"/>
          <w:color w:val="3f5351"/>
          <w:sz w:val="20"/>
          <w:szCs w:val="20"/>
          <w:highlight w:val="white"/>
          <w:rtl w:val="0"/>
        </w:rPr>
        <w:t xml:space="preserve">, 16 January, available at:</w:t>
      </w:r>
      <w:hyperlink r:id="rId14">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15">
        <w:r w:rsidDel="00000000" w:rsidR="00000000" w:rsidRPr="00000000">
          <w:rPr>
            <w:rFonts w:ascii="Playfair Display" w:cs="Playfair Display" w:eastAsia="Playfair Display" w:hAnsi="Playfair Display"/>
            <w:color w:val="1155cc"/>
            <w:sz w:val="20"/>
            <w:szCs w:val="20"/>
            <w:highlight w:val="white"/>
            <w:u w:val="single"/>
            <w:rtl w:val="0"/>
          </w:rPr>
          <w:t xml:space="preserve">https://conservativehome.com/2025/01/16/read-kemi-badenochs-speech-rebuilding-trust-thursday-16th-january-2025/</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4">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Dalrymple, J. (2004), “Developing the Concept of Professional Advocacy: An Examination of the Role of Child and Youth Advocates in England and Wales”, </w:t>
      </w:r>
      <w:r w:rsidDel="00000000" w:rsidR="00000000" w:rsidRPr="00000000">
        <w:rPr>
          <w:rFonts w:ascii="Playfair Display" w:cs="Playfair Display" w:eastAsia="Playfair Display" w:hAnsi="Playfair Display"/>
          <w:i w:val="1"/>
          <w:color w:val="3f5351"/>
          <w:sz w:val="20"/>
          <w:szCs w:val="20"/>
          <w:highlight w:val="white"/>
          <w:rtl w:val="0"/>
        </w:rPr>
        <w:t xml:space="preserve">Journal of Social Work : JSW</w:t>
      </w:r>
      <w:r w:rsidDel="00000000" w:rsidR="00000000" w:rsidRPr="00000000">
        <w:rPr>
          <w:rFonts w:ascii="Playfair Display" w:cs="Playfair Display" w:eastAsia="Playfair Display" w:hAnsi="Playfair Display"/>
          <w:color w:val="3f5351"/>
          <w:sz w:val="20"/>
          <w:szCs w:val="20"/>
          <w:highlight w:val="white"/>
          <w:rtl w:val="0"/>
        </w:rPr>
        <w:t xml:space="preserve">, Sage Publications, Thousand Oaks, CA, Vol. 4 No. 2, pp. 179–197, doi:</w:t>
      </w:r>
      <w:hyperlink r:id="rId16">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17">
        <w:r w:rsidDel="00000000" w:rsidR="00000000" w:rsidRPr="00000000">
          <w:rPr>
            <w:rFonts w:ascii="Playfair Display" w:cs="Playfair Display" w:eastAsia="Playfair Display" w:hAnsi="Playfair Display"/>
            <w:color w:val="1155cc"/>
            <w:sz w:val="20"/>
            <w:szCs w:val="20"/>
            <w:highlight w:val="white"/>
            <w:u w:val="single"/>
            <w:rtl w:val="0"/>
          </w:rPr>
          <w:t xml:space="preserve">10.1177/1468017304044861</w:t>
        </w:r>
      </w:hyperlink>
      <w:r w:rsidDel="00000000" w:rsidR="00000000" w:rsidRPr="00000000">
        <w:rPr>
          <w:rFonts w:ascii="Playfair Display" w:cs="Playfair Display" w:eastAsia="Playfair Display" w:hAnsi="Playfair Display"/>
          <w:color w:val="3f5351"/>
          <w:sz w:val="20"/>
          <w:szCs w:val="20"/>
          <w:highlight w:val="white"/>
          <w:rtl w:val="0"/>
        </w:rPr>
        <w:t xml:space="preserve">.</w:t>
      </w:r>
    </w:p>
    <w:p w:rsidR="00000000" w:rsidDel="00000000" w:rsidP="00000000" w:rsidRDefault="00000000" w:rsidRPr="00000000" w14:paraId="00000045">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Department of Justice. (2023), “Youth (0 to 17) population profile detailed by age, sex, and race/ethnicity | Office of Juvenile Justice and Delinquency Prevention”, available at:</w:t>
      </w:r>
      <w:hyperlink r:id="rId18">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19">
        <w:r w:rsidDel="00000000" w:rsidR="00000000" w:rsidRPr="00000000">
          <w:rPr>
            <w:rFonts w:ascii="Playfair Display" w:cs="Playfair Display" w:eastAsia="Playfair Display" w:hAnsi="Playfair Display"/>
            <w:color w:val="1155cc"/>
            <w:sz w:val="20"/>
            <w:szCs w:val="20"/>
            <w:highlight w:val="white"/>
            <w:u w:val="single"/>
            <w:rtl w:val="0"/>
          </w:rPr>
          <w:t xml:space="preserve">https://ojjdp.ojp.gov/statistical-briefing-book/population/faqs/qa01104</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6">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Foster, D. (2025), “An overview of child protection legislation in England”.</w:t>
      </w:r>
    </w:p>
    <w:p w:rsidR="00000000" w:rsidDel="00000000" w:rsidP="00000000" w:rsidRDefault="00000000" w:rsidRPr="00000000" w14:paraId="00000047">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Fratto, C.M. (2016), “Trauma-Informed Care for Youth in Foster Care”, </w:t>
      </w:r>
      <w:r w:rsidDel="00000000" w:rsidR="00000000" w:rsidRPr="00000000">
        <w:rPr>
          <w:rFonts w:ascii="Playfair Display" w:cs="Playfair Display" w:eastAsia="Playfair Display" w:hAnsi="Playfair Display"/>
          <w:i w:val="1"/>
          <w:color w:val="3f5351"/>
          <w:sz w:val="20"/>
          <w:szCs w:val="20"/>
          <w:highlight w:val="white"/>
          <w:rtl w:val="0"/>
        </w:rPr>
        <w:t xml:space="preserve">Archives of Psychiatric Nursing</w:t>
      </w:r>
      <w:r w:rsidDel="00000000" w:rsidR="00000000" w:rsidRPr="00000000">
        <w:rPr>
          <w:rFonts w:ascii="Playfair Display" w:cs="Playfair Display" w:eastAsia="Playfair Display" w:hAnsi="Playfair Display"/>
          <w:color w:val="3f5351"/>
          <w:sz w:val="20"/>
          <w:szCs w:val="20"/>
          <w:highlight w:val="white"/>
          <w:rtl w:val="0"/>
        </w:rPr>
        <w:t xml:space="preserve">, Vol. 30 No. 3, pp. 439–446, doi:</w:t>
      </w:r>
      <w:hyperlink r:id="rId20">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21">
        <w:r w:rsidDel="00000000" w:rsidR="00000000" w:rsidRPr="00000000">
          <w:rPr>
            <w:rFonts w:ascii="Playfair Display" w:cs="Playfair Display" w:eastAsia="Playfair Display" w:hAnsi="Playfair Display"/>
            <w:color w:val="1155cc"/>
            <w:sz w:val="20"/>
            <w:szCs w:val="20"/>
            <w:highlight w:val="white"/>
            <w:u w:val="single"/>
            <w:rtl w:val="0"/>
          </w:rPr>
          <w:t xml:space="preserve">10.1016/j.apnu.2016.01.007</w:t>
        </w:r>
      </w:hyperlink>
      <w:r w:rsidDel="00000000" w:rsidR="00000000" w:rsidRPr="00000000">
        <w:rPr>
          <w:rFonts w:ascii="Playfair Display" w:cs="Playfair Display" w:eastAsia="Playfair Display" w:hAnsi="Playfair Display"/>
          <w:color w:val="3f5351"/>
          <w:sz w:val="20"/>
          <w:szCs w:val="20"/>
          <w:highlight w:val="white"/>
          <w:rtl w:val="0"/>
        </w:rPr>
        <w:t xml:space="preserve">.</w:t>
      </w:r>
    </w:p>
    <w:p w:rsidR="00000000" w:rsidDel="00000000" w:rsidP="00000000" w:rsidRDefault="00000000" w:rsidRPr="00000000" w14:paraId="00000048">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Hickie, I.B., Scott, E.M., Cross, S.P., Iorfino, F., Davenport, T.A., Guastella, A.J., Naismith, S.L., </w:t>
      </w:r>
      <w:r w:rsidDel="00000000" w:rsidR="00000000" w:rsidRPr="00000000">
        <w:rPr>
          <w:rFonts w:ascii="Playfair Display" w:cs="Playfair Display" w:eastAsia="Playfair Display" w:hAnsi="Playfair Display"/>
          <w:i w:val="1"/>
          <w:color w:val="3f5351"/>
          <w:sz w:val="20"/>
          <w:szCs w:val="20"/>
          <w:highlight w:val="white"/>
          <w:rtl w:val="0"/>
        </w:rPr>
        <w:t xml:space="preserve">et al.</w:t>
      </w:r>
      <w:r w:rsidDel="00000000" w:rsidR="00000000" w:rsidRPr="00000000">
        <w:rPr>
          <w:rFonts w:ascii="Playfair Display" w:cs="Playfair Display" w:eastAsia="Playfair Display" w:hAnsi="Playfair Display"/>
          <w:color w:val="3f5351"/>
          <w:sz w:val="20"/>
          <w:szCs w:val="20"/>
          <w:highlight w:val="white"/>
          <w:rtl w:val="0"/>
        </w:rPr>
        <w:t xml:space="preserve"> (2019), “Right care, first time: a highly personalised and measurement-based care model to manage youth mental health”, </w:t>
      </w:r>
      <w:r w:rsidDel="00000000" w:rsidR="00000000" w:rsidRPr="00000000">
        <w:rPr>
          <w:rFonts w:ascii="Playfair Display" w:cs="Playfair Display" w:eastAsia="Playfair Display" w:hAnsi="Playfair Display"/>
          <w:i w:val="1"/>
          <w:color w:val="3f5351"/>
          <w:sz w:val="20"/>
          <w:szCs w:val="20"/>
          <w:highlight w:val="white"/>
          <w:rtl w:val="0"/>
        </w:rPr>
        <w:t xml:space="preserve">The Medical Journal of Australia</w:t>
      </w:r>
      <w:r w:rsidDel="00000000" w:rsidR="00000000" w:rsidRPr="00000000">
        <w:rPr>
          <w:rFonts w:ascii="Playfair Display" w:cs="Playfair Display" w:eastAsia="Playfair Display" w:hAnsi="Playfair Display"/>
          <w:color w:val="3f5351"/>
          <w:sz w:val="20"/>
          <w:szCs w:val="20"/>
          <w:highlight w:val="white"/>
          <w:rtl w:val="0"/>
        </w:rPr>
        <w:t xml:space="preserve">, Vol. 211 Suppl 9, pp. S3–S46, doi:</w:t>
      </w:r>
      <w:hyperlink r:id="rId22">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23">
        <w:r w:rsidDel="00000000" w:rsidR="00000000" w:rsidRPr="00000000">
          <w:rPr>
            <w:rFonts w:ascii="Playfair Display" w:cs="Playfair Display" w:eastAsia="Playfair Display" w:hAnsi="Playfair Display"/>
            <w:color w:val="1155cc"/>
            <w:sz w:val="20"/>
            <w:szCs w:val="20"/>
            <w:highlight w:val="white"/>
            <w:u w:val="single"/>
            <w:rtl w:val="0"/>
          </w:rPr>
          <w:t xml:space="preserve">10.5694/mja2.50383</w:t>
        </w:r>
      </w:hyperlink>
      <w:r w:rsidDel="00000000" w:rsidR="00000000" w:rsidRPr="00000000">
        <w:rPr>
          <w:rFonts w:ascii="Playfair Display" w:cs="Playfair Display" w:eastAsia="Playfair Display" w:hAnsi="Playfair Display"/>
          <w:color w:val="3f5351"/>
          <w:sz w:val="20"/>
          <w:szCs w:val="20"/>
          <w:highlight w:val="white"/>
          <w:rtl w:val="0"/>
        </w:rPr>
        <w:t xml:space="preserve">.</w:t>
      </w:r>
    </w:p>
    <w:p w:rsidR="00000000" w:rsidDel="00000000" w:rsidP="00000000" w:rsidRDefault="00000000" w:rsidRPr="00000000" w14:paraId="00000049">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“How Many People Participate in the Social Safety Net? | ASPE”. (2023), , available at:</w:t>
      </w:r>
      <w:hyperlink r:id="rId24">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25">
        <w:r w:rsidDel="00000000" w:rsidR="00000000" w:rsidRPr="00000000">
          <w:rPr>
            <w:rFonts w:ascii="Playfair Display" w:cs="Playfair Display" w:eastAsia="Playfair Display" w:hAnsi="Playfair Display"/>
            <w:color w:val="1155cc"/>
            <w:sz w:val="20"/>
            <w:szCs w:val="20"/>
            <w:highlight w:val="white"/>
            <w:u w:val="single"/>
            <w:rtl w:val="0"/>
          </w:rPr>
          <w:t xml:space="preserve">https://aspe.hhs.gov/reports/people-participate-social-safety-net</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A">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Howard Sercombe. (2004), “Youth Work: The Professionalisation Dilemma”, </w:t>
      </w:r>
      <w:r w:rsidDel="00000000" w:rsidR="00000000" w:rsidRPr="00000000">
        <w:rPr>
          <w:rFonts w:ascii="Playfair Display" w:cs="Playfair Display" w:eastAsia="Playfair Display" w:hAnsi="Playfair Display"/>
          <w:i w:val="1"/>
          <w:color w:val="3f5351"/>
          <w:sz w:val="20"/>
          <w:szCs w:val="20"/>
          <w:highlight w:val="white"/>
          <w:rtl w:val="0"/>
        </w:rPr>
        <w:t xml:space="preserve">Youth Studies Australia</w:t>
      </w:r>
      <w:r w:rsidDel="00000000" w:rsidR="00000000" w:rsidRPr="00000000">
        <w:rPr>
          <w:rFonts w:ascii="Playfair Display" w:cs="Playfair Display" w:eastAsia="Playfair Display" w:hAnsi="Playfair Display"/>
          <w:color w:val="3f5351"/>
          <w:sz w:val="20"/>
          <w:szCs w:val="20"/>
          <w:highlight w:val="white"/>
          <w:rtl w:val="0"/>
        </w:rPr>
        <w:t xml:space="preserve">, Vol. 23 No. 4, pp. 20–25.</w:t>
      </w:r>
    </w:p>
    <w:p w:rsidR="00000000" w:rsidDel="00000000" w:rsidP="00000000" w:rsidRDefault="00000000" w:rsidRPr="00000000" w14:paraId="0000004B">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Kerr, D. (2025), “US immigration is gaming Google to create a mirage of mass deportations”, </w:t>
      </w:r>
      <w:r w:rsidDel="00000000" w:rsidR="00000000" w:rsidRPr="00000000">
        <w:rPr>
          <w:rFonts w:ascii="Playfair Display" w:cs="Playfair Display" w:eastAsia="Playfair Display" w:hAnsi="Playfair Display"/>
          <w:i w:val="1"/>
          <w:color w:val="3f5351"/>
          <w:sz w:val="20"/>
          <w:szCs w:val="20"/>
          <w:highlight w:val="white"/>
          <w:rtl w:val="0"/>
        </w:rPr>
        <w:t xml:space="preserve">The Guardian</w:t>
      </w:r>
      <w:r w:rsidDel="00000000" w:rsidR="00000000" w:rsidRPr="00000000">
        <w:rPr>
          <w:rFonts w:ascii="Playfair Display" w:cs="Playfair Display" w:eastAsia="Playfair Display" w:hAnsi="Playfair Display"/>
          <w:color w:val="3f5351"/>
          <w:sz w:val="20"/>
          <w:szCs w:val="20"/>
          <w:highlight w:val="white"/>
          <w:rtl w:val="0"/>
        </w:rPr>
        <w:t xml:space="preserve">, 6 February.</w:t>
      </w:r>
    </w:p>
    <w:p w:rsidR="00000000" w:rsidDel="00000000" w:rsidP="00000000" w:rsidRDefault="00000000" w:rsidRPr="00000000" w14:paraId="0000004C">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“Labeling theory | Concepts, Theories, &amp; Criticism | Britannica”. (2025), , available at:</w:t>
      </w:r>
      <w:hyperlink r:id="rId26">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27">
        <w:r w:rsidDel="00000000" w:rsidR="00000000" w:rsidRPr="00000000">
          <w:rPr>
            <w:rFonts w:ascii="Playfair Display" w:cs="Playfair Display" w:eastAsia="Playfair Display" w:hAnsi="Playfair Display"/>
            <w:color w:val="1155cc"/>
            <w:sz w:val="20"/>
            <w:szCs w:val="20"/>
            <w:highlight w:val="white"/>
            <w:u w:val="single"/>
            <w:rtl w:val="0"/>
          </w:rPr>
          <w:t xml:space="preserve">https://www.britannica.com/topic/labeling-theory</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D">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Learning Care. (2024), “What is Professional Advocacy in Health and Social Care?”, </w:t>
      </w:r>
      <w:r w:rsidDel="00000000" w:rsidR="00000000" w:rsidRPr="00000000">
        <w:rPr>
          <w:rFonts w:ascii="Playfair Display" w:cs="Playfair Display" w:eastAsia="Playfair Display" w:hAnsi="Playfair Display"/>
          <w:i w:val="1"/>
          <w:color w:val="3f5351"/>
          <w:sz w:val="20"/>
          <w:szCs w:val="20"/>
          <w:highlight w:val="white"/>
          <w:rtl w:val="0"/>
        </w:rPr>
        <w:t xml:space="preserve">Care Learning</w:t>
      </w:r>
      <w:r w:rsidDel="00000000" w:rsidR="00000000" w:rsidRPr="00000000">
        <w:rPr>
          <w:rFonts w:ascii="Playfair Display" w:cs="Playfair Display" w:eastAsia="Playfair Display" w:hAnsi="Playfair Display"/>
          <w:color w:val="3f5351"/>
          <w:sz w:val="20"/>
          <w:szCs w:val="20"/>
          <w:highlight w:val="white"/>
          <w:rtl w:val="0"/>
        </w:rPr>
        <w:t xml:space="preserve">, 13 August, available at:</w:t>
      </w:r>
      <w:hyperlink r:id="rId28">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29">
        <w:r w:rsidDel="00000000" w:rsidR="00000000" w:rsidRPr="00000000">
          <w:rPr>
            <w:rFonts w:ascii="Playfair Display" w:cs="Playfair Display" w:eastAsia="Playfair Display" w:hAnsi="Playfair Display"/>
            <w:color w:val="1155cc"/>
            <w:sz w:val="20"/>
            <w:szCs w:val="20"/>
            <w:highlight w:val="white"/>
            <w:u w:val="single"/>
            <w:rtl w:val="0"/>
          </w:rPr>
          <w:t xml:space="preserve">https://carelearning.org.uk/blog/advocacy/what-is-professional-advocacy-in-health-and-social-care/</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4E">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Macartney, S. and Ghertner, R. (2023), “Participation in the U.S. Social Safety Net: Multiple Programs, 2019”.</w:t>
      </w:r>
    </w:p>
    <w:p w:rsidR="00000000" w:rsidDel="00000000" w:rsidP="00000000" w:rsidRDefault="00000000" w:rsidRPr="00000000" w14:paraId="0000004F">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Mind. (2024), “What is advocacy?”, </w:t>
      </w:r>
      <w:r w:rsidDel="00000000" w:rsidR="00000000" w:rsidRPr="00000000">
        <w:rPr>
          <w:rFonts w:ascii="Playfair Display" w:cs="Playfair Display" w:eastAsia="Playfair Display" w:hAnsi="Playfair Display"/>
          <w:i w:val="1"/>
          <w:color w:val="3f5351"/>
          <w:sz w:val="20"/>
          <w:szCs w:val="20"/>
          <w:highlight w:val="white"/>
          <w:rtl w:val="0"/>
        </w:rPr>
        <w:t xml:space="preserve">Https://Www.Mind.Org.Uk/Information-Support/Guides-to-Support-and-Services/Advocacy/What-Is-Advocacy/</w:t>
      </w:r>
      <w:r w:rsidDel="00000000" w:rsidR="00000000" w:rsidRPr="00000000">
        <w:rPr>
          <w:rFonts w:ascii="Playfair Display" w:cs="Playfair Display" w:eastAsia="Playfair Display" w:hAnsi="Playfair Display"/>
          <w:color w:val="3f5351"/>
          <w:sz w:val="20"/>
          <w:szCs w:val="20"/>
          <w:highlight w:val="white"/>
          <w:rtl w:val="0"/>
        </w:rPr>
        <w:t xml:space="preserve">, available at:</w:t>
      </w:r>
      <w:hyperlink r:id="rId30">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31">
        <w:r w:rsidDel="00000000" w:rsidR="00000000" w:rsidRPr="00000000">
          <w:rPr>
            <w:rFonts w:ascii="Playfair Display" w:cs="Playfair Display" w:eastAsia="Playfair Display" w:hAnsi="Playfair Display"/>
            <w:color w:val="1155cc"/>
            <w:sz w:val="20"/>
            <w:szCs w:val="20"/>
            <w:highlight w:val="white"/>
            <w:u w:val="single"/>
            <w:rtl w:val="0"/>
          </w:rPr>
          <w:t xml:space="preserve">https://www.mind.org.uk/information-support/guides-to-support-and-services/advocacy/what-is-advocacy/</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0">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Nwogu, N.N., Agrawal, L., Chambers, S., Buagas, A.B., Daniele, R.M. and Singleton, J.K. (2016), “Effectiveness of Child Advocacy Centers and the multidisciplinary team approach on prosecution rates of alleged sex offenders and satisfaction of non-offending caregivers with allegations of child sexual abuse: a systematic review”, </w:t>
      </w:r>
      <w:r w:rsidDel="00000000" w:rsidR="00000000" w:rsidRPr="00000000">
        <w:rPr>
          <w:rFonts w:ascii="Playfair Display" w:cs="Playfair Display" w:eastAsia="Playfair Display" w:hAnsi="Playfair Display"/>
          <w:i w:val="1"/>
          <w:color w:val="3f5351"/>
          <w:sz w:val="20"/>
          <w:szCs w:val="20"/>
          <w:highlight w:val="white"/>
          <w:rtl w:val="0"/>
        </w:rPr>
        <w:t xml:space="preserve">JBI Database of Systematic Reviews and Implementation Reports</w:t>
      </w:r>
      <w:r w:rsidDel="00000000" w:rsidR="00000000" w:rsidRPr="00000000">
        <w:rPr>
          <w:rFonts w:ascii="Playfair Display" w:cs="Playfair Display" w:eastAsia="Playfair Display" w:hAnsi="Playfair Display"/>
          <w:color w:val="3f5351"/>
          <w:sz w:val="20"/>
          <w:szCs w:val="20"/>
          <w:highlight w:val="white"/>
          <w:rtl w:val="0"/>
        </w:rPr>
        <w:t xml:space="preserve">, Vol. 13 No. 12, pp. 93–129, doi:</w:t>
      </w:r>
      <w:hyperlink r:id="rId32">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33">
        <w:r w:rsidDel="00000000" w:rsidR="00000000" w:rsidRPr="00000000">
          <w:rPr>
            <w:rFonts w:ascii="Playfair Display" w:cs="Playfair Display" w:eastAsia="Playfair Display" w:hAnsi="Playfair Display"/>
            <w:color w:val="1155cc"/>
            <w:sz w:val="20"/>
            <w:szCs w:val="20"/>
            <w:highlight w:val="white"/>
            <w:u w:val="single"/>
            <w:rtl w:val="0"/>
          </w:rPr>
          <w:t xml:space="preserve">10.11124/jbisrir-2015-2113</w:t>
        </w:r>
      </w:hyperlink>
      <w:r w:rsidDel="00000000" w:rsidR="00000000" w:rsidRPr="00000000">
        <w:rPr>
          <w:rFonts w:ascii="Playfair Display" w:cs="Playfair Display" w:eastAsia="Playfair Display" w:hAnsi="Playfair Display"/>
          <w:color w:val="3f5351"/>
          <w:sz w:val="20"/>
          <w:szCs w:val="20"/>
          <w:highlight w:val="white"/>
          <w:rtl w:val="0"/>
        </w:rPr>
        <w:t xml:space="preserve">.</w:t>
      </w:r>
    </w:p>
    <w:p w:rsidR="00000000" w:rsidDel="00000000" w:rsidP="00000000" w:rsidRDefault="00000000" w:rsidRPr="00000000" w14:paraId="00000051">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“‘Professionalisation, in its push for accepted standards of practice, could eliminate styles of work which are effective but idiosyncratic and unorthodox.’ - Google Search”. (n.d.). , available at:</w:t>
      </w:r>
      <w:hyperlink r:id="rId34">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35">
        <w:r w:rsidDel="00000000" w:rsidR="00000000" w:rsidRPr="00000000">
          <w:rPr>
            <w:rFonts w:ascii="Playfair Display" w:cs="Playfair Display" w:eastAsia="Playfair Display" w:hAnsi="Playfair Display"/>
            <w:color w:val="1155cc"/>
            <w:sz w:val="20"/>
            <w:szCs w:val="20"/>
            <w:highlight w:val="white"/>
            <w:u w:val="single"/>
            <w:rtl w:val="0"/>
          </w:rPr>
          <w:t xml:space="preserve">https://www.google.com/search?q=%E2%80%9CProfessionalisation%2C+in+its+push+for+accepted+standards+of+practice%2C+could+eliminate+styles+of+work+which+are+effective+but+idiosyncratic+and+unorthodox.%E2%80%9D&amp;oq=%E2%80%9CProfessionalisation%2C+in+its+push+for+accepted+standards+of+practice%2C+could+eliminate+styles+of+work+which+are+effective+but+idiosyncratic+and+unorthodox.%E2%80%9D&amp;gs_lcrp=EgZjaHJvbWUyBggAEEUYOdIBCDEzMjRqMGo3qAIIsAIB&amp;sourceid=chrome&amp;ie=UTF-8</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2">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PtD. (2024), “Professionalisation | People That Deliver”, available at:</w:t>
      </w:r>
      <w:hyperlink r:id="rId36">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37">
        <w:r w:rsidDel="00000000" w:rsidR="00000000" w:rsidRPr="00000000">
          <w:rPr>
            <w:rFonts w:ascii="Playfair Display" w:cs="Playfair Display" w:eastAsia="Playfair Display" w:hAnsi="Playfair Display"/>
            <w:color w:val="1155cc"/>
            <w:sz w:val="20"/>
            <w:szCs w:val="20"/>
            <w:highlight w:val="white"/>
            <w:u w:val="single"/>
            <w:rtl w:val="0"/>
          </w:rPr>
          <w:t xml:space="preserve">https://www.peoplethatdeliver.org/professionalisation</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3">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Saunders, peter. (2019), “Social Mobility Truths”, </w:t>
      </w:r>
      <w:r w:rsidDel="00000000" w:rsidR="00000000" w:rsidRPr="00000000">
        <w:rPr>
          <w:rFonts w:ascii="Playfair Display" w:cs="Playfair Display" w:eastAsia="Playfair Display" w:hAnsi="Playfair Display"/>
          <w:i w:val="1"/>
          <w:color w:val="3f5351"/>
          <w:sz w:val="20"/>
          <w:szCs w:val="20"/>
          <w:highlight w:val="white"/>
          <w:rtl w:val="0"/>
        </w:rPr>
        <w:t xml:space="preserve">Civitas: Institute for the Study of Civil Society</w:t>
      </w:r>
      <w:r w:rsidDel="00000000" w:rsidR="00000000" w:rsidRPr="00000000">
        <w:rPr>
          <w:rFonts w:ascii="Playfair Display" w:cs="Playfair Display" w:eastAsia="Playfair Display" w:hAnsi="Playfair Display"/>
          <w:color w:val="3f5351"/>
          <w:sz w:val="20"/>
          <w:szCs w:val="20"/>
          <w:highlight w:val="white"/>
          <w:rtl w:val="0"/>
        </w:rPr>
        <w:t xml:space="preserve">, 15 November, available at:</w:t>
      </w:r>
      <w:hyperlink r:id="rId38">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39">
        <w:r w:rsidDel="00000000" w:rsidR="00000000" w:rsidRPr="00000000">
          <w:rPr>
            <w:rFonts w:ascii="Playfair Display" w:cs="Playfair Display" w:eastAsia="Playfair Display" w:hAnsi="Playfair Display"/>
            <w:color w:val="1155cc"/>
            <w:sz w:val="20"/>
            <w:szCs w:val="20"/>
            <w:highlight w:val="white"/>
            <w:u w:val="single"/>
            <w:rtl w:val="0"/>
          </w:rPr>
          <w:t xml:space="preserve">http://civitas.org.ukhttps://www.civitas.org.uk/publications/social-mobility-truths/</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4">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Scottish Government. (2021), “Social Security: advocacy service standards”, </w:t>
      </w:r>
      <w:r w:rsidDel="00000000" w:rsidR="00000000" w:rsidRPr="00000000">
        <w:rPr>
          <w:rFonts w:ascii="Playfair Display" w:cs="Playfair Display" w:eastAsia="Playfair Display" w:hAnsi="Playfair Display"/>
          <w:i w:val="1"/>
          <w:color w:val="3f5351"/>
          <w:sz w:val="20"/>
          <w:szCs w:val="20"/>
          <w:highlight w:val="white"/>
          <w:rtl w:val="0"/>
        </w:rPr>
        <w:t xml:space="preserve">The Scottish Government</w:t>
      </w:r>
      <w:r w:rsidDel="00000000" w:rsidR="00000000" w:rsidRPr="00000000">
        <w:rPr>
          <w:rFonts w:ascii="Playfair Display" w:cs="Playfair Display" w:eastAsia="Playfair Display" w:hAnsi="Playfair Display"/>
          <w:color w:val="3f5351"/>
          <w:sz w:val="20"/>
          <w:szCs w:val="20"/>
          <w:highlight w:val="white"/>
          <w:rtl w:val="0"/>
        </w:rPr>
        <w:t xml:space="preserve">, available at:</w:t>
      </w:r>
      <w:hyperlink r:id="rId40">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41">
        <w:r w:rsidDel="00000000" w:rsidR="00000000" w:rsidRPr="00000000">
          <w:rPr>
            <w:rFonts w:ascii="Playfair Display" w:cs="Playfair Display" w:eastAsia="Playfair Display" w:hAnsi="Playfair Display"/>
            <w:color w:val="1155cc"/>
            <w:sz w:val="20"/>
            <w:szCs w:val="20"/>
            <w:highlight w:val="white"/>
            <w:u w:val="single"/>
            <w:rtl w:val="0"/>
          </w:rPr>
          <w:t xml:space="preserve">https://www.gov.scot/publications/social-security-advocacy-service-standards/</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24 January 2025).</w:t>
      </w:r>
    </w:p>
    <w:p w:rsidR="00000000" w:rsidDel="00000000" w:rsidP="00000000" w:rsidRDefault="00000000" w:rsidRPr="00000000" w14:paraId="00000055">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Shaffer, C.L., Smith, T.D. and Ornstein, A.E. (2018), “Child and youth advocacy centres: A change in practice that can change a lifetime”, </w:t>
      </w:r>
      <w:r w:rsidDel="00000000" w:rsidR="00000000" w:rsidRPr="00000000">
        <w:rPr>
          <w:rFonts w:ascii="Playfair Display" w:cs="Playfair Display" w:eastAsia="Playfair Display" w:hAnsi="Playfair Display"/>
          <w:i w:val="1"/>
          <w:color w:val="3f5351"/>
          <w:sz w:val="20"/>
          <w:szCs w:val="20"/>
          <w:highlight w:val="white"/>
          <w:rtl w:val="0"/>
        </w:rPr>
        <w:t xml:space="preserve">Paediatrics &amp; Child Health</w:t>
      </w:r>
      <w:r w:rsidDel="00000000" w:rsidR="00000000" w:rsidRPr="00000000">
        <w:rPr>
          <w:rFonts w:ascii="Playfair Display" w:cs="Playfair Display" w:eastAsia="Playfair Display" w:hAnsi="Playfair Display"/>
          <w:color w:val="3f5351"/>
          <w:sz w:val="20"/>
          <w:szCs w:val="20"/>
          <w:highlight w:val="white"/>
          <w:rtl w:val="0"/>
        </w:rPr>
        <w:t xml:space="preserve">, Vol. 23 No. 2, pp. 116–118, doi:</w:t>
      </w:r>
      <w:hyperlink r:id="rId42">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43">
        <w:r w:rsidDel="00000000" w:rsidR="00000000" w:rsidRPr="00000000">
          <w:rPr>
            <w:rFonts w:ascii="Playfair Display" w:cs="Playfair Display" w:eastAsia="Playfair Display" w:hAnsi="Playfair Display"/>
            <w:color w:val="1155cc"/>
            <w:sz w:val="20"/>
            <w:szCs w:val="20"/>
            <w:highlight w:val="white"/>
            <w:u w:val="single"/>
            <w:rtl w:val="0"/>
          </w:rPr>
          <w:t xml:space="preserve">10.1093/pch/pxy008</w:t>
        </w:r>
      </w:hyperlink>
      <w:r w:rsidDel="00000000" w:rsidR="00000000" w:rsidRPr="00000000">
        <w:rPr>
          <w:rFonts w:ascii="Playfair Display" w:cs="Playfair Display" w:eastAsia="Playfair Display" w:hAnsi="Playfair Display"/>
          <w:color w:val="3f5351"/>
          <w:sz w:val="20"/>
          <w:szCs w:val="20"/>
          <w:highlight w:val="white"/>
          <w:rtl w:val="0"/>
        </w:rPr>
        <w:t xml:space="preserve">.</w:t>
      </w:r>
    </w:p>
    <w:p w:rsidR="00000000" w:rsidDel="00000000" w:rsidP="00000000" w:rsidRDefault="00000000" w:rsidRPr="00000000" w14:paraId="00000056">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Stenling, C. and Sam, M. (2020), “Professionalization and its consequences: how active advocacy may undermine democracy”, </w:t>
      </w:r>
      <w:r w:rsidDel="00000000" w:rsidR="00000000" w:rsidRPr="00000000">
        <w:rPr>
          <w:rFonts w:ascii="Playfair Display" w:cs="Playfair Display" w:eastAsia="Playfair Display" w:hAnsi="Playfair Display"/>
          <w:i w:val="1"/>
          <w:color w:val="3f5351"/>
          <w:sz w:val="20"/>
          <w:szCs w:val="20"/>
          <w:highlight w:val="white"/>
          <w:rtl w:val="0"/>
        </w:rPr>
        <w:t xml:space="preserve">European Sport Management Quarterly</w:t>
      </w:r>
      <w:r w:rsidDel="00000000" w:rsidR="00000000" w:rsidRPr="00000000">
        <w:rPr>
          <w:rFonts w:ascii="Playfair Display" w:cs="Playfair Display" w:eastAsia="Playfair Display" w:hAnsi="Playfair Display"/>
          <w:color w:val="3f5351"/>
          <w:sz w:val="20"/>
          <w:szCs w:val="20"/>
          <w:highlight w:val="white"/>
          <w:rtl w:val="0"/>
        </w:rPr>
        <w:t xml:space="preserve">, Routledge, Vol. 20 No. 5, pp. 577–597, doi:</w:t>
      </w:r>
      <w:hyperlink r:id="rId44">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45">
        <w:r w:rsidDel="00000000" w:rsidR="00000000" w:rsidRPr="00000000">
          <w:rPr>
            <w:rFonts w:ascii="Playfair Display" w:cs="Playfair Display" w:eastAsia="Playfair Display" w:hAnsi="Playfair Display"/>
            <w:color w:val="1155cc"/>
            <w:sz w:val="20"/>
            <w:szCs w:val="20"/>
            <w:highlight w:val="white"/>
            <w:u w:val="single"/>
            <w:rtl w:val="0"/>
          </w:rPr>
          <w:t xml:space="preserve">10.1080/16184742.2019.1637915</w:t>
        </w:r>
      </w:hyperlink>
      <w:r w:rsidDel="00000000" w:rsidR="00000000" w:rsidRPr="00000000">
        <w:rPr>
          <w:rFonts w:ascii="Playfair Display" w:cs="Playfair Display" w:eastAsia="Playfair Display" w:hAnsi="Playfair Display"/>
          <w:color w:val="3f5351"/>
          <w:sz w:val="20"/>
          <w:szCs w:val="20"/>
          <w:highlight w:val="white"/>
          <w:rtl w:val="0"/>
        </w:rPr>
        <w:t xml:space="preserve">.</w:t>
      </w:r>
    </w:p>
    <w:p w:rsidR="00000000" w:rsidDel="00000000" w:rsidP="00000000" w:rsidRDefault="00000000" w:rsidRPr="00000000" w14:paraId="00000057">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UK.GOV. (2023), “New reforms and independent commission to transform social care - GOV.UK”, available at:</w:t>
      </w:r>
      <w:hyperlink r:id="rId46">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47">
        <w:r w:rsidDel="00000000" w:rsidR="00000000" w:rsidRPr="00000000">
          <w:rPr>
            <w:rFonts w:ascii="Playfair Display" w:cs="Playfair Display" w:eastAsia="Playfair Display" w:hAnsi="Playfair Display"/>
            <w:color w:val="1155cc"/>
            <w:sz w:val="20"/>
            <w:szCs w:val="20"/>
            <w:highlight w:val="white"/>
            <w:u w:val="single"/>
            <w:rtl w:val="0"/>
          </w:rPr>
          <w:t xml:space="preserve">https://www.gov.uk/government/news/new-reforms-and-independent-commission-to-transform-social-care</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8">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“Women’s Aid Directory”. (n.d.). </w:t>
      </w:r>
      <w:r w:rsidDel="00000000" w:rsidR="00000000" w:rsidRPr="00000000">
        <w:rPr>
          <w:rFonts w:ascii="Playfair Display" w:cs="Playfair Display" w:eastAsia="Playfair Display" w:hAnsi="Playfair Display"/>
          <w:i w:val="1"/>
          <w:color w:val="3f5351"/>
          <w:sz w:val="20"/>
          <w:szCs w:val="20"/>
          <w:highlight w:val="white"/>
          <w:rtl w:val="0"/>
        </w:rPr>
        <w:t xml:space="preserve">Women’s Aid</w:t>
      </w:r>
      <w:r w:rsidDel="00000000" w:rsidR="00000000" w:rsidRPr="00000000">
        <w:rPr>
          <w:rFonts w:ascii="Playfair Display" w:cs="Playfair Display" w:eastAsia="Playfair Display" w:hAnsi="Playfair Display"/>
          <w:color w:val="3f5351"/>
          <w:sz w:val="20"/>
          <w:szCs w:val="20"/>
          <w:highlight w:val="white"/>
          <w:rtl w:val="0"/>
        </w:rPr>
        <w:t xml:space="preserve">, available at:</w:t>
      </w:r>
      <w:hyperlink r:id="rId48">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49">
        <w:r w:rsidDel="00000000" w:rsidR="00000000" w:rsidRPr="00000000">
          <w:rPr>
            <w:rFonts w:ascii="Playfair Display" w:cs="Playfair Display" w:eastAsia="Playfair Display" w:hAnsi="Playfair Display"/>
            <w:color w:val="1155cc"/>
            <w:sz w:val="20"/>
            <w:szCs w:val="20"/>
            <w:highlight w:val="white"/>
            <w:u w:val="single"/>
            <w:rtl w:val="0"/>
          </w:rPr>
          <w:t xml:space="preserve">https://www.womensaid.org.uk/information-support/womens-aid-directory/</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9">
      <w:pPr>
        <w:spacing w:line="360" w:lineRule="auto"/>
        <w:ind w:left="880" w:hanging="440"/>
        <w:rPr>
          <w:rFonts w:ascii="Playfair Display" w:cs="Playfair Display" w:eastAsia="Playfair Display" w:hAnsi="Playfair Display"/>
          <w:color w:val="3f5351"/>
          <w:sz w:val="20"/>
          <w:szCs w:val="20"/>
          <w:highlight w:val="white"/>
        </w:rPr>
      </w:pPr>
      <w:r w:rsidDel="00000000" w:rsidR="00000000" w:rsidRPr="00000000">
        <w:rPr>
          <w:rFonts w:ascii="Playfair Display" w:cs="Playfair Display" w:eastAsia="Playfair Display" w:hAnsi="Playfair Display"/>
          <w:color w:val="3f5351"/>
          <w:sz w:val="20"/>
          <w:szCs w:val="20"/>
          <w:highlight w:val="white"/>
          <w:rtl w:val="0"/>
        </w:rPr>
        <w:t xml:space="preserve">“Your Guide to Advocacy by Iris Care Group - Issuu”. (2023), , 16 January, available at:</w:t>
      </w:r>
      <w:hyperlink r:id="rId50">
        <w:r w:rsidDel="00000000" w:rsidR="00000000" w:rsidRPr="00000000">
          <w:rPr>
            <w:rFonts w:ascii="Playfair Display" w:cs="Playfair Display" w:eastAsia="Playfair Display" w:hAnsi="Playfair Display"/>
            <w:color w:val="3f5351"/>
            <w:sz w:val="20"/>
            <w:szCs w:val="20"/>
            <w:highlight w:val="white"/>
            <w:rtl w:val="0"/>
          </w:rPr>
          <w:t xml:space="preserve"> </w:t>
        </w:r>
      </w:hyperlink>
      <w:hyperlink r:id="rId51">
        <w:r w:rsidDel="00000000" w:rsidR="00000000" w:rsidRPr="00000000">
          <w:rPr>
            <w:rFonts w:ascii="Playfair Display" w:cs="Playfair Display" w:eastAsia="Playfair Display" w:hAnsi="Playfair Display"/>
            <w:color w:val="1155cc"/>
            <w:sz w:val="20"/>
            <w:szCs w:val="20"/>
            <w:highlight w:val="white"/>
            <w:u w:val="single"/>
            <w:rtl w:val="0"/>
          </w:rPr>
          <w:t xml:space="preserve">https://issuu.com/lshpublications/docs/advocacy_welcome_booklet</w:t>
        </w:r>
      </w:hyperlink>
      <w:r w:rsidDel="00000000" w:rsidR="00000000" w:rsidRPr="00000000">
        <w:rPr>
          <w:rFonts w:ascii="Playfair Display" w:cs="Playfair Display" w:eastAsia="Playfair Display" w:hAnsi="Playfair Display"/>
          <w:color w:val="3f5351"/>
          <w:sz w:val="20"/>
          <w:szCs w:val="20"/>
          <w:highlight w:val="white"/>
          <w:rtl w:val="0"/>
        </w:rPr>
        <w:t xml:space="preserve"> (accessed 10 February 2025).</w:t>
      </w:r>
    </w:p>
    <w:p w:rsidR="00000000" w:rsidDel="00000000" w:rsidP="00000000" w:rsidRDefault="00000000" w:rsidRPr="00000000" w14:paraId="0000005A">
      <w:pPr>
        <w:rPr>
          <w:color w:val="3f5351"/>
          <w:sz w:val="27"/>
          <w:szCs w:val="27"/>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gov.scot/publications/social-security-advocacy-service-standards/" TargetMode="External"/><Relationship Id="rId42" Type="http://schemas.openxmlformats.org/officeDocument/2006/relationships/hyperlink" Target="https://doi.org/10.1093/pch/pxy008" TargetMode="External"/><Relationship Id="rId41" Type="http://schemas.openxmlformats.org/officeDocument/2006/relationships/hyperlink" Target="https://www.gov.scot/publications/social-security-advocacy-service-standards/" TargetMode="External"/><Relationship Id="rId44" Type="http://schemas.openxmlformats.org/officeDocument/2006/relationships/hyperlink" Target="https://doi.org/10.1080/16184742.2019.1637915" TargetMode="External"/><Relationship Id="rId43" Type="http://schemas.openxmlformats.org/officeDocument/2006/relationships/hyperlink" Target="https://doi.org/10.1093/pch/pxy008" TargetMode="External"/><Relationship Id="rId46" Type="http://schemas.openxmlformats.org/officeDocument/2006/relationships/hyperlink" Target="https://www.gov.uk/government/news/new-reforms-and-independent-commission-to-transform-social-care" TargetMode="External"/><Relationship Id="rId45" Type="http://schemas.openxmlformats.org/officeDocument/2006/relationships/hyperlink" Target="https://doi.org/10.1080/16184742.2019.16379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ox.com/politics/361136/far-right-authoritarianism-germany-reactionary-spirit" TargetMode="External"/><Relationship Id="rId48" Type="http://schemas.openxmlformats.org/officeDocument/2006/relationships/hyperlink" Target="https://www.womensaid.org.uk/information-support/womens-aid-directory/" TargetMode="External"/><Relationship Id="rId47" Type="http://schemas.openxmlformats.org/officeDocument/2006/relationships/hyperlink" Target="https://www.gov.uk/government/news/new-reforms-and-independent-commission-to-transform-social-care" TargetMode="External"/><Relationship Id="rId49" Type="http://schemas.openxmlformats.org/officeDocument/2006/relationships/hyperlink" Target="https://www.womensaid.org.uk/information-support/womens-aid-directory/" TargetMode="External"/><Relationship Id="rId5" Type="http://schemas.openxmlformats.org/officeDocument/2006/relationships/styles" Target="styles.xml"/><Relationship Id="rId6" Type="http://schemas.openxmlformats.org/officeDocument/2006/relationships/hyperlink" Target="https://www.bccyac.ca/about-us/the-cyac-model/" TargetMode="External"/><Relationship Id="rId7" Type="http://schemas.openxmlformats.org/officeDocument/2006/relationships/hyperlink" Target="https://www.bccyac.ca/about-us/the-cyac-model/" TargetMode="External"/><Relationship Id="rId8" Type="http://schemas.openxmlformats.org/officeDocument/2006/relationships/hyperlink" Target="https://www.vox.com/politics/361136/far-right-authoritarianism-germany-reactionary-spirit" TargetMode="External"/><Relationship Id="rId31" Type="http://schemas.openxmlformats.org/officeDocument/2006/relationships/hyperlink" Target="https://www.mind.org.uk/information-support/guides-to-support-and-services/advocacy/what-is-advocacy/" TargetMode="External"/><Relationship Id="rId30" Type="http://schemas.openxmlformats.org/officeDocument/2006/relationships/hyperlink" Target="https://www.mind.org.uk/information-support/guides-to-support-and-services/advocacy/what-is-advocacy/" TargetMode="External"/><Relationship Id="rId33" Type="http://schemas.openxmlformats.org/officeDocument/2006/relationships/hyperlink" Target="https://doi.org/10.11124/jbisrir-2015-2113" TargetMode="External"/><Relationship Id="rId32" Type="http://schemas.openxmlformats.org/officeDocument/2006/relationships/hyperlink" Target="https://doi.org/10.11124/jbisrir-2015-2113" TargetMode="External"/><Relationship Id="rId35" Type="http://schemas.openxmlformats.org/officeDocument/2006/relationships/hyperlink" Target="https://www.google.com/search?q=%E2%80%9CProfessionalisation%2C+in+its+push+for+accepted+standards+of+practice%2C+could+eliminate+styles+of+work+which+are+effective+but+idiosyncratic+and+unorthodox.%E2%80%9D&amp;oq=%E2%80%9CProfessionalisation%2C+in+its+push+for+accepted+standards+of+practice%2C+could+eliminate+styles+of+work+which+are+effective+but+idiosyncratic+and+unorthodox.%E2%80%9D&amp;gs_lcrp=EgZjaHJvbWUyBggAEEUYOdIBCDEzMjRqMGo3qAIIsAIB&amp;sourceid=chrome&amp;ie=UTF-8" TargetMode="External"/><Relationship Id="rId34" Type="http://schemas.openxmlformats.org/officeDocument/2006/relationships/hyperlink" Target="https://www.google.com/search?q=%E2%80%9CProfessionalisation%2C+in+its+push+for+accepted+standards+of+practice%2C+could+eliminate+styles+of+work+which+are+effective+but+idiosyncratic+and+unorthodox.%E2%80%9D&amp;oq=%E2%80%9CProfessionalisation%2C+in+its+push+for+accepted+standards+of+practice%2C+could+eliminate+styles+of+work+which+are+effective+but+idiosyncratic+and+unorthodox.%E2%80%9D&amp;gs_lcrp=EgZjaHJvbWUyBggAEEUYOdIBCDEzMjRqMGo3qAIIsAIB&amp;sourceid=chrome&amp;ie=UTF-8" TargetMode="External"/><Relationship Id="rId37" Type="http://schemas.openxmlformats.org/officeDocument/2006/relationships/hyperlink" Target="https://www.peoplethatdeliver.org/professionalisation" TargetMode="External"/><Relationship Id="rId36" Type="http://schemas.openxmlformats.org/officeDocument/2006/relationships/hyperlink" Target="https://www.peoplethatdeliver.org/professionalisation" TargetMode="External"/><Relationship Id="rId39" Type="http://schemas.openxmlformats.org/officeDocument/2006/relationships/hyperlink" Target="about:blank" TargetMode="External"/><Relationship Id="rId38" Type="http://schemas.openxmlformats.org/officeDocument/2006/relationships/hyperlink" Target="about:blank" TargetMode="External"/><Relationship Id="rId20" Type="http://schemas.openxmlformats.org/officeDocument/2006/relationships/hyperlink" Target="https://doi.org/10.1016/j.apnu.2016.01.007" TargetMode="External"/><Relationship Id="rId22" Type="http://schemas.openxmlformats.org/officeDocument/2006/relationships/hyperlink" Target="https://doi.org/10.5694/mja2.50383" TargetMode="External"/><Relationship Id="rId21" Type="http://schemas.openxmlformats.org/officeDocument/2006/relationships/hyperlink" Target="https://doi.org/10.1016/j.apnu.2016.01.007" TargetMode="External"/><Relationship Id="rId24" Type="http://schemas.openxmlformats.org/officeDocument/2006/relationships/hyperlink" Target="https://aspe.hhs.gov/reports/people-participate-social-safety-net" TargetMode="External"/><Relationship Id="rId23" Type="http://schemas.openxmlformats.org/officeDocument/2006/relationships/hyperlink" Target="https://doi.org/10.5694/mja2.50383" TargetMode="External"/><Relationship Id="rId26" Type="http://schemas.openxmlformats.org/officeDocument/2006/relationships/hyperlink" Target="https://www.britannica.com/topic/labeling-theory" TargetMode="External"/><Relationship Id="rId25" Type="http://schemas.openxmlformats.org/officeDocument/2006/relationships/hyperlink" Target="https://aspe.hhs.gov/reports/people-participate-social-safety-net" TargetMode="External"/><Relationship Id="rId28" Type="http://schemas.openxmlformats.org/officeDocument/2006/relationships/hyperlink" Target="https://carelearning.org.uk/blog/advocacy/what-is-professional-advocacy-in-health-and-social-care/" TargetMode="External"/><Relationship Id="rId27" Type="http://schemas.openxmlformats.org/officeDocument/2006/relationships/hyperlink" Target="https://www.britannica.com/topic/labeling-theory" TargetMode="External"/><Relationship Id="rId29" Type="http://schemas.openxmlformats.org/officeDocument/2006/relationships/hyperlink" Target="https://carelearning.org.uk/blog/advocacy/what-is-professional-advocacy-in-health-and-social-care/" TargetMode="External"/><Relationship Id="rId51" Type="http://schemas.openxmlformats.org/officeDocument/2006/relationships/hyperlink" Target="https://issuu.com/lshpublications/docs/advocacy_welcome_booklet" TargetMode="External"/><Relationship Id="rId50" Type="http://schemas.openxmlformats.org/officeDocument/2006/relationships/hyperlink" Target="https://issuu.com/lshpublications/docs/advocacy_welcome_booklet" TargetMode="External"/><Relationship Id="rId11" Type="http://schemas.openxmlformats.org/officeDocument/2006/relationships/hyperlink" Target="https://usafacts.org/topics/child-social-services/" TargetMode="External"/><Relationship Id="rId10" Type="http://schemas.openxmlformats.org/officeDocument/2006/relationships/hyperlink" Target="https://usafacts.org/topics/child-social-services/" TargetMode="External"/><Relationship Id="rId13" Type="http://schemas.openxmlformats.org/officeDocument/2006/relationships/hyperlink" Target="https://www.cityandguilds.com/qualifications-and-apprenticeships/health-and-social-care/care/3610-independent-advocacy#tab=information&amp;acc=general-info" TargetMode="External"/><Relationship Id="rId12" Type="http://schemas.openxmlformats.org/officeDocument/2006/relationships/hyperlink" Target="https://www.cityandguilds.com/qualifications-and-apprenticeships/health-and-social-care/care/3610-independent-advocacy#tab=information&amp;acc=general-info" TargetMode="External"/><Relationship Id="rId15" Type="http://schemas.openxmlformats.org/officeDocument/2006/relationships/hyperlink" Target="https://conservativehome.com/2025/01/16/read-kemi-badenochs-speech-rebuilding-trust-thursday-16th-january-2025/" TargetMode="External"/><Relationship Id="rId14" Type="http://schemas.openxmlformats.org/officeDocument/2006/relationships/hyperlink" Target="https://conservativehome.com/2025/01/16/read-kemi-badenochs-speech-rebuilding-trust-thursday-16th-january-2025/" TargetMode="External"/><Relationship Id="rId17" Type="http://schemas.openxmlformats.org/officeDocument/2006/relationships/hyperlink" Target="https://doi.org/10.1177/1468017304044861" TargetMode="External"/><Relationship Id="rId16" Type="http://schemas.openxmlformats.org/officeDocument/2006/relationships/hyperlink" Target="https://doi.org/10.1177/1468017304044861" TargetMode="External"/><Relationship Id="rId19" Type="http://schemas.openxmlformats.org/officeDocument/2006/relationships/hyperlink" Target="https://ojjdp.ojp.gov/statistical-briefing-book/population/faqs/qa01104" TargetMode="External"/><Relationship Id="rId18" Type="http://schemas.openxmlformats.org/officeDocument/2006/relationships/hyperlink" Target="https://ojjdp.ojp.gov/statistical-briefing-book/population/faqs/qa0110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