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DD4C4" w14:textId="77777777" w:rsidR="000A5F99" w:rsidRPr="000168D6" w:rsidRDefault="000A5F99" w:rsidP="000168D6">
      <w:pPr>
        <w:spacing w:line="360" w:lineRule="auto"/>
        <w:jc w:val="both"/>
        <w:rPr>
          <w:rFonts w:ascii="Arial" w:hAnsi="Arial" w:cs="Arial"/>
          <w:b/>
          <w:bCs/>
          <w:sz w:val="22"/>
          <w:szCs w:val="22"/>
        </w:rPr>
      </w:pPr>
      <w:r w:rsidRPr="000168D6">
        <w:rPr>
          <w:rFonts w:ascii="Arial" w:hAnsi="Arial" w:cs="Arial"/>
          <w:b/>
          <w:bCs/>
          <w:sz w:val="22"/>
          <w:szCs w:val="22"/>
        </w:rPr>
        <w:t>Applying Analysis in Assessment to Inform Intervention</w:t>
      </w:r>
    </w:p>
    <w:p w14:paraId="2C8831BB" w14:textId="77777777" w:rsidR="000A5F99" w:rsidRPr="000168D6" w:rsidRDefault="000A5F99" w:rsidP="000168D6">
      <w:pPr>
        <w:spacing w:line="360" w:lineRule="auto"/>
        <w:jc w:val="both"/>
        <w:rPr>
          <w:rFonts w:ascii="Arial" w:hAnsi="Arial" w:cs="Arial"/>
          <w:sz w:val="22"/>
          <w:szCs w:val="22"/>
        </w:rPr>
      </w:pPr>
      <w:r w:rsidRPr="000168D6">
        <w:rPr>
          <w:rFonts w:ascii="Arial" w:hAnsi="Arial" w:cs="Arial"/>
          <w:sz w:val="22"/>
          <w:szCs w:val="22"/>
        </w:rPr>
        <w:t>Throughout my role within children's services, I have developed my ability to analyse information gathered from assessments to inform intervention planning. Analysis moves beyond the collection of information and requires practitioners to critically consider how factors interact to influence outcomes for children and families (Milner and O'Byrne, 2014). During a recent Child and Family Assessment, I identified concerns relating to parental mental health, inconsistent school attendance and financial hardship. Using an ecological perspective, I considered how these factors interacted to impact the child's wellbeing rather than viewing them as isolated concerns (Bronfenbrenner, 1979).</w:t>
      </w:r>
    </w:p>
    <w:p w14:paraId="7FE89431" w14:textId="77777777" w:rsidR="000A5F99" w:rsidRPr="000168D6" w:rsidRDefault="000A5F99" w:rsidP="000168D6">
      <w:pPr>
        <w:spacing w:line="360" w:lineRule="auto"/>
        <w:jc w:val="both"/>
        <w:rPr>
          <w:rFonts w:ascii="Arial" w:hAnsi="Arial" w:cs="Arial"/>
          <w:sz w:val="22"/>
          <w:szCs w:val="22"/>
        </w:rPr>
      </w:pPr>
      <w:r w:rsidRPr="000168D6">
        <w:rPr>
          <w:rFonts w:ascii="Arial" w:hAnsi="Arial" w:cs="Arial"/>
          <w:sz w:val="22"/>
          <w:szCs w:val="22"/>
        </w:rPr>
        <w:t>The Social Services and Well-being (Wales) Act 2014 emphasises strengths-based practice and co-production, requiring practitioners to balance risk identification with recognition of family strengths. Through analysis, I identified protective factors including a supportive extended family network and parental willingness to engage with services. This informed a proportionate intervention plan involving multi-agency support rather than escalation to statutory intervention.</w:t>
      </w:r>
    </w:p>
    <w:p w14:paraId="188A2406" w14:textId="77777777" w:rsidR="000A5F99" w:rsidRPr="000168D6" w:rsidRDefault="000A5F99" w:rsidP="000168D6">
      <w:pPr>
        <w:spacing w:line="360" w:lineRule="auto"/>
        <w:jc w:val="both"/>
        <w:rPr>
          <w:rFonts w:ascii="Arial" w:hAnsi="Arial" w:cs="Arial"/>
          <w:sz w:val="22"/>
          <w:szCs w:val="22"/>
        </w:rPr>
      </w:pPr>
      <w:r w:rsidRPr="000168D6">
        <w:rPr>
          <w:rFonts w:ascii="Arial" w:hAnsi="Arial" w:cs="Arial"/>
          <w:sz w:val="22"/>
          <w:szCs w:val="22"/>
        </w:rPr>
        <w:t>Critically reflecting on this experience highlighted the importance of professional curiosity and evidence-informed decision making. Research suggests that poor analysis can lead to ineffective interventions and increased risk for children (Munro, 2011). Consequently, I continue to develop my analytical skills through supervision and reflective practice.</w:t>
      </w:r>
    </w:p>
    <w:p w14:paraId="0694B65A" w14:textId="77777777" w:rsidR="000A5F99" w:rsidRPr="000168D6" w:rsidRDefault="000A5F99" w:rsidP="000168D6">
      <w:pPr>
        <w:spacing w:line="360" w:lineRule="auto"/>
        <w:jc w:val="both"/>
        <w:rPr>
          <w:rFonts w:ascii="Arial" w:hAnsi="Arial" w:cs="Arial"/>
          <w:b/>
          <w:bCs/>
          <w:sz w:val="22"/>
          <w:szCs w:val="22"/>
        </w:rPr>
      </w:pPr>
      <w:r w:rsidRPr="000168D6">
        <w:rPr>
          <w:rFonts w:ascii="Arial" w:hAnsi="Arial" w:cs="Arial"/>
          <w:b/>
          <w:bCs/>
          <w:sz w:val="22"/>
          <w:szCs w:val="22"/>
        </w:rPr>
        <w:t>Working Collaboratively with People in Need of Care and Support, Their Carers and Other Professionals</w:t>
      </w:r>
    </w:p>
    <w:p w14:paraId="122448B4" w14:textId="77777777" w:rsidR="000A5F99" w:rsidRPr="000168D6" w:rsidRDefault="000A5F99" w:rsidP="000168D6">
      <w:pPr>
        <w:spacing w:line="360" w:lineRule="auto"/>
        <w:jc w:val="both"/>
        <w:rPr>
          <w:rFonts w:ascii="Arial" w:hAnsi="Arial" w:cs="Arial"/>
          <w:sz w:val="22"/>
          <w:szCs w:val="22"/>
        </w:rPr>
      </w:pPr>
      <w:r w:rsidRPr="000168D6">
        <w:rPr>
          <w:rFonts w:ascii="Arial" w:hAnsi="Arial" w:cs="Arial"/>
          <w:sz w:val="22"/>
          <w:szCs w:val="22"/>
        </w:rPr>
        <w:t>Collaborative practice is central to effective social work and is embedded within the Social Services and Well-being (Wales) Act 2014. Working alongside families and professionals enables holistic assessment and promotes better outcomes through shared decision-making. I recently worked with a family experiencing multiple adversities, including domestic abuse, poverty and educational concerns. Effective collaboration required ongoing communication with education, health and third-sector agencies while ensuring the family's voice remained central to planning.</w:t>
      </w:r>
    </w:p>
    <w:p w14:paraId="1505E91A" w14:textId="77777777" w:rsidR="000A5F99" w:rsidRPr="000168D6" w:rsidRDefault="000A5F99" w:rsidP="000168D6">
      <w:pPr>
        <w:spacing w:line="360" w:lineRule="auto"/>
        <w:jc w:val="both"/>
        <w:rPr>
          <w:rFonts w:ascii="Arial" w:hAnsi="Arial" w:cs="Arial"/>
          <w:sz w:val="22"/>
          <w:szCs w:val="22"/>
        </w:rPr>
      </w:pPr>
      <w:r w:rsidRPr="000168D6">
        <w:rPr>
          <w:rFonts w:ascii="Arial" w:hAnsi="Arial" w:cs="Arial"/>
          <w:sz w:val="22"/>
          <w:szCs w:val="22"/>
        </w:rPr>
        <w:t>Research highlights that meaningful participation strengthens engagement and improves outcomes for families (Trevithick, 2012). However, collaboration can be challenging when professional perspectives differ. Reflecting on this experience highlighted the importance of understanding professional roles, maintaining respectful challenge and promoting a common goal focused on the child's welfare.</w:t>
      </w:r>
    </w:p>
    <w:p w14:paraId="2C220386" w14:textId="77777777" w:rsidR="000168D6" w:rsidRPr="000168D6" w:rsidRDefault="000168D6" w:rsidP="000168D6">
      <w:pPr>
        <w:spacing w:line="360" w:lineRule="auto"/>
        <w:jc w:val="both"/>
        <w:rPr>
          <w:rFonts w:ascii="Arial" w:hAnsi="Arial" w:cs="Arial"/>
          <w:b/>
          <w:bCs/>
          <w:sz w:val="22"/>
          <w:szCs w:val="22"/>
        </w:rPr>
      </w:pPr>
      <w:r w:rsidRPr="000168D6">
        <w:rPr>
          <w:rFonts w:ascii="Arial" w:hAnsi="Arial" w:cs="Arial"/>
          <w:b/>
          <w:bCs/>
          <w:sz w:val="22"/>
          <w:szCs w:val="22"/>
        </w:rPr>
        <w:t>Future Learning Using Driscoll's (2007) Reflective Model</w:t>
      </w:r>
    </w:p>
    <w:p w14:paraId="2FEDFA22" w14:textId="77777777" w:rsidR="000168D6" w:rsidRPr="000168D6" w:rsidRDefault="000168D6" w:rsidP="000168D6">
      <w:pPr>
        <w:spacing w:line="360" w:lineRule="auto"/>
        <w:jc w:val="both"/>
        <w:rPr>
          <w:rFonts w:ascii="Arial" w:hAnsi="Arial" w:cs="Arial"/>
          <w:b/>
          <w:bCs/>
          <w:sz w:val="22"/>
          <w:szCs w:val="22"/>
        </w:rPr>
      </w:pPr>
      <w:r w:rsidRPr="000168D6">
        <w:rPr>
          <w:rFonts w:ascii="Arial" w:hAnsi="Arial" w:cs="Arial"/>
          <w:b/>
          <w:bCs/>
          <w:sz w:val="22"/>
          <w:szCs w:val="22"/>
        </w:rPr>
        <w:lastRenderedPageBreak/>
        <w:t>What?</w:t>
      </w:r>
    </w:p>
    <w:p w14:paraId="57A1A4A5" w14:textId="77777777"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Through reflection on my collaborative practice, I have identified three key areas for further development: understanding the roles and responsibilities of partner agencies, developing knowledge of the Public Law Outline (PLO) process, and completing Section 47 Child Protection training. Whilst I work regularly within multi-agency networks, I recognise that a deeper understanding of how different professionals contribute to assessment, planning and intervention would strengthen collaborative working and improve outcomes for children and families.</w:t>
      </w:r>
    </w:p>
    <w:p w14:paraId="6F3633EB" w14:textId="77777777"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In addition, I aim to develop my understanding of the Public Law Outline process and the role of social workers within pre-proceedings work. I have also identified the need to complete Section 47 training. Under Section 47 of the Children Act 1989, local authorities have a statutory duty to undertake enquiries where they have reasonable cause to suspect that a child is suffering, or is likely to suffer, significant harm (Children Act, 1989). As a child protection social worker, completion of Section 47 training is a requirement of my local authority before independently undertaking Section 47 enquiries.</w:t>
      </w:r>
    </w:p>
    <w:p w14:paraId="0D72A061" w14:textId="77777777" w:rsidR="000168D6" w:rsidRPr="000168D6" w:rsidRDefault="000168D6" w:rsidP="000168D6">
      <w:pPr>
        <w:spacing w:line="360" w:lineRule="auto"/>
        <w:jc w:val="both"/>
        <w:rPr>
          <w:rFonts w:ascii="Arial" w:hAnsi="Arial" w:cs="Arial"/>
          <w:b/>
          <w:bCs/>
          <w:sz w:val="22"/>
          <w:szCs w:val="22"/>
        </w:rPr>
      </w:pPr>
      <w:r w:rsidRPr="000168D6">
        <w:rPr>
          <w:rFonts w:ascii="Arial" w:hAnsi="Arial" w:cs="Arial"/>
          <w:b/>
          <w:bCs/>
          <w:sz w:val="22"/>
          <w:szCs w:val="22"/>
        </w:rPr>
        <w:t>So What?</w:t>
      </w:r>
    </w:p>
    <w:p w14:paraId="017F7332" w14:textId="77777777"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Developing my knowledge of professional roles will strengthen my ability to collaborate effectively with partner agencies and promote coordinated support for families. Effective multi-agency working depends upon professionals understanding each other's responsibilities, expertise and statutory functions, enabling information to be shared appropriately and reducing the risk of fragmented interventions (Glasby and Dickinson, 2014). This will support me to contribute more confidently within professional discussions and challenge appropriately where required.</w:t>
      </w:r>
    </w:p>
    <w:p w14:paraId="1173035C" w14:textId="77777777" w:rsidR="000168D6" w:rsidRDefault="000168D6" w:rsidP="000168D6">
      <w:pPr>
        <w:spacing w:line="360" w:lineRule="auto"/>
        <w:jc w:val="both"/>
        <w:rPr>
          <w:rFonts w:ascii="Arial" w:hAnsi="Arial" w:cs="Arial"/>
          <w:sz w:val="22"/>
          <w:szCs w:val="22"/>
        </w:rPr>
      </w:pPr>
      <w:r w:rsidRPr="000168D6">
        <w:rPr>
          <w:rFonts w:ascii="Arial" w:hAnsi="Arial" w:cs="Arial"/>
          <w:sz w:val="22"/>
          <w:szCs w:val="22"/>
        </w:rPr>
        <w:t>Further knowledge of the Public Law Outline process will enhance my understanding of legal planning and decision-making when concerns about children's welfare escalate. This will enable me to better support families through pre-proceedings work and ensure interventions are proportionate and legally informed. Completing Section 47 training will strengthen my understanding of child protection enquiries, threshold decision-making and statutory safeguarding responsibilities. Research highlights that social workers must be able to exercise professional judgement within complex and uncertain situations whilst balancing risk, rights and outcomes for children (Munro, 2011). Therefore, developing knowledge in these areas will increase my confidence, competence and effectiveness when working collaboratively to safeguard children and promote their welfare.</w:t>
      </w:r>
    </w:p>
    <w:p w14:paraId="3EFF7B2B" w14:textId="77777777" w:rsidR="000168D6" w:rsidRPr="000168D6" w:rsidRDefault="000168D6" w:rsidP="000168D6">
      <w:pPr>
        <w:spacing w:line="360" w:lineRule="auto"/>
        <w:jc w:val="both"/>
        <w:rPr>
          <w:rFonts w:ascii="Arial" w:hAnsi="Arial" w:cs="Arial"/>
          <w:b/>
          <w:bCs/>
          <w:sz w:val="22"/>
          <w:szCs w:val="22"/>
        </w:rPr>
      </w:pPr>
      <w:r w:rsidRPr="000168D6">
        <w:rPr>
          <w:rFonts w:ascii="Arial" w:hAnsi="Arial" w:cs="Arial"/>
          <w:b/>
          <w:bCs/>
          <w:sz w:val="22"/>
          <w:szCs w:val="22"/>
        </w:rPr>
        <w:t>References</w:t>
      </w:r>
    </w:p>
    <w:p w14:paraId="6A24E866" w14:textId="77777777"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lastRenderedPageBreak/>
        <w:t xml:space="preserve">BASW (2021) </w:t>
      </w:r>
      <w:r w:rsidRPr="000168D6">
        <w:rPr>
          <w:rFonts w:ascii="Arial" w:hAnsi="Arial" w:cs="Arial"/>
          <w:i/>
          <w:iCs/>
          <w:sz w:val="22"/>
          <w:szCs w:val="22"/>
        </w:rPr>
        <w:t>Code of Ethics for Social Work</w:t>
      </w:r>
      <w:r w:rsidRPr="000168D6">
        <w:rPr>
          <w:rFonts w:ascii="Arial" w:hAnsi="Arial" w:cs="Arial"/>
          <w:sz w:val="22"/>
          <w:szCs w:val="22"/>
        </w:rPr>
        <w:t>. Birmingham: British Association of Social Workers.</w:t>
      </w:r>
    </w:p>
    <w:p w14:paraId="24F491B5" w14:textId="77777777"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 xml:space="preserve">Bronfenbrenner, U. (1979) </w:t>
      </w:r>
      <w:r w:rsidRPr="000168D6">
        <w:rPr>
          <w:rFonts w:ascii="Arial" w:hAnsi="Arial" w:cs="Arial"/>
          <w:i/>
          <w:iCs/>
          <w:sz w:val="22"/>
          <w:szCs w:val="22"/>
        </w:rPr>
        <w:t>The Ecology of Human Development: Experiments by Nature and Design</w:t>
      </w:r>
      <w:r w:rsidRPr="000168D6">
        <w:rPr>
          <w:rFonts w:ascii="Arial" w:hAnsi="Arial" w:cs="Arial"/>
          <w:sz w:val="22"/>
          <w:szCs w:val="22"/>
        </w:rPr>
        <w:t>. Cambridge, MA: Harvard University Press.</w:t>
      </w:r>
    </w:p>
    <w:p w14:paraId="5586A1DF" w14:textId="77777777"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Children Act 1989. (c.41). London: The Stationery Office. Available at: https://www.legislation.gov.uk/ukpga/1989/41/contents (Accessed: 17 July 2026).</w:t>
      </w:r>
    </w:p>
    <w:p w14:paraId="28FCCF0A" w14:textId="5F689A4E"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 xml:space="preserve">Driscoll, J. (2007) </w:t>
      </w:r>
      <w:r w:rsidRPr="000168D6">
        <w:rPr>
          <w:rFonts w:ascii="Arial" w:hAnsi="Arial" w:cs="Arial"/>
          <w:i/>
          <w:iCs/>
          <w:sz w:val="22"/>
          <w:szCs w:val="22"/>
        </w:rPr>
        <w:t>Practising Clinical Supervision: A Reflective Approach for Healthcare Professionals</w:t>
      </w:r>
      <w:r w:rsidRPr="000168D6">
        <w:rPr>
          <w:rFonts w:ascii="Arial" w:hAnsi="Arial" w:cs="Arial"/>
          <w:sz w:val="22"/>
          <w:szCs w:val="22"/>
        </w:rPr>
        <w:t>. 2nd ed</w:t>
      </w:r>
      <w:r>
        <w:rPr>
          <w:rFonts w:ascii="Arial" w:hAnsi="Arial" w:cs="Arial"/>
          <w:sz w:val="22"/>
          <w:szCs w:val="22"/>
        </w:rPr>
        <w:t>ition</w:t>
      </w:r>
      <w:r w:rsidRPr="000168D6">
        <w:rPr>
          <w:rFonts w:ascii="Arial" w:hAnsi="Arial" w:cs="Arial"/>
          <w:sz w:val="22"/>
          <w:szCs w:val="22"/>
        </w:rPr>
        <w:t>. Edinburgh: Elsevier.</w:t>
      </w:r>
    </w:p>
    <w:p w14:paraId="059F831C" w14:textId="61A67281"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 xml:space="preserve">Glasby, J. and Dickinson, H. (2014) </w:t>
      </w:r>
      <w:r w:rsidRPr="000168D6">
        <w:rPr>
          <w:rFonts w:ascii="Arial" w:hAnsi="Arial" w:cs="Arial"/>
          <w:i/>
          <w:iCs/>
          <w:sz w:val="22"/>
          <w:szCs w:val="22"/>
        </w:rPr>
        <w:t>Partnership Working in Health and Social Care</w:t>
      </w:r>
      <w:r w:rsidRPr="000168D6">
        <w:rPr>
          <w:rFonts w:ascii="Arial" w:hAnsi="Arial" w:cs="Arial"/>
          <w:sz w:val="22"/>
          <w:szCs w:val="22"/>
        </w:rPr>
        <w:t>. 2nd e</w:t>
      </w:r>
      <w:r>
        <w:rPr>
          <w:rFonts w:ascii="Arial" w:hAnsi="Arial" w:cs="Arial"/>
          <w:sz w:val="22"/>
          <w:szCs w:val="22"/>
        </w:rPr>
        <w:t>dition</w:t>
      </w:r>
      <w:r w:rsidRPr="000168D6">
        <w:rPr>
          <w:rFonts w:ascii="Arial" w:hAnsi="Arial" w:cs="Arial"/>
          <w:sz w:val="22"/>
          <w:szCs w:val="22"/>
        </w:rPr>
        <w:t>. Bristol: Policy Press.</w:t>
      </w:r>
    </w:p>
    <w:p w14:paraId="53757FCB" w14:textId="64DC10C3"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 xml:space="preserve">Milner, J. and O'Byrne, P. (2014) </w:t>
      </w:r>
      <w:r w:rsidRPr="000168D6">
        <w:rPr>
          <w:rFonts w:ascii="Arial" w:hAnsi="Arial" w:cs="Arial"/>
          <w:i/>
          <w:iCs/>
          <w:sz w:val="22"/>
          <w:szCs w:val="22"/>
        </w:rPr>
        <w:t>Assessment in Social Work</w:t>
      </w:r>
      <w:r w:rsidRPr="000168D6">
        <w:rPr>
          <w:rFonts w:ascii="Arial" w:hAnsi="Arial" w:cs="Arial"/>
          <w:sz w:val="22"/>
          <w:szCs w:val="22"/>
        </w:rPr>
        <w:t>. 5th ed</w:t>
      </w:r>
      <w:r>
        <w:rPr>
          <w:rFonts w:ascii="Arial" w:hAnsi="Arial" w:cs="Arial"/>
          <w:sz w:val="22"/>
          <w:szCs w:val="22"/>
        </w:rPr>
        <w:t>ition</w:t>
      </w:r>
      <w:r w:rsidRPr="000168D6">
        <w:rPr>
          <w:rFonts w:ascii="Arial" w:hAnsi="Arial" w:cs="Arial"/>
          <w:sz w:val="22"/>
          <w:szCs w:val="22"/>
        </w:rPr>
        <w:t>. Basingstoke: Palgrave Macmillan.</w:t>
      </w:r>
    </w:p>
    <w:p w14:paraId="5DB4788B" w14:textId="77777777"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 xml:space="preserve">Munro, E. (2011) </w:t>
      </w:r>
      <w:r w:rsidRPr="000168D6">
        <w:rPr>
          <w:rFonts w:ascii="Arial" w:hAnsi="Arial" w:cs="Arial"/>
          <w:i/>
          <w:iCs/>
          <w:sz w:val="22"/>
          <w:szCs w:val="22"/>
        </w:rPr>
        <w:t>The Munro Review of Child Protection: Final Report: A Child-Centred System</w:t>
      </w:r>
      <w:r w:rsidRPr="000168D6">
        <w:rPr>
          <w:rFonts w:ascii="Arial" w:hAnsi="Arial" w:cs="Arial"/>
          <w:sz w:val="22"/>
          <w:szCs w:val="22"/>
        </w:rPr>
        <w:t>. London: Department for Education.</w:t>
      </w:r>
    </w:p>
    <w:p w14:paraId="20A19D52" w14:textId="77777777"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Social Services and Well-being (Wales) Act 2014. Cardiff: Welsh Government. Available at: https://www.legislation.gov.uk/anaw/2014/4/contents (Accessed: 17 July 2026).</w:t>
      </w:r>
    </w:p>
    <w:p w14:paraId="5031835C" w14:textId="3666C590" w:rsidR="000168D6" w:rsidRPr="000168D6" w:rsidRDefault="000168D6" w:rsidP="000168D6">
      <w:pPr>
        <w:spacing w:line="360" w:lineRule="auto"/>
        <w:jc w:val="both"/>
        <w:rPr>
          <w:rFonts w:ascii="Arial" w:hAnsi="Arial" w:cs="Arial"/>
          <w:sz w:val="22"/>
          <w:szCs w:val="22"/>
        </w:rPr>
      </w:pPr>
      <w:r w:rsidRPr="000168D6">
        <w:rPr>
          <w:rFonts w:ascii="Arial" w:hAnsi="Arial" w:cs="Arial"/>
          <w:sz w:val="22"/>
          <w:szCs w:val="22"/>
        </w:rPr>
        <w:t xml:space="preserve">Trevithick, P. (2012) </w:t>
      </w:r>
      <w:r w:rsidRPr="000168D6">
        <w:rPr>
          <w:rFonts w:ascii="Arial" w:hAnsi="Arial" w:cs="Arial"/>
          <w:i/>
          <w:iCs/>
          <w:sz w:val="22"/>
          <w:szCs w:val="22"/>
        </w:rPr>
        <w:t>Social Work Skills and Knowledge: A Practice Handbook</w:t>
      </w:r>
      <w:r w:rsidRPr="000168D6">
        <w:rPr>
          <w:rFonts w:ascii="Arial" w:hAnsi="Arial" w:cs="Arial"/>
          <w:sz w:val="22"/>
          <w:szCs w:val="22"/>
        </w:rPr>
        <w:t>. 3rd ed</w:t>
      </w:r>
      <w:r>
        <w:rPr>
          <w:rFonts w:ascii="Arial" w:hAnsi="Arial" w:cs="Arial"/>
          <w:sz w:val="22"/>
          <w:szCs w:val="22"/>
        </w:rPr>
        <w:t>ition</w:t>
      </w:r>
      <w:r w:rsidRPr="000168D6">
        <w:rPr>
          <w:rFonts w:ascii="Arial" w:hAnsi="Arial" w:cs="Arial"/>
          <w:sz w:val="22"/>
          <w:szCs w:val="22"/>
        </w:rPr>
        <w:t>. Maidenhead: Open University Press.</w:t>
      </w:r>
    </w:p>
    <w:p w14:paraId="724594E4" w14:textId="77777777" w:rsidR="000168D6" w:rsidRPr="000168D6" w:rsidRDefault="000168D6" w:rsidP="000168D6">
      <w:pPr>
        <w:spacing w:line="360" w:lineRule="auto"/>
        <w:jc w:val="both"/>
        <w:rPr>
          <w:rFonts w:ascii="Arial" w:hAnsi="Arial" w:cs="Arial"/>
          <w:sz w:val="22"/>
          <w:szCs w:val="22"/>
        </w:rPr>
      </w:pPr>
    </w:p>
    <w:p w14:paraId="38A07B11" w14:textId="77777777" w:rsidR="000F3660" w:rsidRPr="000168D6" w:rsidRDefault="000F3660" w:rsidP="000168D6">
      <w:pPr>
        <w:spacing w:line="360" w:lineRule="auto"/>
        <w:jc w:val="both"/>
        <w:rPr>
          <w:rFonts w:ascii="Arial" w:hAnsi="Arial" w:cs="Arial"/>
          <w:sz w:val="22"/>
          <w:szCs w:val="22"/>
        </w:rPr>
      </w:pPr>
    </w:p>
    <w:sectPr w:rsidR="000F3660" w:rsidRPr="000168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F99"/>
    <w:rsid w:val="00013285"/>
    <w:rsid w:val="000168D6"/>
    <w:rsid w:val="000A5F99"/>
    <w:rsid w:val="000F3660"/>
    <w:rsid w:val="00544F45"/>
    <w:rsid w:val="00B91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647F7"/>
  <w15:chartTrackingRefBased/>
  <w15:docId w15:val="{83BAC8D9-699C-454A-8809-AB7D72EB0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F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F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F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F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F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F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F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F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F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F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F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F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F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F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F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F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F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F99"/>
    <w:rPr>
      <w:rFonts w:eastAsiaTheme="majorEastAsia" w:cstheme="majorBidi"/>
      <w:color w:val="272727" w:themeColor="text1" w:themeTint="D8"/>
    </w:rPr>
  </w:style>
  <w:style w:type="paragraph" w:styleId="Title">
    <w:name w:val="Title"/>
    <w:basedOn w:val="Normal"/>
    <w:next w:val="Normal"/>
    <w:link w:val="TitleChar"/>
    <w:uiPriority w:val="10"/>
    <w:qFormat/>
    <w:rsid w:val="000A5F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F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F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F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F99"/>
    <w:pPr>
      <w:spacing w:before="160"/>
      <w:jc w:val="center"/>
    </w:pPr>
    <w:rPr>
      <w:i/>
      <w:iCs/>
      <w:color w:val="404040" w:themeColor="text1" w:themeTint="BF"/>
    </w:rPr>
  </w:style>
  <w:style w:type="character" w:customStyle="1" w:styleId="QuoteChar">
    <w:name w:val="Quote Char"/>
    <w:basedOn w:val="DefaultParagraphFont"/>
    <w:link w:val="Quote"/>
    <w:uiPriority w:val="29"/>
    <w:rsid w:val="000A5F99"/>
    <w:rPr>
      <w:i/>
      <w:iCs/>
      <w:color w:val="404040" w:themeColor="text1" w:themeTint="BF"/>
    </w:rPr>
  </w:style>
  <w:style w:type="paragraph" w:styleId="ListParagraph">
    <w:name w:val="List Paragraph"/>
    <w:basedOn w:val="Normal"/>
    <w:uiPriority w:val="34"/>
    <w:qFormat/>
    <w:rsid w:val="000A5F99"/>
    <w:pPr>
      <w:ind w:left="720"/>
      <w:contextualSpacing/>
    </w:pPr>
  </w:style>
  <w:style w:type="character" w:styleId="IntenseEmphasis">
    <w:name w:val="Intense Emphasis"/>
    <w:basedOn w:val="DefaultParagraphFont"/>
    <w:uiPriority w:val="21"/>
    <w:qFormat/>
    <w:rsid w:val="000A5F99"/>
    <w:rPr>
      <w:i/>
      <w:iCs/>
      <w:color w:val="0F4761" w:themeColor="accent1" w:themeShade="BF"/>
    </w:rPr>
  </w:style>
  <w:style w:type="paragraph" w:styleId="IntenseQuote">
    <w:name w:val="Intense Quote"/>
    <w:basedOn w:val="Normal"/>
    <w:next w:val="Normal"/>
    <w:link w:val="IntenseQuoteChar"/>
    <w:uiPriority w:val="30"/>
    <w:qFormat/>
    <w:rsid w:val="000A5F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F99"/>
    <w:rPr>
      <w:i/>
      <w:iCs/>
      <w:color w:val="0F4761" w:themeColor="accent1" w:themeShade="BF"/>
    </w:rPr>
  </w:style>
  <w:style w:type="character" w:styleId="IntenseReference">
    <w:name w:val="Intense Reference"/>
    <w:basedOn w:val="DefaultParagraphFont"/>
    <w:uiPriority w:val="32"/>
    <w:qFormat/>
    <w:rsid w:val="000A5F9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3</Pages>
  <Words>966</Words>
  <Characters>5511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Farrall</dc:creator>
  <cp:keywords/>
  <dc:description/>
  <cp:lastModifiedBy>Sophie Farrall</cp:lastModifiedBy>
  <cp:revision>1</cp:revision>
  <dcterms:created xsi:type="dcterms:W3CDTF">2026-07-17T08:49:00Z</dcterms:created>
  <dcterms:modified xsi:type="dcterms:W3CDTF">2026-07-17T09:07:00Z</dcterms:modified>
</cp:coreProperties>
</file>