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3E7E8CF" wp14:paraId="1F13BFE6" wp14:textId="22B0F2E7">
      <w:pPr>
        <w:pStyle w:val="Normal"/>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0EA770F5" wp14:textId="4453F6E1">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57B07BCB">
        <w:drawing>
          <wp:inline xmlns:wp14="http://schemas.microsoft.com/office/word/2010/wordprocessingDrawing" wp14:editId="52753D06" wp14:anchorId="3958942E">
            <wp:extent cx="2295525" cy="885825"/>
            <wp:effectExtent l="0" t="0" r="0" b="0"/>
            <wp:docPr id="1607352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7352303" name="Picture 1607352303"/>
                    <pic:cNvPicPr/>
                  </pic:nvPicPr>
                  <pic:blipFill>
                    <a:blip xmlns:r="http://schemas.openxmlformats.org/officeDocument/2006/relationships" r:embed="rId189678128">
                      <a:extLst>
                        <a:ext uri="{28A0092B-C50C-407E-A947-70E740481C1C}">
                          <a14:useLocalDpi xmlns:a14="http://schemas.microsoft.com/office/drawing/2010/main"/>
                        </a:ext>
                      </a:extLst>
                    </a:blip>
                    <a:stretch>
                      <a:fillRect/>
                    </a:stretch>
                  </pic:blipFill>
                  <pic:spPr>
                    <a:xfrm>
                      <a:off x="0" y="0"/>
                      <a:ext cx="2295525" cy="885825"/>
                    </a:xfrm>
                    <a:prstGeom prst="rect">
                      <a:avLst/>
                    </a:prstGeom>
                  </pic:spPr>
                </pic:pic>
              </a:graphicData>
            </a:graphic>
          </wp:inline>
        </w:drawing>
      </w:r>
    </w:p>
    <w:p xmlns:wp14="http://schemas.microsoft.com/office/word/2010/wordml" w:rsidP="63E7E8CF" wp14:paraId="0CAA4D2B" wp14:textId="142642B1">
      <w:pPr>
        <w:spacing w:before="0" w:beforeAutospacing="off" w:after="160" w:afterAutospacing="off"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 xml:space="preserve"> </w:t>
      </w:r>
    </w:p>
    <w:p xmlns:wp14="http://schemas.microsoft.com/office/word/2010/wordml" w:rsidP="63E7E8CF" wp14:paraId="6F7DFC85" wp14:textId="1A7E4098">
      <w:pPr>
        <w:pStyle w:val="Normal"/>
        <w:spacing w:before="0" w:beforeAutospacing="off" w:after="160" w:afterAutospacing="off" w:line="360" w:lineRule="auto"/>
        <w:jc w:val="center"/>
      </w:pPr>
      <w:r w:rsidRPr="63E7E8CF" w:rsidR="10D10F08">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GB"/>
        </w:rPr>
        <w:t xml:space="preserve">LCBB5012 </w:t>
      </w:r>
      <w:r w:rsidRPr="63E7E8CF" w:rsidR="10D10F08">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Principles of Human Resource Management</w:t>
      </w:r>
      <w:r>
        <w:br/>
      </w:r>
      <w:r w:rsidRPr="63E7E8CF" w:rsidR="10D10F08">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Component 1: Practical:</w:t>
      </w:r>
      <w:r w:rsidRPr="63E7E8CF" w:rsidR="51C4E0A7">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 xml:space="preserve"> Job description </w:t>
      </w:r>
      <w:r>
        <w:br/>
      </w:r>
      <w:r w:rsidRPr="63E7E8CF" w:rsidR="10D10F08">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Academic Interview for HR</w:t>
      </w:r>
      <w:r w:rsidRPr="63E7E8CF" w:rsidR="55B3C4AC">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 xml:space="preserve"> </w:t>
      </w:r>
      <w:r w:rsidRPr="63E7E8CF" w:rsidR="10D10F08">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Processes</w:t>
      </w:r>
    </w:p>
    <w:p xmlns:wp14="http://schemas.microsoft.com/office/word/2010/wordml" w:rsidP="63E7E8CF" wp14:paraId="50F73FD4" wp14:textId="779F06CE">
      <w:pPr>
        <w:spacing w:before="0" w:beforeAutospacing="off" w:after="16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 xml:space="preserve"> </w:t>
      </w:r>
    </w:p>
    <w:p xmlns:wp14="http://schemas.microsoft.com/office/word/2010/wordml" w:rsidP="63E7E8CF" wp14:paraId="06969FA7" wp14:textId="0066B0C9">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E7E8CF" w:rsidR="57B07BCB">
        <w:rPr>
          <w:rFonts w:ascii="Arial" w:hAnsi="Arial" w:eastAsia="Arial" w:cs="Arial"/>
          <w:b w:val="0"/>
          <w:bCs w:val="0"/>
          <w:i w:val="0"/>
          <w:iCs w:val="0"/>
          <w:caps w:val="0"/>
          <w:smallCaps w:val="0"/>
          <w:noProof w:val="0"/>
          <w:color w:val="000000" w:themeColor="text1" w:themeTint="FF" w:themeShade="FF"/>
          <w:sz w:val="24"/>
          <w:szCs w:val="24"/>
          <w:lang w:val="en-IN"/>
        </w:rPr>
        <w:t xml:space="preserve"> </w:t>
      </w:r>
    </w:p>
    <w:p xmlns:wp14="http://schemas.microsoft.com/office/word/2010/wordml" w:rsidP="63E7E8CF" wp14:paraId="7ABF3C83" wp14:textId="58F5FC15">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Student Name: Radu Apostoaiei</w:t>
      </w:r>
    </w:p>
    <w:p xmlns:wp14="http://schemas.microsoft.com/office/word/2010/wordml" w:rsidP="63E7E8CF" wp14:paraId="7300561F" wp14:textId="779D9B67">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Student ID: 2238836</w:t>
      </w:r>
    </w:p>
    <w:p xmlns:wp14="http://schemas.microsoft.com/office/word/2010/wordml" w:rsidP="63E7E8CF" wp14:paraId="77D8B0B3" wp14:textId="6054EFF5">
      <w:pPr>
        <w:pStyle w:val="Normal"/>
        <w:spacing w:before="0" w:beforeAutospacing="off" w:after="160" w:afterAutospacing="off" w:line="360" w:lineRule="auto"/>
        <w:jc w:val="center"/>
        <w:rPr>
          <w:rFonts w:ascii="Arial" w:hAnsi="Arial" w:eastAsia="Arial" w:cs="Arial"/>
          <w:noProof w:val="0"/>
          <w:sz w:val="24"/>
          <w:szCs w:val="24"/>
          <w:lang w:val="en-IN"/>
        </w:rPr>
      </w:pP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Lect</w:t>
      </w: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 xml:space="preserve">urer: </w:t>
      </w:r>
      <w:r w:rsidRPr="63E7E8CF" w:rsidR="33CAEFF9">
        <w:rPr>
          <w:rFonts w:ascii="Arial" w:hAnsi="Arial" w:eastAsia="Arial" w:cs="Arial"/>
          <w:b w:val="1"/>
          <w:bCs w:val="1"/>
          <w:i w:val="0"/>
          <w:iCs w:val="0"/>
          <w:caps w:val="0"/>
          <w:smallCaps w:val="0"/>
          <w:noProof w:val="0"/>
          <w:color w:val="242130"/>
          <w:sz w:val="24"/>
          <w:szCs w:val="24"/>
          <w:lang w:val="en-IN"/>
        </w:rPr>
        <w:t>Nassir Ibrahim</w:t>
      </w:r>
    </w:p>
    <w:p xmlns:wp14="http://schemas.microsoft.com/office/word/2010/wordml" w:rsidP="63E7E8CF" wp14:paraId="12ED3E44" wp14:textId="0830371A">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590CDCAB" wp14:textId="5AA9A8A4">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3AC8505F" wp14:textId="2A27B1BE">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05FF5CC8" wp14:textId="4B3311C2">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0F6AB939" wp14:textId="01A32A63">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716C69BA" wp14:textId="479B2F7A">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196AFCFF" wp14:textId="7803FF93">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6E46CB67" wp14:textId="7B1E3EAE">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16A372D7" wp14:textId="7E899757">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440437BD" wp14:textId="07F754D1">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6BF7C5D5" wp14:textId="11F00456">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1229AF87" wp14:textId="6F261A98">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13EC7DEE" wp14:textId="38521A42">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096E8B28" wp14:textId="6B2E4229">
      <w:pPr>
        <w:pStyle w:val="Normal"/>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0EED8502" wp14:textId="60A07FE9">
      <w:pPr>
        <w:pStyle w:val="Normal"/>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6EEB06DD" wp14:textId="212C87D3">
      <w:pPr>
        <w:spacing w:after="40" w:afterAutospacing="off" w:line="360" w:lineRule="auto"/>
        <w:jc w:val="center"/>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Job Description</w:t>
      </w:r>
    </w:p>
    <w:p xmlns:wp14="http://schemas.microsoft.com/office/word/2010/wordml" w:rsidP="63E7E8CF" wp14:paraId="2BE21F70" wp14:textId="415D3A87">
      <w:pPr>
        <w:spacing w:after="30" w:afterAutospacing="off" w:line="360" w:lineRule="auto"/>
        <w:jc w:val="center"/>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Innovation Support Officer</w:t>
      </w:r>
    </w:p>
    <w:p xmlns:wp14="http://schemas.microsoft.com/office/word/2010/wordml" w:rsidP="63E7E8CF" wp14:paraId="25A4D685" wp14:textId="47ABBBA7">
      <w:pPr>
        <w:spacing w:after="240" w:afterAutospacing="off" w:line="360" w:lineRule="auto"/>
        <w:jc w:val="center"/>
        <w:rPr>
          <w:rFonts w:ascii="Arial" w:hAnsi="Arial" w:eastAsia="Arial" w:cs="Arial"/>
          <w:i w:val="1"/>
          <w:iCs w:val="1"/>
          <w:noProof w:val="0"/>
          <w:sz w:val="24"/>
          <w:szCs w:val="24"/>
          <w:lang w:val="en-GB"/>
        </w:rPr>
      </w:pPr>
      <w:r w:rsidRPr="63E7E8CF" w:rsidR="41B0CEB8">
        <w:rPr>
          <w:rFonts w:ascii="Arial" w:hAnsi="Arial" w:eastAsia="Arial" w:cs="Arial"/>
          <w:i w:val="1"/>
          <w:iCs w:val="1"/>
          <w:noProof w:val="0"/>
          <w:sz w:val="24"/>
          <w:szCs w:val="24"/>
          <w:lang w:val="en-GB"/>
        </w:rPr>
        <w:t>UWTSD Student Union</w:t>
      </w:r>
    </w:p>
    <w:p xmlns:wp14="http://schemas.microsoft.com/office/word/2010/wordml" w:rsidP="63E7E8CF" wp14:paraId="645E3944" wp14:textId="119F8447">
      <w:pPr>
        <w:spacing w:line="360" w:lineRule="auto"/>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 </w:t>
      </w:r>
    </w:p>
    <w:p xmlns:wp14="http://schemas.microsoft.com/office/word/2010/wordml" w:rsidP="63E7E8CF" wp14:paraId="335635EC" wp14:textId="0AE59CEE">
      <w:pPr>
        <w:spacing w:line="360" w:lineRule="auto"/>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 </w:t>
      </w:r>
    </w:p>
    <w:p xmlns:wp14="http://schemas.microsoft.com/office/word/2010/wordml" w:rsidP="63E7E8CF" wp14:paraId="40DCFEF2" wp14:textId="10289D8E">
      <w:pPr>
        <w:spacing w:line="360" w:lineRule="auto"/>
        <w:ind w:firstLine="720"/>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Purpose and Context</w:t>
      </w:r>
    </w:p>
    <w:p xmlns:wp14="http://schemas.microsoft.com/office/word/2010/wordml" w:rsidP="63E7E8CF" wp14:paraId="77EBA40B" wp14:textId="52C1D113">
      <w:pPr>
        <w:spacing w:line="360" w:lineRule="auto"/>
        <w:ind w:firstLine="720"/>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Higher education membership organisations are going through a digital transformation. Routine tasks that staff would previously do are now being automated, such as cash machines replacing tellers, and self-service terminals replacing the reception desk (Tsiskaridze, Reinhold and Jarvis, 2023). The pressure also affects student unions, as their members are digital natives who demand up-to-the-minute services and want these services to continually improve. No longer will there be anyone recruited for stability alone and it is necessary that organisations have people who </w:t>
      </w:r>
      <w:r w:rsidRPr="63E7E8CF" w:rsidR="41B0CEB8">
        <w:rPr>
          <w:rFonts w:ascii="Arial" w:hAnsi="Arial" w:eastAsia="Arial" w:cs="Arial"/>
          <w:noProof w:val="0"/>
          <w:sz w:val="24"/>
          <w:szCs w:val="24"/>
          <w:lang w:val="en-GB"/>
        </w:rPr>
        <w:t>can</w:t>
      </w:r>
      <w:r w:rsidRPr="63E7E8CF" w:rsidR="41B0CEB8">
        <w:rPr>
          <w:rFonts w:ascii="Arial" w:hAnsi="Arial" w:eastAsia="Arial" w:cs="Arial"/>
          <w:noProof w:val="0"/>
          <w:sz w:val="24"/>
          <w:szCs w:val="24"/>
          <w:lang w:val="en-GB"/>
        </w:rPr>
        <w:t xml:space="preserve"> create, test and embed </w:t>
      </w:r>
      <w:r w:rsidRPr="63E7E8CF" w:rsidR="41B0CEB8">
        <w:rPr>
          <w:rFonts w:ascii="Arial" w:hAnsi="Arial" w:eastAsia="Arial" w:cs="Arial"/>
          <w:noProof w:val="0"/>
          <w:sz w:val="24"/>
          <w:szCs w:val="24"/>
          <w:lang w:val="en-GB"/>
        </w:rPr>
        <w:t>new ideas</w:t>
      </w:r>
      <w:r w:rsidRPr="63E7E8CF" w:rsidR="41B0CEB8">
        <w:rPr>
          <w:rFonts w:ascii="Arial" w:hAnsi="Arial" w:eastAsia="Arial" w:cs="Arial"/>
          <w:noProof w:val="0"/>
          <w:sz w:val="24"/>
          <w:szCs w:val="24"/>
          <w:lang w:val="en-GB"/>
        </w:rPr>
        <w:t xml:space="preserve"> (Lenart-</w:t>
      </w:r>
      <w:r w:rsidRPr="63E7E8CF" w:rsidR="41B0CEB8">
        <w:rPr>
          <w:rFonts w:ascii="Arial" w:hAnsi="Arial" w:eastAsia="Arial" w:cs="Arial"/>
          <w:noProof w:val="0"/>
          <w:sz w:val="24"/>
          <w:szCs w:val="24"/>
          <w:lang w:val="en-GB"/>
        </w:rPr>
        <w:t>Gansiniec</w:t>
      </w:r>
      <w:r w:rsidRPr="63E7E8CF" w:rsidR="41B0CEB8">
        <w:rPr>
          <w:rFonts w:ascii="Arial" w:hAnsi="Arial" w:eastAsia="Arial" w:cs="Arial"/>
          <w:noProof w:val="0"/>
          <w:sz w:val="24"/>
          <w:szCs w:val="24"/>
          <w:lang w:val="en-GB"/>
        </w:rPr>
        <w:t>, Sypniewska and Chen, 2023). The Innovation Support Officer role addresses this in the following ways: they are part of a defined role within Student Union’s UWTSD, with creativity and structured experimentation at its core.</w:t>
      </w:r>
    </w:p>
    <w:p xmlns:wp14="http://schemas.microsoft.com/office/word/2010/wordml" w:rsidP="63E7E8CF" wp14:paraId="5E8104CA" wp14:textId="1050561F">
      <w:pPr>
        <w:spacing w:line="360" w:lineRule="auto"/>
        <w:ind w:firstLine="720"/>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Innovation &amp; Creativity Foundations</w:t>
      </w:r>
    </w:p>
    <w:p xmlns:wp14="http://schemas.microsoft.com/office/word/2010/wordml" w:rsidP="63E7E8CF" wp14:paraId="193EBD97" wp14:textId="3DFFA5CC">
      <w:pPr>
        <w:spacing w:line="360" w:lineRule="auto"/>
        <w:ind w:firstLine="720"/>
        <w:jc w:val="both"/>
      </w:pPr>
      <w:r w:rsidRPr="63E7E8CF" w:rsidR="41B0CEB8">
        <w:rPr>
          <w:rFonts w:ascii="Arial" w:hAnsi="Arial" w:eastAsia="Arial" w:cs="Arial"/>
          <w:noProof w:val="0"/>
          <w:sz w:val="24"/>
          <w:szCs w:val="24"/>
          <w:lang w:val="en-GB"/>
        </w:rPr>
        <w:t xml:space="preserve">Creativity provides the cognitive foundation for innovation, which refers to the conscious creation and </w:t>
      </w:r>
      <w:r w:rsidRPr="63E7E8CF" w:rsidR="41B0CEB8">
        <w:rPr>
          <w:rFonts w:ascii="Arial" w:hAnsi="Arial" w:eastAsia="Arial" w:cs="Arial"/>
          <w:noProof w:val="0"/>
          <w:sz w:val="24"/>
          <w:szCs w:val="24"/>
          <w:lang w:val="en-GB"/>
        </w:rPr>
        <w:t>utilization</w:t>
      </w:r>
      <w:r w:rsidRPr="63E7E8CF" w:rsidR="41B0CEB8">
        <w:rPr>
          <w:rFonts w:ascii="Arial" w:hAnsi="Arial" w:eastAsia="Arial" w:cs="Arial"/>
          <w:noProof w:val="0"/>
          <w:sz w:val="24"/>
          <w:szCs w:val="24"/>
          <w:lang w:val="en-GB"/>
        </w:rPr>
        <w:t xml:space="preserve"> of </w:t>
      </w:r>
      <w:r w:rsidRPr="63E7E8CF" w:rsidR="41B0CEB8">
        <w:rPr>
          <w:rFonts w:ascii="Arial" w:hAnsi="Arial" w:eastAsia="Arial" w:cs="Arial"/>
          <w:noProof w:val="0"/>
          <w:sz w:val="24"/>
          <w:szCs w:val="24"/>
          <w:lang w:val="en-GB"/>
        </w:rPr>
        <w:t>new ideas</w:t>
      </w:r>
      <w:r w:rsidRPr="63E7E8CF" w:rsidR="41B0CEB8">
        <w:rPr>
          <w:rFonts w:ascii="Arial" w:hAnsi="Arial" w:eastAsia="Arial" w:cs="Arial"/>
          <w:noProof w:val="0"/>
          <w:sz w:val="24"/>
          <w:szCs w:val="24"/>
          <w:lang w:val="en-GB"/>
        </w:rPr>
        <w:t xml:space="preserve">, </w:t>
      </w:r>
      <w:r w:rsidRPr="63E7E8CF" w:rsidR="41B0CEB8">
        <w:rPr>
          <w:rFonts w:ascii="Arial" w:hAnsi="Arial" w:eastAsia="Arial" w:cs="Arial"/>
          <w:noProof w:val="0"/>
          <w:sz w:val="24"/>
          <w:szCs w:val="24"/>
          <w:lang w:val="en-GB"/>
        </w:rPr>
        <w:t>processes</w:t>
      </w:r>
      <w:r w:rsidRPr="63E7E8CF" w:rsidR="41B0CEB8">
        <w:rPr>
          <w:rFonts w:ascii="Arial" w:hAnsi="Arial" w:eastAsia="Arial" w:cs="Arial"/>
          <w:noProof w:val="0"/>
          <w:sz w:val="24"/>
          <w:szCs w:val="24"/>
          <w:lang w:val="en-GB"/>
        </w:rPr>
        <w:t xml:space="preserve"> and services for improved organizational outcomes in institutional contexts (Barua et al., 2024). The three stages of developing innovative work behaviour are idea generation, idea promotion, and idea realisation, which require </w:t>
      </w:r>
      <w:r w:rsidRPr="63E7E8CF" w:rsidR="41B0CEB8">
        <w:rPr>
          <w:rFonts w:ascii="Arial" w:hAnsi="Arial" w:eastAsia="Arial" w:cs="Arial"/>
          <w:noProof w:val="0"/>
          <w:sz w:val="24"/>
          <w:szCs w:val="24"/>
          <w:lang w:val="en-GB"/>
        </w:rPr>
        <w:t>different kinds</w:t>
      </w:r>
      <w:r w:rsidRPr="63E7E8CF" w:rsidR="41B0CEB8">
        <w:rPr>
          <w:rFonts w:ascii="Arial" w:hAnsi="Arial" w:eastAsia="Arial" w:cs="Arial"/>
          <w:noProof w:val="0"/>
          <w:sz w:val="24"/>
          <w:szCs w:val="24"/>
          <w:lang w:val="en-GB"/>
        </w:rPr>
        <w:t xml:space="preserve"> of supports from the employing body (Jishnu and Hareendrakumar, 2024). A job description based on these concepts is more than a list of tasks and refocuses the job as a means of </w:t>
      </w:r>
      <w:r w:rsidRPr="63E7E8CF" w:rsidR="1346A11D">
        <w:rPr>
          <w:rFonts w:ascii="Arial" w:hAnsi="Arial" w:eastAsia="Arial" w:cs="Arial"/>
          <w:noProof w:val="0"/>
          <w:sz w:val="24"/>
          <w:szCs w:val="24"/>
          <w:lang w:val="en-GB"/>
        </w:rPr>
        <w:t>never-ending</w:t>
      </w:r>
      <w:r w:rsidRPr="63E7E8CF" w:rsidR="41B0CEB8">
        <w:rPr>
          <w:rFonts w:ascii="Arial" w:hAnsi="Arial" w:eastAsia="Arial" w:cs="Arial"/>
          <w:noProof w:val="0"/>
          <w:sz w:val="24"/>
          <w:szCs w:val="24"/>
          <w:lang w:val="en-GB"/>
        </w:rPr>
        <w:t xml:space="preserve"> service improvement. By designing the role in this manner, it communicates clearly to applicants what they are expected to do and what they are not expected to do, preventing the job role from becoming a drift to administrative work.</w:t>
      </w:r>
    </w:p>
    <w:p xmlns:wp14="http://schemas.microsoft.com/office/word/2010/wordml" w:rsidP="63E7E8CF" wp14:paraId="7483174D" wp14:textId="6CFBFC08">
      <w:pPr>
        <w:spacing w:line="360" w:lineRule="auto"/>
        <w:ind w:firstLine="720"/>
        <w:jc w:val="both"/>
        <w:rPr>
          <w:rFonts w:ascii="Arial" w:hAnsi="Arial" w:eastAsia="Arial" w:cs="Arial"/>
          <w:noProof w:val="0"/>
          <w:sz w:val="24"/>
          <w:szCs w:val="24"/>
          <w:lang w:val="en-GB"/>
        </w:rPr>
      </w:pPr>
    </w:p>
    <w:p xmlns:wp14="http://schemas.microsoft.com/office/word/2010/wordml" w:rsidP="63E7E8CF" wp14:paraId="1A2A109C" wp14:textId="3EAA7744">
      <w:pPr>
        <w:spacing w:line="360" w:lineRule="auto"/>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 </w:t>
      </w:r>
    </w:p>
    <w:p xmlns:wp14="http://schemas.microsoft.com/office/word/2010/wordml" w:rsidP="63E7E8CF" wp14:paraId="7DB73A07" wp14:textId="1DC703A5">
      <w:pPr>
        <w:pStyle w:val="Normal"/>
        <w:rPr>
          <w:rFonts w:ascii="Arial" w:hAnsi="Arial" w:eastAsia="Arial" w:cs="Arial"/>
          <w:noProof w:val="0"/>
          <w:sz w:val="24"/>
          <w:szCs w:val="24"/>
          <w:lang w:val="en-US"/>
        </w:rPr>
      </w:pPr>
      <w:r w:rsidRPr="63E7E8CF" w:rsidR="41B0CEB8">
        <w:rPr>
          <w:noProof w:val="0"/>
          <w:lang w:val="en-US"/>
        </w:rPr>
        <w:t>Job Description</w:t>
      </w:r>
    </w:p>
    <w:tbl>
      <w:tblPr>
        <w:tblStyle w:val="TableNormal"/>
        <w:bidiVisual w:val="0"/>
        <w:tblW w:w="0" w:type="auto"/>
        <w:tblLook w:val="06A0" w:firstRow="1" w:lastRow="0" w:firstColumn="1" w:lastColumn="0" w:noHBand="1" w:noVBand="1"/>
      </w:tblPr>
      <w:tblGrid>
        <w:gridCol w:w="2700"/>
        <w:gridCol w:w="6660"/>
      </w:tblGrid>
      <w:tr w:rsidR="63E7E8CF" w:rsidTr="63E7E8CF" w14:paraId="4F525BF9">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0E776624" w14:textId="1059CBB5">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Job Title</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419179FE" w14:textId="1C5BC02A">
            <w:pPr>
              <w:spacing w:before="0" w:beforeAutospacing="off" w:after="0" w:afterAutospacing="off" w:line="360" w:lineRule="auto"/>
              <w:rPr>
                <w:rFonts w:ascii="Arial" w:hAnsi="Arial" w:eastAsia="Arial" w:cs="Arial"/>
                <w:sz w:val="24"/>
                <w:szCs w:val="24"/>
              </w:rPr>
            </w:pPr>
            <w:r w:rsidRPr="63E7E8CF" w:rsidR="63E7E8CF">
              <w:rPr>
                <w:rFonts w:ascii="Arial" w:hAnsi="Arial" w:eastAsia="Arial" w:cs="Arial"/>
                <w:sz w:val="24"/>
                <w:szCs w:val="24"/>
              </w:rPr>
              <w:t>Innovation Support Officer</w:t>
            </w:r>
          </w:p>
        </w:tc>
      </w:tr>
      <w:tr w:rsidR="63E7E8CF" w:rsidTr="63E7E8CF" w14:paraId="62387963">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79A5675A" w14:textId="625DB88F">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Reports To</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0368139A" w14:textId="1E47FD7D">
            <w:pPr>
              <w:spacing w:before="0" w:beforeAutospacing="off" w:after="0" w:afterAutospacing="off" w:line="360" w:lineRule="auto"/>
              <w:rPr>
                <w:rFonts w:ascii="Arial" w:hAnsi="Arial" w:eastAsia="Arial" w:cs="Arial"/>
                <w:sz w:val="24"/>
                <w:szCs w:val="24"/>
              </w:rPr>
            </w:pPr>
            <w:r w:rsidRPr="63E7E8CF" w:rsidR="63E7E8CF">
              <w:rPr>
                <w:rFonts w:ascii="Arial" w:hAnsi="Arial" w:eastAsia="Arial" w:cs="Arial"/>
                <w:sz w:val="24"/>
                <w:szCs w:val="24"/>
              </w:rPr>
              <w:t>Student Union Chief Executive</w:t>
            </w:r>
          </w:p>
        </w:tc>
      </w:tr>
      <w:tr w:rsidR="63E7E8CF" w:rsidTr="63E7E8CF" w14:paraId="00ACFE9D">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732FFD14" w14:textId="1E6B5B85">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Grade and Contract</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4A47D8AE" w14:textId="3C264C0B">
            <w:pPr>
              <w:spacing w:before="0" w:beforeAutospacing="off" w:after="0" w:afterAutospacing="off" w:line="360" w:lineRule="auto"/>
              <w:rPr>
                <w:rFonts w:ascii="Arial" w:hAnsi="Arial" w:eastAsia="Arial" w:cs="Arial"/>
                <w:sz w:val="24"/>
                <w:szCs w:val="24"/>
              </w:rPr>
            </w:pPr>
            <w:r w:rsidRPr="63E7E8CF" w:rsidR="63E7E8CF">
              <w:rPr>
                <w:rFonts w:ascii="Arial" w:hAnsi="Arial" w:eastAsia="Arial" w:cs="Arial"/>
                <w:sz w:val="24"/>
                <w:szCs w:val="24"/>
              </w:rPr>
              <w:t>Grade 6, fixed term of three years, subject to annual review</w:t>
            </w:r>
          </w:p>
        </w:tc>
      </w:tr>
      <w:tr w:rsidR="63E7E8CF" w:rsidTr="63E7E8CF" w14:paraId="2FEC6FDA">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5EF87624" w14:textId="4EE4AAC4">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Main Purpose</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1140044C" w14:textId="19E1240A">
            <w:pPr>
              <w:spacing w:before="0" w:beforeAutospacing="off" w:after="0" w:afterAutospacing="off" w:line="360" w:lineRule="auto"/>
              <w:rPr>
                <w:rFonts w:ascii="Arial" w:hAnsi="Arial" w:eastAsia="Arial" w:cs="Arial"/>
                <w:sz w:val="24"/>
                <w:szCs w:val="24"/>
              </w:rPr>
            </w:pPr>
            <w:r w:rsidRPr="63E7E8CF" w:rsidR="63E7E8CF">
              <w:rPr>
                <w:rFonts w:ascii="Arial" w:hAnsi="Arial" w:eastAsia="Arial" w:cs="Arial"/>
                <w:sz w:val="24"/>
                <w:szCs w:val="24"/>
              </w:rPr>
              <w:t>Design, pilot, and evaluate innovative member services and engagement initiatives across the Student Union.</w:t>
            </w:r>
          </w:p>
        </w:tc>
      </w:tr>
      <w:tr w:rsidR="63E7E8CF" w:rsidTr="63E7E8CF" w14:paraId="01944B99">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015E3C8B" w14:textId="2FBF910D">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Key Duties</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6CC87D03" w14:textId="7623B3DD">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Conduct user research with members to identify unmet needs and service gaps.</w:t>
            </w:r>
          </w:p>
          <w:p w:rsidR="63E7E8CF" w:rsidP="63E7E8CF" w:rsidRDefault="63E7E8CF" w14:paraId="67407E30" w14:textId="4CF85446">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Facilitate ideation workshops with students and staff to generate candidate solutions.</w:t>
            </w:r>
          </w:p>
          <w:p w:rsidR="63E7E8CF" w:rsidP="63E7E8CF" w:rsidRDefault="63E7E8CF" w14:paraId="606745F3" w14:textId="6DBF2073">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 xml:space="preserve">Build </w:t>
            </w:r>
            <w:r w:rsidRPr="63E7E8CF" w:rsidR="6B74278C">
              <w:rPr>
                <w:rFonts w:ascii="Arial" w:hAnsi="Arial" w:eastAsia="Arial" w:cs="Arial"/>
                <w:sz w:val="24"/>
                <w:szCs w:val="24"/>
              </w:rPr>
              <w:t>low-cost</w:t>
            </w:r>
            <w:r w:rsidRPr="63E7E8CF" w:rsidR="63E7E8CF">
              <w:rPr>
                <w:rFonts w:ascii="Arial" w:hAnsi="Arial" w:eastAsia="Arial" w:cs="Arial"/>
                <w:sz w:val="24"/>
                <w:szCs w:val="24"/>
              </w:rPr>
              <w:t xml:space="preserve"> prototypes and run structured pilots of new services and engagement activities.</w:t>
            </w:r>
          </w:p>
          <w:p w:rsidR="63E7E8CF" w:rsidP="63E7E8CF" w:rsidRDefault="63E7E8CF" w14:paraId="36CFB958" w14:textId="132F579C">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Evaluate pilot results against agreed measures and report findings to leadership.</w:t>
            </w:r>
          </w:p>
          <w:p w:rsidR="63E7E8CF" w:rsidP="63E7E8CF" w:rsidRDefault="63E7E8CF" w14:paraId="1607D1BB" w14:textId="32BF4C1F">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Disseminate learning across the Union and partner networks to spread good practice.</w:t>
            </w:r>
          </w:p>
          <w:p w:rsidR="63E7E8CF" w:rsidP="63E7E8CF" w:rsidRDefault="63E7E8CF" w14:paraId="7F8DC282" w14:textId="1E3E21F9">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Contribute to the annual innovation report and the strategic planning cycle.</w:t>
            </w:r>
          </w:p>
        </w:tc>
      </w:tr>
      <w:tr w:rsidR="63E7E8CF" w:rsidTr="63E7E8CF" w14:paraId="16AAC666">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157B9BD5" w14:textId="02BF541A">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Working Relationships</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6D37A169" w14:textId="007E8DA9">
            <w:pPr>
              <w:spacing w:before="0" w:beforeAutospacing="off" w:after="0" w:afterAutospacing="off" w:line="360" w:lineRule="auto"/>
              <w:rPr>
                <w:rFonts w:ascii="Arial" w:hAnsi="Arial" w:eastAsia="Arial" w:cs="Arial"/>
                <w:sz w:val="24"/>
                <w:szCs w:val="24"/>
              </w:rPr>
            </w:pPr>
            <w:r w:rsidRPr="63E7E8CF" w:rsidR="63E7E8CF">
              <w:rPr>
                <w:rFonts w:ascii="Arial" w:hAnsi="Arial" w:eastAsia="Arial" w:cs="Arial"/>
                <w:sz w:val="24"/>
                <w:szCs w:val="24"/>
              </w:rPr>
              <w:t>Academic schools, student representatives, professional services, and external innovation partners.</w:t>
            </w:r>
          </w:p>
        </w:tc>
      </w:tr>
      <w:tr w:rsidR="63E7E8CF" w:rsidTr="63E7E8CF" w14:paraId="6491E89F">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20198ADF" w14:textId="38D3ADEB">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Performance Indicators</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068D6C6A" w14:textId="2A9CA936">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Improved member engagement metrics across priority services.</w:t>
            </w:r>
          </w:p>
          <w:p w:rsidR="63E7E8CF" w:rsidP="63E7E8CF" w:rsidRDefault="63E7E8CF" w14:paraId="07FF1E81" w14:textId="6988D0DC">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Completion of pilot projects within agreed timelines.</w:t>
            </w:r>
          </w:p>
          <w:p w:rsidR="63E7E8CF" w:rsidP="63E7E8CF" w:rsidRDefault="63E7E8CF" w14:paraId="47F0FA9B" w14:textId="7A4BD77B">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Contribution to the annual innovation report and adoption of tested ideas.</w:t>
            </w:r>
          </w:p>
        </w:tc>
      </w:tr>
    </w:tbl>
    <w:p xmlns:wp14="http://schemas.microsoft.com/office/word/2010/wordml" w:rsidP="63E7E8CF" wp14:paraId="6FF936E3" wp14:textId="08637F24">
      <w:pPr>
        <w:bidi w:val="0"/>
        <w:spacing w:after="120" w:afterAutospacing="off" w:line="360" w:lineRule="auto"/>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 </w:t>
      </w:r>
    </w:p>
    <w:p xmlns:wp14="http://schemas.microsoft.com/office/word/2010/wordml" w:rsidP="63E7E8CF" wp14:paraId="739D99E6" wp14:textId="017A35D7">
      <w:pPr>
        <w:pStyle w:val="Normal"/>
        <w:bidi w:val="0"/>
        <w:ind w:firstLine="720"/>
        <w:rPr>
          <w:noProof w:val="0"/>
          <w:lang w:val="en-US"/>
        </w:rPr>
      </w:pPr>
    </w:p>
    <w:p xmlns:wp14="http://schemas.microsoft.com/office/word/2010/wordml" w:rsidP="63E7E8CF" wp14:paraId="62C3CE8D" wp14:textId="7D52C9DC">
      <w:pPr>
        <w:pStyle w:val="Normal"/>
        <w:bidi w:val="0"/>
        <w:ind w:firstLine="720"/>
        <w:rPr>
          <w:noProof w:val="0"/>
          <w:lang w:val="en-US"/>
        </w:rPr>
      </w:pPr>
    </w:p>
    <w:p xmlns:wp14="http://schemas.microsoft.com/office/word/2010/wordml" w:rsidP="63E7E8CF" wp14:paraId="3A894458" wp14:textId="002B9FDF">
      <w:pPr>
        <w:pStyle w:val="Normal"/>
        <w:bidi w:val="0"/>
        <w:ind w:firstLine="720"/>
        <w:rPr>
          <w:noProof w:val="0"/>
          <w:lang w:val="en-US"/>
        </w:rPr>
      </w:pPr>
    </w:p>
    <w:p xmlns:wp14="http://schemas.microsoft.com/office/word/2010/wordml" w:rsidP="63E7E8CF" wp14:paraId="15849240" wp14:textId="0040E4A5">
      <w:pPr>
        <w:pStyle w:val="Normal"/>
        <w:bidi w:val="0"/>
        <w:ind w:firstLine="720"/>
        <w:rPr>
          <w:rFonts w:ascii="Arial" w:hAnsi="Arial" w:eastAsia="Arial" w:cs="Arial"/>
          <w:noProof w:val="0"/>
          <w:sz w:val="24"/>
          <w:szCs w:val="24"/>
          <w:lang w:val="en-US"/>
        </w:rPr>
      </w:pPr>
      <w:r w:rsidRPr="63E7E8CF" w:rsidR="41B0CEB8">
        <w:rPr>
          <w:noProof w:val="0"/>
          <w:lang w:val="en-US"/>
        </w:rPr>
        <w:t>How Innovation Shapes the Job Description</w:t>
      </w:r>
    </w:p>
    <w:p xmlns:wp14="http://schemas.microsoft.com/office/word/2010/wordml" w:rsidP="63E7E8CF" wp14:paraId="39755ED1" wp14:textId="03741FA3">
      <w:pPr>
        <w:bidi w:val="0"/>
        <w:spacing w:line="360" w:lineRule="auto"/>
        <w:ind w:firstLine="720"/>
        <w:jc w:val="both"/>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The main purpose statement is very much focused on design, pilot and evaluation activity, not routine delivery, which means it aligns with human resource practice-led innovation, and limits the risk of under operational pressure of role erosion (Lenart-</w:t>
      </w:r>
      <w:r w:rsidRPr="63E7E8CF" w:rsidR="41B0CEB8">
        <w:rPr>
          <w:rFonts w:ascii="Arial" w:hAnsi="Arial" w:eastAsia="Arial" w:cs="Arial"/>
          <w:noProof w:val="0"/>
          <w:sz w:val="24"/>
          <w:szCs w:val="24"/>
          <w:lang w:val="en-US"/>
        </w:rPr>
        <w:t>Gansiniec</w:t>
      </w:r>
      <w:r w:rsidRPr="63E7E8CF" w:rsidR="41B0CEB8">
        <w:rPr>
          <w:rFonts w:ascii="Arial" w:hAnsi="Arial" w:eastAsia="Arial" w:cs="Arial"/>
          <w:noProof w:val="0"/>
          <w:sz w:val="24"/>
          <w:szCs w:val="24"/>
          <w:lang w:val="en-US"/>
        </w:rPr>
        <w:t xml:space="preserve">, Sypniewska and Chen, 2023). As </w:t>
      </w:r>
      <w:r w:rsidRPr="63E7E8CF" w:rsidR="41B0CEB8">
        <w:rPr>
          <w:rFonts w:ascii="Arial" w:hAnsi="Arial" w:eastAsia="Arial" w:cs="Arial"/>
          <w:noProof w:val="0"/>
          <w:sz w:val="24"/>
          <w:szCs w:val="24"/>
          <w:lang w:val="en-US"/>
        </w:rPr>
        <w:t>stated</w:t>
      </w:r>
      <w:r w:rsidRPr="63E7E8CF" w:rsidR="41B0CEB8">
        <w:rPr>
          <w:rFonts w:ascii="Arial" w:hAnsi="Arial" w:eastAsia="Arial" w:cs="Arial"/>
          <w:noProof w:val="0"/>
          <w:sz w:val="24"/>
          <w:szCs w:val="24"/>
          <w:lang w:val="en-US"/>
        </w:rPr>
        <w:t xml:space="preserve"> by Jishnu and Hareendrakumar (2024), the key activities mentioned in the document align with the three phases of innovative work </w:t>
      </w:r>
      <w:r w:rsidRPr="63E7E8CF" w:rsidR="41B0CEB8">
        <w:rPr>
          <w:rFonts w:ascii="Arial" w:hAnsi="Arial" w:eastAsia="Arial" w:cs="Arial"/>
          <w:noProof w:val="0"/>
          <w:sz w:val="24"/>
          <w:szCs w:val="24"/>
          <w:lang w:val="en-US"/>
        </w:rPr>
        <w:t>behaviour</w:t>
      </w:r>
      <w:r w:rsidRPr="63E7E8CF" w:rsidR="41B0CEB8">
        <w:rPr>
          <w:rFonts w:ascii="Arial" w:hAnsi="Arial" w:eastAsia="Arial" w:cs="Arial"/>
          <w:noProof w:val="0"/>
          <w:sz w:val="24"/>
          <w:szCs w:val="24"/>
          <w:lang w:val="en-US"/>
        </w:rPr>
        <w:t xml:space="preserve">, which are user research, ideation workshops, prototyping, and dissemination. Giving </w:t>
      </w:r>
      <w:r w:rsidRPr="63E7E8CF" w:rsidR="71773CB8">
        <w:rPr>
          <w:rFonts w:ascii="Arial" w:hAnsi="Arial" w:eastAsia="Arial" w:cs="Arial"/>
          <w:noProof w:val="0"/>
          <w:sz w:val="24"/>
          <w:szCs w:val="24"/>
          <w:lang w:val="en-US"/>
        </w:rPr>
        <w:t>these names</w:t>
      </w:r>
      <w:r w:rsidRPr="63E7E8CF" w:rsidR="41B0CEB8">
        <w:rPr>
          <w:rFonts w:ascii="Arial" w:hAnsi="Arial" w:eastAsia="Arial" w:cs="Arial"/>
          <w:noProof w:val="0"/>
          <w:sz w:val="24"/>
          <w:szCs w:val="24"/>
          <w:lang w:val="en-US"/>
        </w:rPr>
        <w:t xml:space="preserve"> will also help the recruitment </w:t>
      </w:r>
      <w:r w:rsidRPr="63E7E8CF" w:rsidR="4076538F">
        <w:rPr>
          <w:rFonts w:ascii="Arial" w:hAnsi="Arial" w:eastAsia="Arial" w:cs="Arial"/>
          <w:noProof w:val="0"/>
          <w:sz w:val="24"/>
          <w:szCs w:val="24"/>
          <w:lang w:val="en-US"/>
        </w:rPr>
        <w:t>panel</w:t>
      </w:r>
      <w:r w:rsidRPr="63E7E8CF" w:rsidR="41B0CEB8">
        <w:rPr>
          <w:rFonts w:ascii="Arial" w:hAnsi="Arial" w:eastAsia="Arial" w:cs="Arial"/>
          <w:noProof w:val="0"/>
          <w:sz w:val="24"/>
          <w:szCs w:val="24"/>
          <w:lang w:val="en-US"/>
        </w:rPr>
        <w:t xml:space="preserve"> arrive at a </w:t>
      </w:r>
      <w:r w:rsidRPr="63E7E8CF" w:rsidR="239E0988">
        <w:rPr>
          <w:rFonts w:ascii="Arial" w:hAnsi="Arial" w:eastAsia="Arial" w:cs="Arial"/>
          <w:noProof w:val="0"/>
          <w:sz w:val="24"/>
          <w:szCs w:val="24"/>
          <w:lang w:val="en-US"/>
        </w:rPr>
        <w:t>measurable criterion</w:t>
      </w:r>
      <w:r w:rsidRPr="63E7E8CF" w:rsidR="41B0CEB8">
        <w:rPr>
          <w:rFonts w:ascii="Arial" w:hAnsi="Arial" w:eastAsia="Arial" w:cs="Arial"/>
          <w:noProof w:val="0"/>
          <w:sz w:val="24"/>
          <w:szCs w:val="24"/>
          <w:lang w:val="en-US"/>
        </w:rPr>
        <w:t xml:space="preserve"> for further short listing and designing of the interview.</w:t>
      </w:r>
    </w:p>
    <w:p xmlns:wp14="http://schemas.microsoft.com/office/word/2010/wordml" w:rsidP="63E7E8CF" wp14:paraId="2F9A5CEA" wp14:textId="092E0252">
      <w:pPr>
        <w:bidi w:val="0"/>
        <w:spacing w:line="360" w:lineRule="auto"/>
        <w:ind w:firstLine="720"/>
        <w:jc w:val="both"/>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Working relationships are different people from across academic schools, student representatives, professional services, and external innovation partners as creative output relies on exchange of knowledge between multiple parties (Barua et al., 2024). Creative performance is also influenced by physical and organisational conditions, so the role does not have to result in a permanent workplace, but in a connection to a diverse collaboration space and network (Lucius and Damberg, 2024). This amount of contact provides the variety of stimulus necessary for new ideas for services to be based on.</w:t>
      </w:r>
    </w:p>
    <w:p xmlns:wp14="http://schemas.microsoft.com/office/word/2010/wordml" w:rsidP="63E7E8CF" wp14:paraId="5DB17C9C" wp14:textId="649427E5">
      <w:pPr>
        <w:bidi w:val="0"/>
        <w:spacing w:line="360" w:lineRule="auto"/>
        <w:ind w:firstLine="720"/>
        <w:jc w:val="both"/>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Performance indicators tie the role to member engagement data and project completion of pilots, ensuring the role is held accountable for measurable results but ensuring space for experimentation at the </w:t>
      </w:r>
      <w:r w:rsidRPr="63E7E8CF" w:rsidR="41B0CEB8">
        <w:rPr>
          <w:rFonts w:ascii="Arial" w:hAnsi="Arial" w:eastAsia="Arial" w:cs="Arial"/>
          <w:noProof w:val="0"/>
          <w:sz w:val="24"/>
          <w:szCs w:val="24"/>
          <w:lang w:val="en-US"/>
        </w:rPr>
        <w:t>early stages</w:t>
      </w:r>
      <w:r w:rsidRPr="63E7E8CF" w:rsidR="41B0CEB8">
        <w:rPr>
          <w:rFonts w:ascii="Arial" w:hAnsi="Arial" w:eastAsia="Arial" w:cs="Arial"/>
          <w:noProof w:val="0"/>
          <w:sz w:val="24"/>
          <w:szCs w:val="24"/>
          <w:lang w:val="en-US"/>
        </w:rPr>
        <w:t xml:space="preserve"> of pilots when traditional output is minimal (Marwan and </w:t>
      </w:r>
      <w:r w:rsidRPr="63E7E8CF" w:rsidR="41B0CEB8">
        <w:rPr>
          <w:rFonts w:ascii="Arial" w:hAnsi="Arial" w:eastAsia="Arial" w:cs="Arial"/>
          <w:noProof w:val="0"/>
          <w:sz w:val="24"/>
          <w:szCs w:val="24"/>
          <w:lang w:val="en-US"/>
        </w:rPr>
        <w:t>Alhadar</w:t>
      </w:r>
      <w:r w:rsidRPr="63E7E8CF" w:rsidR="41B0CEB8">
        <w:rPr>
          <w:rFonts w:ascii="Arial" w:hAnsi="Arial" w:eastAsia="Arial" w:cs="Arial"/>
          <w:noProof w:val="0"/>
          <w:sz w:val="24"/>
          <w:szCs w:val="24"/>
          <w:lang w:val="en-US"/>
        </w:rPr>
        <w:t xml:space="preserve">, 2024). Putting indicators in this shape makes it less harmful towards the prevailing trial and error that is a principle of being innovative. The grade and fixed term structure </w:t>
      </w:r>
      <w:r w:rsidRPr="63E7E8CF" w:rsidR="41B0CEB8">
        <w:rPr>
          <w:rFonts w:ascii="Arial" w:hAnsi="Arial" w:eastAsia="Arial" w:cs="Arial"/>
          <w:noProof w:val="0"/>
          <w:sz w:val="24"/>
          <w:szCs w:val="24"/>
          <w:lang w:val="en-US"/>
        </w:rPr>
        <w:t>is</w:t>
      </w:r>
      <w:r w:rsidRPr="63E7E8CF" w:rsidR="41B0CEB8">
        <w:rPr>
          <w:rFonts w:ascii="Arial" w:hAnsi="Arial" w:eastAsia="Arial" w:cs="Arial"/>
          <w:noProof w:val="0"/>
          <w:sz w:val="24"/>
          <w:szCs w:val="24"/>
          <w:lang w:val="en-US"/>
        </w:rPr>
        <w:t xml:space="preserve"> also subject to critical investigation. A fixed term of three years is a sufficient period for delivering an innovation agenda consistent with the strategic plan and provides an opportunity for annual review against the strategic </w:t>
      </w:r>
      <w:r w:rsidRPr="63E7E8CF" w:rsidR="2FB3E444">
        <w:rPr>
          <w:rFonts w:ascii="Arial" w:hAnsi="Arial" w:eastAsia="Arial" w:cs="Arial"/>
          <w:noProof w:val="0"/>
          <w:sz w:val="24"/>
          <w:szCs w:val="24"/>
          <w:lang w:val="en-US"/>
        </w:rPr>
        <w:t>plan but</w:t>
      </w:r>
      <w:r w:rsidRPr="63E7E8CF" w:rsidR="41B0CEB8">
        <w:rPr>
          <w:rFonts w:ascii="Arial" w:hAnsi="Arial" w:eastAsia="Arial" w:cs="Arial"/>
          <w:noProof w:val="0"/>
          <w:sz w:val="24"/>
          <w:szCs w:val="24"/>
          <w:lang w:val="en-US"/>
        </w:rPr>
        <w:t xml:space="preserve"> also has the potential challenge of less commitment and fewer knowledge assets retained at the exit moment (Jishnu and Hareendrakumar, 2024). Having a post holder paired with an innovation mentor during induction helps to reduce this risk and to create a stronger circle around the role (Marwan and </w:t>
      </w:r>
      <w:r w:rsidRPr="63E7E8CF" w:rsidR="41B0CEB8">
        <w:rPr>
          <w:rFonts w:ascii="Arial" w:hAnsi="Arial" w:eastAsia="Arial" w:cs="Arial"/>
          <w:noProof w:val="0"/>
          <w:sz w:val="24"/>
          <w:szCs w:val="24"/>
          <w:lang w:val="en-US"/>
        </w:rPr>
        <w:t>Alhadar</w:t>
      </w:r>
      <w:r w:rsidRPr="63E7E8CF" w:rsidR="41B0CEB8">
        <w:rPr>
          <w:rFonts w:ascii="Arial" w:hAnsi="Arial" w:eastAsia="Arial" w:cs="Arial"/>
          <w:noProof w:val="0"/>
          <w:sz w:val="24"/>
          <w:szCs w:val="24"/>
          <w:lang w:val="en-US"/>
        </w:rPr>
        <w:t>, 2024).</w:t>
      </w:r>
    </w:p>
    <w:p xmlns:wp14="http://schemas.microsoft.com/office/word/2010/wordml" w:rsidP="63E7E8CF" wp14:paraId="5E6535F8" wp14:textId="534D8E17">
      <w:pPr>
        <w:bidi w:val="0"/>
        <w:spacing w:line="360" w:lineRule="auto"/>
        <w:ind w:firstLine="720"/>
        <w:jc w:val="both"/>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Together, these elements help to translate strategic innovation objectives into the written recruitment document and provide the selection panel with a solid foundation for evaluating applied innovative capability (Tsiskaridze, Reinhold and Jarvis, 2023).</w:t>
      </w:r>
    </w:p>
    <w:p xmlns:wp14="http://schemas.microsoft.com/office/word/2010/wordml" w:rsidP="63E7E8CF" wp14:paraId="4D745934" wp14:textId="51503ADA">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533F93DF" wp14:textId="60165A51">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7F6C57FA" wp14:textId="397762E7">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56FAAD63" wp14:textId="34872142">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31F289F7" wp14:textId="48E0FAAA">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14178491" wp14:textId="60CC7B3A">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6B0EDAE2" wp14:textId="1742BBC7">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79EAC02B" wp14:textId="660FA5EC">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33E1113D" wp14:textId="5912AD0E">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35F34C9C" wp14:textId="310B31A8">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3A8A989B" wp14:textId="2D65EA56">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5DE067E4" wp14:textId="4AA2F093">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066ED851" wp14:textId="7C4BB0E3">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6CC617E9" wp14:textId="496C6103">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4DCEE13A" wp14:textId="0EC7C6E8">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09BE113F" wp14:textId="3A0617C5">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05982AA8" wp14:textId="3CFFF847">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74280B64" wp14:textId="69FDA385">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2193D967" wp14:textId="4D1C404F">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0EB4CBA9" wp14:textId="6332CBAE">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xmlns:wp14="http://schemas.microsoft.com/office/word/2010/wordml" w:rsidP="63E7E8CF" wp14:paraId="72054D46" wp14:textId="590683A5">
      <w:pPr>
        <w:bidi w:val="0"/>
        <w:spacing w:line="360" w:lineRule="auto"/>
        <w:rPr>
          <w:rFonts w:ascii="Arial" w:hAnsi="Arial" w:eastAsia="Arial" w:cs="Arial"/>
          <w:noProof w:val="0"/>
          <w:sz w:val="24"/>
          <w:szCs w:val="24"/>
          <w:lang w:val="en-US"/>
        </w:rPr>
      </w:pPr>
    </w:p>
    <w:p xmlns:wp14="http://schemas.microsoft.com/office/word/2010/wordml" w:rsidP="63E7E8CF" wp14:paraId="6A521DDB" wp14:textId="7FFA33AF">
      <w:pPr>
        <w:pStyle w:val="Normal"/>
        <w:bidi w:val="0"/>
        <w:spacing w:line="360" w:lineRule="auto"/>
        <w:rPr>
          <w:rFonts w:ascii="Arial" w:hAnsi="Arial" w:eastAsia="Arial" w:cs="Arial"/>
          <w:noProof w:val="0"/>
          <w:sz w:val="24"/>
          <w:szCs w:val="24"/>
          <w:lang w:val="en-US"/>
        </w:rPr>
      </w:pPr>
    </w:p>
    <w:p xmlns:wp14="http://schemas.microsoft.com/office/word/2010/wordml" w:rsidP="63E7E8CF" wp14:paraId="4EED8E22" wp14:textId="26F11941">
      <w:pPr>
        <w:pStyle w:val="Normal"/>
        <w:bidi w:val="0"/>
        <w:rPr>
          <w:noProof w:val="0"/>
          <w:lang w:val="en-US"/>
        </w:rPr>
      </w:pPr>
    </w:p>
    <w:p xmlns:wp14="http://schemas.microsoft.com/office/word/2010/wordml" w:rsidP="63E7E8CF" wp14:paraId="72B53AB1" wp14:textId="4E42D8BD">
      <w:pPr>
        <w:pStyle w:val="Normal"/>
        <w:bidi w:val="0"/>
        <w:rPr>
          <w:rFonts w:ascii="Arial" w:hAnsi="Arial" w:eastAsia="Arial" w:cs="Arial"/>
          <w:noProof w:val="0"/>
          <w:sz w:val="24"/>
          <w:szCs w:val="24"/>
          <w:lang w:val="en-US"/>
        </w:rPr>
      </w:pPr>
      <w:r w:rsidRPr="63E7E8CF" w:rsidR="41B0CEB8">
        <w:rPr>
          <w:noProof w:val="0"/>
          <w:lang w:val="en-US"/>
        </w:rPr>
        <w:t>Reference</w:t>
      </w:r>
      <w:r w:rsidRPr="63E7E8CF" w:rsidR="07F280F3">
        <w:rPr>
          <w:noProof w:val="0"/>
          <w:lang w:val="en-US"/>
        </w:rPr>
        <w:t xml:space="preserve"> list:</w:t>
      </w:r>
    </w:p>
    <w:p xmlns:wp14="http://schemas.microsoft.com/office/word/2010/wordml" w:rsidP="63E7E8CF" wp14:paraId="17287AB7" wp14:textId="647737C1">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Barua, B., Islam, M.O., Kibria, H. and Barua, R. (2024) ‘Analysis of creativity at the workplace through employee empowerment’, International Journal of Organizational Analysis. Available at: </w:t>
      </w:r>
      <w:hyperlink r:id="R802a2eaeecf84c9a">
        <w:r w:rsidRPr="63E7E8CF" w:rsidR="41B0CEB8">
          <w:rPr>
            <w:rStyle w:val="Hyperlink"/>
            <w:rFonts w:ascii="Arial" w:hAnsi="Arial" w:eastAsia="Arial" w:cs="Arial"/>
            <w:strike w:val="0"/>
            <w:dstrike w:val="0"/>
            <w:noProof w:val="0"/>
            <w:sz w:val="24"/>
            <w:szCs w:val="24"/>
            <w:lang w:val="en-GB"/>
          </w:rPr>
          <w:t>https://www.emerald.com/insight/content/doi/10.1108/ijoa-05-2024-4534/full/html</w:t>
        </w:r>
      </w:hyperlink>
      <w:r w:rsidRPr="63E7E8CF" w:rsidR="41B0CEB8">
        <w:rPr>
          <w:rFonts w:ascii="Arial" w:hAnsi="Arial" w:eastAsia="Arial" w:cs="Arial"/>
          <w:noProof w:val="0"/>
          <w:sz w:val="24"/>
          <w:szCs w:val="24"/>
          <w:lang w:val="en-GB"/>
        </w:rPr>
        <w:t xml:space="preserve"> (Accessed: </w:t>
      </w:r>
      <w:r w:rsidRPr="63E7E8CF" w:rsidR="60A746F8">
        <w:rPr>
          <w:rFonts w:ascii="Arial" w:hAnsi="Arial" w:eastAsia="Arial" w:cs="Arial"/>
          <w:noProof w:val="0"/>
          <w:sz w:val="24"/>
          <w:szCs w:val="24"/>
          <w:lang w:val="en-GB"/>
        </w:rPr>
        <w:t>20</w:t>
      </w:r>
      <w:r w:rsidRPr="63E7E8CF" w:rsidR="41B0CEB8">
        <w:rPr>
          <w:rFonts w:ascii="Arial" w:hAnsi="Arial" w:eastAsia="Arial" w:cs="Arial"/>
          <w:noProof w:val="0"/>
          <w:sz w:val="24"/>
          <w:szCs w:val="24"/>
          <w:lang w:val="en-GB"/>
        </w:rPr>
        <w:t xml:space="preserve"> </w:t>
      </w:r>
      <w:r w:rsidRPr="63E7E8CF" w:rsidR="28F644B4">
        <w:rPr>
          <w:rFonts w:ascii="Arial" w:hAnsi="Arial" w:eastAsia="Arial" w:cs="Arial"/>
          <w:noProof w:val="0"/>
          <w:sz w:val="24"/>
          <w:szCs w:val="24"/>
          <w:lang w:val="en-GB"/>
        </w:rPr>
        <w:t>June</w:t>
      </w:r>
      <w:r w:rsidRPr="63E7E8CF" w:rsidR="41B0CEB8">
        <w:rPr>
          <w:rFonts w:ascii="Arial" w:hAnsi="Arial" w:eastAsia="Arial" w:cs="Arial"/>
          <w:noProof w:val="0"/>
          <w:sz w:val="24"/>
          <w:szCs w:val="24"/>
          <w:lang w:val="en-GB"/>
        </w:rPr>
        <w:t xml:space="preserve"> 2026).</w:t>
      </w:r>
    </w:p>
    <w:p xmlns:wp14="http://schemas.microsoft.com/office/word/2010/wordml" w:rsidP="63E7E8CF" wp14:paraId="7B646F37" wp14:textId="18E22711">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Jishnu, A. and </w:t>
      </w:r>
      <w:r w:rsidRPr="63E7E8CF" w:rsidR="41B0CEB8">
        <w:rPr>
          <w:rFonts w:ascii="Arial" w:hAnsi="Arial" w:eastAsia="Arial" w:cs="Arial"/>
          <w:noProof w:val="0"/>
          <w:sz w:val="24"/>
          <w:szCs w:val="24"/>
          <w:lang w:val="en-GB"/>
        </w:rPr>
        <w:t>Hareendrakumar</w:t>
      </w:r>
      <w:r w:rsidRPr="63E7E8CF" w:rsidR="41B0CEB8">
        <w:rPr>
          <w:rFonts w:ascii="Arial" w:hAnsi="Arial" w:eastAsia="Arial" w:cs="Arial"/>
          <w:noProof w:val="0"/>
          <w:sz w:val="24"/>
          <w:szCs w:val="24"/>
          <w:lang w:val="en-GB"/>
        </w:rPr>
        <w:t xml:space="preserve">, V.R. (2024) ‘Impact of HR practices on innovative work behaviour: the mediating role of organizational support, knowledge-sharing and employee creativity’, Paradigm: A Management Research Journal, 28(1), pp. 101 to 118. Available at: </w:t>
      </w:r>
      <w:hyperlink r:id="R5594815f32154165">
        <w:r w:rsidRPr="63E7E8CF" w:rsidR="41B0CEB8">
          <w:rPr>
            <w:rStyle w:val="Hyperlink"/>
            <w:rFonts w:ascii="Arial" w:hAnsi="Arial" w:eastAsia="Arial" w:cs="Arial"/>
            <w:strike w:val="0"/>
            <w:dstrike w:val="0"/>
            <w:noProof w:val="0"/>
            <w:sz w:val="24"/>
            <w:szCs w:val="24"/>
            <w:lang w:val="en-GB"/>
          </w:rPr>
          <w:t>https://journals.sagepub.com/doi/10.1177/09718907241251410</w:t>
        </w:r>
      </w:hyperlink>
      <w:r w:rsidRPr="63E7E8CF" w:rsidR="41B0CEB8">
        <w:rPr>
          <w:rFonts w:ascii="Arial" w:hAnsi="Arial" w:eastAsia="Arial" w:cs="Arial"/>
          <w:noProof w:val="0"/>
          <w:sz w:val="24"/>
          <w:szCs w:val="24"/>
          <w:lang w:val="en-GB"/>
        </w:rPr>
        <w:t xml:space="preserve"> (Accessed: </w:t>
      </w:r>
      <w:r w:rsidRPr="63E7E8CF" w:rsidR="7D03123D">
        <w:rPr>
          <w:rFonts w:ascii="Arial" w:hAnsi="Arial" w:eastAsia="Arial" w:cs="Arial"/>
          <w:noProof w:val="0"/>
          <w:sz w:val="24"/>
          <w:szCs w:val="24"/>
          <w:lang w:val="en-GB"/>
        </w:rPr>
        <w:t>13</w:t>
      </w:r>
      <w:r w:rsidRPr="63E7E8CF" w:rsidR="41B0CEB8">
        <w:rPr>
          <w:rFonts w:ascii="Arial" w:hAnsi="Arial" w:eastAsia="Arial" w:cs="Arial"/>
          <w:noProof w:val="0"/>
          <w:sz w:val="24"/>
          <w:szCs w:val="24"/>
          <w:lang w:val="en-GB"/>
        </w:rPr>
        <w:t xml:space="preserve"> June 2026).</w:t>
      </w:r>
    </w:p>
    <w:p xmlns:wp14="http://schemas.microsoft.com/office/word/2010/wordml" w:rsidP="63E7E8CF" wp14:paraId="50524780" wp14:textId="2377AFBF">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Lenart-</w:t>
      </w:r>
      <w:r w:rsidRPr="63E7E8CF" w:rsidR="41B0CEB8">
        <w:rPr>
          <w:rFonts w:ascii="Arial" w:hAnsi="Arial" w:eastAsia="Arial" w:cs="Arial"/>
          <w:noProof w:val="0"/>
          <w:sz w:val="24"/>
          <w:szCs w:val="24"/>
          <w:lang w:val="en-GB"/>
        </w:rPr>
        <w:t>Gansiniec</w:t>
      </w:r>
      <w:r w:rsidRPr="63E7E8CF" w:rsidR="41B0CEB8">
        <w:rPr>
          <w:rFonts w:ascii="Arial" w:hAnsi="Arial" w:eastAsia="Arial" w:cs="Arial"/>
          <w:noProof w:val="0"/>
          <w:sz w:val="24"/>
          <w:szCs w:val="24"/>
          <w:lang w:val="en-GB"/>
        </w:rPr>
        <w:t xml:space="preserve">, R., Sypniewska, B.A. and Chen, J. (2023) ‘Innovation-driven human resource management practices: a systematic review, integrative framework, and future research directions’, Journal of Entrepreneurship, </w:t>
      </w:r>
      <w:r w:rsidRPr="63E7E8CF" w:rsidR="41B0CEB8">
        <w:rPr>
          <w:rFonts w:ascii="Arial" w:hAnsi="Arial" w:eastAsia="Arial" w:cs="Arial"/>
          <w:noProof w:val="0"/>
          <w:sz w:val="24"/>
          <w:szCs w:val="24"/>
          <w:lang w:val="en-GB"/>
        </w:rPr>
        <w:t>Management</w:t>
      </w:r>
      <w:r w:rsidRPr="63E7E8CF" w:rsidR="41B0CEB8">
        <w:rPr>
          <w:rFonts w:ascii="Arial" w:hAnsi="Arial" w:eastAsia="Arial" w:cs="Arial"/>
          <w:noProof w:val="0"/>
          <w:sz w:val="24"/>
          <w:szCs w:val="24"/>
          <w:lang w:val="en-GB"/>
        </w:rPr>
        <w:t xml:space="preserve"> and Innovation, 19(2), pp. 7 to 56. Available at: </w:t>
      </w:r>
      <w:hyperlink r:id="R7b3aa347b39a45a1">
        <w:r w:rsidRPr="63E7E8CF" w:rsidR="41B0CEB8">
          <w:rPr>
            <w:rStyle w:val="Hyperlink"/>
            <w:rFonts w:ascii="Arial" w:hAnsi="Arial" w:eastAsia="Arial" w:cs="Arial"/>
            <w:strike w:val="0"/>
            <w:dstrike w:val="0"/>
            <w:noProof w:val="0"/>
            <w:sz w:val="24"/>
            <w:szCs w:val="24"/>
            <w:lang w:val="en-GB"/>
          </w:rPr>
          <w:t>https://jemi.edu.pl/vol-19-issue-2-2023/innovation-driven-human-resource-management-practices-a-systematic-review-integrative-framework-and-future-research-directions</w:t>
        </w:r>
      </w:hyperlink>
      <w:r w:rsidRPr="63E7E8CF" w:rsidR="41B0CEB8">
        <w:rPr>
          <w:rFonts w:ascii="Arial" w:hAnsi="Arial" w:eastAsia="Arial" w:cs="Arial"/>
          <w:noProof w:val="0"/>
          <w:sz w:val="24"/>
          <w:szCs w:val="24"/>
          <w:lang w:val="en-GB"/>
        </w:rPr>
        <w:t xml:space="preserve"> (Accessed: </w:t>
      </w:r>
      <w:r w:rsidRPr="63E7E8CF" w:rsidR="5EBFA46D">
        <w:rPr>
          <w:rFonts w:ascii="Arial" w:hAnsi="Arial" w:eastAsia="Arial" w:cs="Arial"/>
          <w:noProof w:val="0"/>
          <w:sz w:val="24"/>
          <w:szCs w:val="24"/>
          <w:lang w:val="en-GB"/>
        </w:rPr>
        <w:t>14</w:t>
      </w:r>
      <w:r w:rsidRPr="63E7E8CF" w:rsidR="41B0CEB8">
        <w:rPr>
          <w:rFonts w:ascii="Arial" w:hAnsi="Arial" w:eastAsia="Arial" w:cs="Arial"/>
          <w:noProof w:val="0"/>
          <w:sz w:val="24"/>
          <w:szCs w:val="24"/>
          <w:lang w:val="en-GB"/>
        </w:rPr>
        <w:t xml:space="preserve"> June 2026).</w:t>
      </w:r>
    </w:p>
    <w:p xmlns:wp14="http://schemas.microsoft.com/office/word/2010/wordml" w:rsidP="63E7E8CF" wp14:paraId="2F03D441" wp14:textId="0DAC8468">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Lucius, Z.K. and Damberg, S. (2024) ‘Why we need employees back at the office: the effect of workplace design on creativity in organizations’, </w:t>
      </w:r>
      <w:r w:rsidRPr="63E7E8CF" w:rsidR="41B0CEB8">
        <w:rPr>
          <w:rFonts w:ascii="Arial" w:hAnsi="Arial" w:eastAsia="Arial" w:cs="Arial"/>
          <w:noProof w:val="0"/>
          <w:sz w:val="24"/>
          <w:szCs w:val="24"/>
          <w:lang w:val="en-GB"/>
        </w:rPr>
        <w:t>Creativity</w:t>
      </w:r>
      <w:r w:rsidRPr="63E7E8CF" w:rsidR="41B0CEB8">
        <w:rPr>
          <w:rFonts w:ascii="Arial" w:hAnsi="Arial" w:eastAsia="Arial" w:cs="Arial"/>
          <w:noProof w:val="0"/>
          <w:sz w:val="24"/>
          <w:szCs w:val="24"/>
          <w:lang w:val="en-GB"/>
        </w:rPr>
        <w:t xml:space="preserve"> and Innovation Management, 33(4), pp. 654 to 670. Available at: </w:t>
      </w:r>
      <w:hyperlink r:id="Rfd741f35196b4e4e">
        <w:r w:rsidRPr="63E7E8CF" w:rsidR="41B0CEB8">
          <w:rPr>
            <w:rStyle w:val="Hyperlink"/>
            <w:rFonts w:ascii="Arial" w:hAnsi="Arial" w:eastAsia="Arial" w:cs="Arial"/>
            <w:strike w:val="0"/>
            <w:dstrike w:val="0"/>
            <w:noProof w:val="0"/>
            <w:sz w:val="24"/>
            <w:szCs w:val="24"/>
            <w:lang w:val="en-GB"/>
          </w:rPr>
          <w:t>https://onlinelibrary.wiley.com/doi/10.1111/caim.12611</w:t>
        </w:r>
      </w:hyperlink>
      <w:r w:rsidRPr="63E7E8CF" w:rsidR="41B0CEB8">
        <w:rPr>
          <w:rFonts w:ascii="Arial" w:hAnsi="Arial" w:eastAsia="Arial" w:cs="Arial"/>
          <w:noProof w:val="0"/>
          <w:sz w:val="24"/>
          <w:szCs w:val="24"/>
          <w:lang w:val="en-GB"/>
        </w:rPr>
        <w:t xml:space="preserve"> (Accessed: 1</w:t>
      </w:r>
      <w:r w:rsidRPr="63E7E8CF" w:rsidR="59DCD9F3">
        <w:rPr>
          <w:rFonts w:ascii="Arial" w:hAnsi="Arial" w:eastAsia="Arial" w:cs="Arial"/>
          <w:noProof w:val="0"/>
          <w:sz w:val="24"/>
          <w:szCs w:val="24"/>
          <w:lang w:val="en-GB"/>
        </w:rPr>
        <w:t>3</w:t>
      </w:r>
      <w:r w:rsidRPr="63E7E8CF" w:rsidR="41B0CEB8">
        <w:rPr>
          <w:rFonts w:ascii="Arial" w:hAnsi="Arial" w:eastAsia="Arial" w:cs="Arial"/>
          <w:noProof w:val="0"/>
          <w:sz w:val="24"/>
          <w:szCs w:val="24"/>
          <w:lang w:val="en-GB"/>
        </w:rPr>
        <w:t xml:space="preserve"> June 2026).</w:t>
      </w:r>
    </w:p>
    <w:p xmlns:wp14="http://schemas.microsoft.com/office/word/2010/wordml" w:rsidP="63E7E8CF" wp14:paraId="59C009FD" wp14:textId="243147D1">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Marwan, M. and Alhadar, F. (2024) ‘Effects of HR management practices on employee innovative work behavior with two mediation’, Jurnal Manajemen, 28(2), pp. 247 to 271. Available at: </w:t>
      </w:r>
      <w:hyperlink r:id="R7ca41843e1e149a7">
        <w:r w:rsidRPr="63E7E8CF" w:rsidR="41B0CEB8">
          <w:rPr>
            <w:rStyle w:val="Hyperlink"/>
            <w:rFonts w:ascii="Arial" w:hAnsi="Arial" w:eastAsia="Arial" w:cs="Arial"/>
            <w:strike w:val="0"/>
            <w:dstrike w:val="0"/>
            <w:noProof w:val="0"/>
            <w:sz w:val="24"/>
            <w:szCs w:val="24"/>
            <w:lang w:val="en-GB"/>
          </w:rPr>
          <w:t>http://ecojoin.org/index.php/EJM/article/view/1796</w:t>
        </w:r>
      </w:hyperlink>
      <w:r w:rsidRPr="63E7E8CF" w:rsidR="41B0CEB8">
        <w:rPr>
          <w:rFonts w:ascii="Arial" w:hAnsi="Arial" w:eastAsia="Arial" w:cs="Arial"/>
          <w:noProof w:val="0"/>
          <w:sz w:val="24"/>
          <w:szCs w:val="24"/>
          <w:lang w:val="en-GB"/>
        </w:rPr>
        <w:t xml:space="preserve"> (Accessed: 14 June 2026).</w:t>
      </w:r>
    </w:p>
    <w:p xmlns:wp14="http://schemas.microsoft.com/office/word/2010/wordml" w:rsidP="63E7E8CF" wp14:paraId="0AE0D694" wp14:textId="755442CA">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Tsiskaridze, R., Reinhold, </w:t>
      </w:r>
      <w:r w:rsidRPr="63E7E8CF" w:rsidR="41B0CEB8">
        <w:rPr>
          <w:rFonts w:ascii="Arial" w:hAnsi="Arial" w:eastAsia="Arial" w:cs="Arial"/>
          <w:noProof w:val="0"/>
          <w:sz w:val="24"/>
          <w:szCs w:val="24"/>
          <w:lang w:val="en-GB"/>
        </w:rPr>
        <w:t>K.</w:t>
      </w:r>
      <w:r w:rsidRPr="63E7E8CF" w:rsidR="41B0CEB8">
        <w:rPr>
          <w:rFonts w:ascii="Arial" w:hAnsi="Arial" w:eastAsia="Arial" w:cs="Arial"/>
          <w:noProof w:val="0"/>
          <w:sz w:val="24"/>
          <w:szCs w:val="24"/>
          <w:lang w:val="en-GB"/>
        </w:rPr>
        <w:t xml:space="preserve"> and Jarvis, M. (2023) ‘Innovating HRM recruitment: a comprehensive review of AI deployment’, Marketing and Management of Innovations, 14(4), pp. 239 to 254. Available at: </w:t>
      </w:r>
      <w:hyperlink r:id="R49ca981a78ee43c2">
        <w:r w:rsidRPr="63E7E8CF" w:rsidR="41B0CEB8">
          <w:rPr>
            <w:rStyle w:val="Hyperlink"/>
            <w:rFonts w:ascii="Arial" w:hAnsi="Arial" w:eastAsia="Arial" w:cs="Arial"/>
            <w:strike w:val="0"/>
            <w:dstrike w:val="0"/>
            <w:noProof w:val="0"/>
            <w:sz w:val="24"/>
            <w:szCs w:val="24"/>
            <w:lang w:val="en-GB"/>
          </w:rPr>
          <w:t>https://mmi.sumdu.edu.ua/volume-14-issue-4/article-18/</w:t>
        </w:r>
      </w:hyperlink>
      <w:r w:rsidRPr="63E7E8CF" w:rsidR="41B0CEB8">
        <w:rPr>
          <w:rFonts w:ascii="Arial" w:hAnsi="Arial" w:eastAsia="Arial" w:cs="Arial"/>
          <w:noProof w:val="0"/>
          <w:sz w:val="24"/>
          <w:szCs w:val="24"/>
          <w:lang w:val="en-GB"/>
        </w:rPr>
        <w:t xml:space="preserve"> (Accessed: </w:t>
      </w:r>
      <w:r w:rsidRPr="63E7E8CF" w:rsidR="5E6148C8">
        <w:rPr>
          <w:rFonts w:ascii="Arial" w:hAnsi="Arial" w:eastAsia="Arial" w:cs="Arial"/>
          <w:noProof w:val="0"/>
          <w:sz w:val="24"/>
          <w:szCs w:val="24"/>
          <w:lang w:val="en-GB"/>
        </w:rPr>
        <w:t>20</w:t>
      </w:r>
      <w:r w:rsidRPr="63E7E8CF" w:rsidR="41B0CEB8">
        <w:rPr>
          <w:rFonts w:ascii="Arial" w:hAnsi="Arial" w:eastAsia="Arial" w:cs="Arial"/>
          <w:noProof w:val="0"/>
          <w:sz w:val="24"/>
          <w:szCs w:val="24"/>
          <w:lang w:val="en-GB"/>
        </w:rPr>
        <w:t xml:space="preserve"> </w:t>
      </w:r>
      <w:r w:rsidRPr="63E7E8CF" w:rsidR="41B0CEB8">
        <w:rPr>
          <w:rFonts w:ascii="Arial" w:hAnsi="Arial" w:eastAsia="Arial" w:cs="Arial"/>
          <w:noProof w:val="0"/>
          <w:sz w:val="24"/>
          <w:szCs w:val="24"/>
          <w:lang w:val="en-GB"/>
        </w:rPr>
        <w:t>June 2026).</w:t>
      </w:r>
    </w:p>
    <w:p xmlns:wp14="http://schemas.microsoft.com/office/word/2010/wordml" w:rsidP="63E7E8CF" wp14:paraId="43B53FED" wp14:textId="71DCC298">
      <w:pPr>
        <w:bidi w:val="0"/>
        <w:spacing w:line="360" w:lineRule="auto"/>
        <w:rPr>
          <w:rFonts w:ascii="Arial" w:hAnsi="Arial" w:eastAsia="Arial" w:cs="Arial"/>
          <w:noProof w:val="0"/>
          <w:sz w:val="24"/>
          <w:szCs w:val="24"/>
          <w:lang w:val="en-GB"/>
        </w:rPr>
      </w:pPr>
    </w:p>
    <w:p xmlns:wp14="http://schemas.microsoft.com/office/word/2010/wordml" w:rsidP="63E7E8CF" wp14:paraId="5E5787A5" wp14:textId="6C3726F8">
      <w:pPr>
        <w:spacing w:line="36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245e17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CC7BE9"/>
    <w:rsid w:val="019D3EE9"/>
    <w:rsid w:val="04574D66"/>
    <w:rsid w:val="04574D66"/>
    <w:rsid w:val="07F280F3"/>
    <w:rsid w:val="10D10F08"/>
    <w:rsid w:val="1346A11D"/>
    <w:rsid w:val="17B78EBB"/>
    <w:rsid w:val="197313AE"/>
    <w:rsid w:val="1B7731D0"/>
    <w:rsid w:val="1C4B7507"/>
    <w:rsid w:val="239E0988"/>
    <w:rsid w:val="28F644B4"/>
    <w:rsid w:val="2FB3E444"/>
    <w:rsid w:val="33CAEFF9"/>
    <w:rsid w:val="34A833D7"/>
    <w:rsid w:val="34A833D7"/>
    <w:rsid w:val="3E337BC3"/>
    <w:rsid w:val="400155EE"/>
    <w:rsid w:val="4076538F"/>
    <w:rsid w:val="41B0CEB8"/>
    <w:rsid w:val="435E02F7"/>
    <w:rsid w:val="43BF09D5"/>
    <w:rsid w:val="44D50B9A"/>
    <w:rsid w:val="4CAF4696"/>
    <w:rsid w:val="51C4E0A7"/>
    <w:rsid w:val="55B3C4AC"/>
    <w:rsid w:val="57B07BCB"/>
    <w:rsid w:val="59DCD9F3"/>
    <w:rsid w:val="5E6148C8"/>
    <w:rsid w:val="5EBFA46D"/>
    <w:rsid w:val="60A746F8"/>
    <w:rsid w:val="63E7E8CF"/>
    <w:rsid w:val="6417CD13"/>
    <w:rsid w:val="6417CD13"/>
    <w:rsid w:val="64969BF7"/>
    <w:rsid w:val="65CC7BE9"/>
    <w:rsid w:val="6B74278C"/>
    <w:rsid w:val="6C2BF2AC"/>
    <w:rsid w:val="6C2BF2AC"/>
    <w:rsid w:val="6C93EF28"/>
    <w:rsid w:val="6CEF2D1A"/>
    <w:rsid w:val="6FB20029"/>
    <w:rsid w:val="71773CB8"/>
    <w:rsid w:val="7D031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F2360"/>
  <w15:chartTrackingRefBased/>
  <w15:docId w15:val="{C7B5BA6F-E7FD-491E-8433-0947C2935E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3E7E8C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3E7E8CF"/>
    <w:pPr>
      <w:spacing/>
      <w:ind w:left="720"/>
      <w:contextualSpacing/>
    </w:pPr>
  </w:style>
  <w:style w:type="character" w:styleId="Hyperlink">
    <w:uiPriority w:val="99"/>
    <w:name w:val="Hyperlink"/>
    <w:basedOn w:val="DefaultParagraphFont"/>
    <w:unhideWhenUsed/>
    <w:rsid w:val="63E7E8CF"/>
    <w:rPr>
      <w:color w:val="467886"/>
      <w:u w:val="single"/>
    </w:rPr>
  </w:style>
  <w:style w:type="paragraph" w:styleId="Title">
    <w:uiPriority w:val="10"/>
    <w:name w:val="Title"/>
    <w:basedOn w:val="Normal"/>
    <w:next w:val="Normal"/>
    <w:qFormat/>
    <w:rsid w:val="63E7E8CF"/>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9678128" /><Relationship Type="http://schemas.openxmlformats.org/officeDocument/2006/relationships/hyperlink" Target="https://www.emerald.com/insight/content/doi/10.1108/ijoa-05-2024-4534/full/html" TargetMode="External" Id="R802a2eaeecf84c9a" /><Relationship Type="http://schemas.openxmlformats.org/officeDocument/2006/relationships/hyperlink" Target="https://journals.sagepub.com/doi/10.1177/09718907241251410" TargetMode="External" Id="R5594815f32154165" /><Relationship Type="http://schemas.openxmlformats.org/officeDocument/2006/relationships/hyperlink" Target="https://jemi.edu.pl/vol-19-issue-2-2023/innovation-driven-human-resource-management-practices-a-systematic-review-integrative-framework-and-future-research-directions" TargetMode="External" Id="R7b3aa347b39a45a1" /><Relationship Type="http://schemas.openxmlformats.org/officeDocument/2006/relationships/hyperlink" Target="https://onlinelibrary.wiley.com/doi/10.1111/caim.12611" TargetMode="External" Id="Rfd741f35196b4e4e" /><Relationship Type="http://schemas.openxmlformats.org/officeDocument/2006/relationships/hyperlink" Target="http://ecojoin.org/index.php/EJM/article/view/1796" TargetMode="External" Id="R7ca41843e1e149a7" /><Relationship Type="http://schemas.openxmlformats.org/officeDocument/2006/relationships/hyperlink" Target="https://mmi.sumdu.edu.ua/volume-14-issue-4/article-18/" TargetMode="External" Id="R49ca981a78ee43c2" /><Relationship Type="http://schemas.openxmlformats.org/officeDocument/2006/relationships/numbering" Target="/word/numbering.xml" Id="R1f9be4c1395f49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Radu Florin Apostoaiei (2238836)</dc:creator>
  <keywords/>
  <dc:description/>
  <lastModifiedBy>Radu Florin Apostoaiei (2238836)</lastModifiedBy>
  <revision>2</revision>
  <dcterms:created xsi:type="dcterms:W3CDTF">2026-06-26T19:50:48.3154917Z</dcterms:created>
  <dcterms:modified xsi:type="dcterms:W3CDTF">2026-06-26T20:11:50.8368265Z</dcterms:modified>
</coreProperties>
</file>