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BA1B8E" w14:textId="76873B2D" w:rsidR="00230F35" w:rsidRPr="000C63A3" w:rsidRDefault="00AE0D3C" w:rsidP="00230F35">
      <w:pPr>
        <w:pStyle w:val="NormalWeb"/>
        <w:spacing w:before="0" w:beforeAutospacing="0" w:after="0" w:afterAutospacing="0"/>
        <w:ind w:left="-180" w:right="-334"/>
        <w:rPr>
          <w:color w:val="auto"/>
        </w:rPr>
      </w:pPr>
      <w:r>
        <w:rPr>
          <w:noProof/>
          <w:color w:val="auto"/>
          <w:lang w:val="en-US" w:eastAsia="en-US"/>
        </w:rPr>
        <w:drawing>
          <wp:inline distT="0" distB="0" distL="0" distR="0" wp14:anchorId="2AC03DFA" wp14:editId="276C084D">
            <wp:extent cx="1905000" cy="635000"/>
            <wp:effectExtent l="25400" t="25400" r="25400"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6BFE7F6" w14:textId="77777777" w:rsidR="00230F35" w:rsidRPr="000C63A3" w:rsidRDefault="00230F35" w:rsidP="00230F35">
      <w:pPr>
        <w:pStyle w:val="NormalWeb"/>
        <w:spacing w:before="0" w:beforeAutospacing="0" w:after="0" w:afterAutospacing="0"/>
        <w:ind w:left="-180" w:right="-334"/>
        <w:rPr>
          <w:color w:val="auto"/>
        </w:rPr>
      </w:pPr>
    </w:p>
    <w:p w14:paraId="1B329CE4" w14:textId="77777777" w:rsidR="00A745B6" w:rsidRPr="000C63A3" w:rsidRDefault="00A745B6" w:rsidP="00230F35">
      <w:pPr>
        <w:pStyle w:val="NormalWeb"/>
        <w:spacing w:before="0" w:beforeAutospacing="0" w:after="0" w:afterAutospacing="0"/>
        <w:ind w:left="-180" w:right="-334"/>
        <w:rPr>
          <w:color w:val="auto"/>
        </w:rPr>
      </w:pPr>
    </w:p>
    <w:p w14:paraId="7FB9861B" w14:textId="77777777" w:rsidR="00CB5E37" w:rsidRPr="000C63A3" w:rsidRDefault="00901157" w:rsidP="00230F35">
      <w:pPr>
        <w:pStyle w:val="NormalWeb"/>
        <w:spacing w:before="0" w:beforeAutospacing="0" w:after="0" w:afterAutospacing="0"/>
        <w:ind w:left="-180" w:right="-334"/>
        <w:jc w:val="center"/>
        <w:rPr>
          <w:rFonts w:ascii="Arial" w:hAnsi="Arial" w:cs="Arial"/>
          <w:b/>
          <w:color w:val="auto"/>
          <w:sz w:val="28"/>
          <w:szCs w:val="28"/>
          <w:lang w:val="cy-GB"/>
        </w:rPr>
      </w:pPr>
      <w:r w:rsidRPr="000C63A3">
        <w:rPr>
          <w:rFonts w:ascii="Arial" w:hAnsi="Arial" w:cs="Arial"/>
          <w:b/>
          <w:color w:val="auto"/>
          <w:sz w:val="28"/>
          <w:szCs w:val="28"/>
          <w:lang w:val="cy-GB"/>
        </w:rPr>
        <w:t>Postgraduate</w:t>
      </w:r>
      <w:r w:rsidR="00CB5E37" w:rsidRPr="000C63A3">
        <w:rPr>
          <w:rFonts w:ascii="Arial" w:hAnsi="Arial" w:cs="Arial"/>
          <w:b/>
          <w:color w:val="auto"/>
          <w:sz w:val="28"/>
          <w:szCs w:val="28"/>
          <w:lang w:val="cy-GB"/>
        </w:rPr>
        <w:t xml:space="preserve">/Distance Learning </w:t>
      </w:r>
    </w:p>
    <w:p w14:paraId="0B5AAB41" w14:textId="77777777" w:rsidR="002E67CE" w:rsidRPr="000C63A3" w:rsidRDefault="00CB5E37" w:rsidP="00230F35">
      <w:pPr>
        <w:pStyle w:val="NormalWeb"/>
        <w:spacing w:before="0" w:beforeAutospacing="0" w:after="0" w:afterAutospacing="0"/>
        <w:ind w:left="-180" w:right="-334"/>
        <w:jc w:val="center"/>
        <w:rPr>
          <w:rFonts w:ascii="Arial" w:hAnsi="Arial" w:cs="Arial"/>
          <w:b/>
          <w:color w:val="auto"/>
          <w:sz w:val="28"/>
          <w:szCs w:val="28"/>
        </w:rPr>
      </w:pPr>
      <w:r w:rsidRPr="000C63A3">
        <w:rPr>
          <w:rFonts w:ascii="Arial" w:hAnsi="Arial" w:cs="Arial"/>
          <w:b/>
          <w:color w:val="auto"/>
          <w:sz w:val="28"/>
          <w:szCs w:val="28"/>
          <w:lang w:val="cy-GB"/>
        </w:rPr>
        <w:t>A</w:t>
      </w:r>
      <w:r w:rsidR="002E67CE" w:rsidRPr="000C63A3">
        <w:rPr>
          <w:rFonts w:ascii="Arial" w:hAnsi="Arial" w:cs="Arial"/>
          <w:b/>
          <w:color w:val="auto"/>
          <w:sz w:val="28"/>
          <w:szCs w:val="28"/>
          <w:lang w:val="cy-GB"/>
        </w:rPr>
        <w:t>ssignment coversheet &amp; feedback form</w:t>
      </w:r>
    </w:p>
    <w:p w14:paraId="30689064" w14:textId="77777777" w:rsidR="002E67CE" w:rsidRPr="000C63A3" w:rsidRDefault="002E67CE" w:rsidP="002E67CE">
      <w:pPr>
        <w:rPr>
          <w:rFonts w:ascii="Arial" w:hAnsi="Arial" w:cs="Arial"/>
          <w:sz w:val="28"/>
          <w:szCs w:val="28"/>
          <w:lang w:val="cy-GB"/>
        </w:rPr>
      </w:pPr>
    </w:p>
    <w:p w14:paraId="36781383" w14:textId="77777777" w:rsidR="002E67CE" w:rsidRPr="000C63A3" w:rsidRDefault="002E67CE" w:rsidP="002E67CE">
      <w:pPr>
        <w:pStyle w:val="Heading3"/>
        <w:jc w:val="center"/>
        <w:rPr>
          <w:lang w:val="cy-GB"/>
        </w:rPr>
      </w:pPr>
      <w:r w:rsidRPr="000C63A3">
        <w:rPr>
          <w:lang w:val="cy-GB"/>
        </w:rPr>
        <w:t>THIS SHEET MUST BE THE FIRST PAGE OF THE ASSIGNMENT YOU ARE SUBMITTING  (DO NOT SEND AS A SEPARATE FILE)</w:t>
      </w:r>
    </w:p>
    <w:p w14:paraId="3791517F" w14:textId="77777777" w:rsidR="00230F35" w:rsidRPr="000C63A3"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0C63A3" w14:paraId="088E8FF4" w14:textId="77777777" w:rsidTr="00A745B6">
        <w:trPr>
          <w:trHeight w:val="614"/>
        </w:trPr>
        <w:tc>
          <w:tcPr>
            <w:tcW w:w="8856" w:type="dxa"/>
            <w:gridSpan w:val="5"/>
          </w:tcPr>
          <w:p w14:paraId="5CF044DC" w14:textId="77777777" w:rsidR="0058726A" w:rsidRPr="000C63A3" w:rsidRDefault="00E5752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b/>
                <w:color w:val="auto"/>
                <w:sz w:val="22"/>
                <w:szCs w:val="22"/>
              </w:rPr>
              <w:t xml:space="preserve">For completion by </w:t>
            </w:r>
            <w:r w:rsidR="00001C3B" w:rsidRPr="000C63A3">
              <w:rPr>
                <w:rFonts w:ascii="Arial" w:hAnsi="Arial" w:cs="Arial"/>
                <w:b/>
                <w:color w:val="auto"/>
                <w:sz w:val="22"/>
                <w:szCs w:val="22"/>
              </w:rPr>
              <w:t xml:space="preserve">the </w:t>
            </w:r>
            <w:r w:rsidRPr="000C63A3">
              <w:rPr>
                <w:rFonts w:ascii="Arial" w:hAnsi="Arial" w:cs="Arial"/>
                <w:b/>
                <w:color w:val="auto"/>
                <w:sz w:val="22"/>
                <w:szCs w:val="22"/>
              </w:rPr>
              <w:t>student</w:t>
            </w:r>
            <w:r w:rsidR="00001C3B" w:rsidRPr="000C63A3">
              <w:rPr>
                <w:rFonts w:ascii="Arial" w:hAnsi="Arial" w:cs="Arial"/>
                <w:color w:val="auto"/>
                <w:sz w:val="22"/>
                <w:szCs w:val="22"/>
              </w:rPr>
              <w:t>:</w:t>
            </w:r>
          </w:p>
        </w:tc>
      </w:tr>
      <w:tr w:rsidR="0065654E" w:rsidRPr="000C63A3" w14:paraId="7DB9CBFB" w14:textId="77777777" w:rsidTr="00A745B6">
        <w:trPr>
          <w:trHeight w:val="718"/>
        </w:trPr>
        <w:tc>
          <w:tcPr>
            <w:tcW w:w="8856" w:type="dxa"/>
            <w:gridSpan w:val="5"/>
          </w:tcPr>
          <w:p w14:paraId="603549EC" w14:textId="77777777" w:rsidR="0065654E" w:rsidRPr="000C63A3" w:rsidRDefault="0065654E"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Student Na</w:t>
            </w:r>
            <w:r w:rsidR="00CE3B79" w:rsidRPr="000C63A3">
              <w:rPr>
                <w:rFonts w:ascii="Arial" w:hAnsi="Arial" w:cs="Arial"/>
                <w:color w:val="auto"/>
                <w:sz w:val="22"/>
                <w:szCs w:val="22"/>
              </w:rPr>
              <w:t>me:</w:t>
            </w:r>
          </w:p>
          <w:p w14:paraId="7761CB1B" w14:textId="77777777" w:rsidR="00FA2A4C" w:rsidRPr="000C63A3" w:rsidRDefault="00470E35"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 xml:space="preserve">Megan </w:t>
            </w:r>
            <w:proofErr w:type="spellStart"/>
            <w:r w:rsidRPr="000C63A3">
              <w:rPr>
                <w:rFonts w:ascii="Arial" w:hAnsi="Arial" w:cs="Arial"/>
                <w:color w:val="auto"/>
                <w:sz w:val="22"/>
                <w:szCs w:val="22"/>
              </w:rPr>
              <w:t>Ceris</w:t>
            </w:r>
            <w:proofErr w:type="spellEnd"/>
            <w:r w:rsidRPr="000C63A3">
              <w:rPr>
                <w:rFonts w:ascii="Arial" w:hAnsi="Arial" w:cs="Arial"/>
                <w:color w:val="auto"/>
                <w:sz w:val="22"/>
                <w:szCs w:val="22"/>
              </w:rPr>
              <w:t xml:space="preserve"> John</w:t>
            </w:r>
          </w:p>
        </w:tc>
      </w:tr>
      <w:tr w:rsidR="00CE3B79" w:rsidRPr="000C63A3" w14:paraId="0E4BD2F3" w14:textId="77777777" w:rsidTr="00A745B6">
        <w:trPr>
          <w:trHeight w:val="849"/>
        </w:trPr>
        <w:tc>
          <w:tcPr>
            <w:tcW w:w="4788" w:type="dxa"/>
          </w:tcPr>
          <w:p w14:paraId="5BD36214" w14:textId="77777777" w:rsidR="00D67BF8"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Module code:</w:t>
            </w:r>
            <w:r w:rsidR="00470E35" w:rsidRPr="000C63A3">
              <w:rPr>
                <w:rFonts w:ascii="Arial" w:hAnsi="Arial" w:cs="Arial"/>
                <w:color w:val="auto"/>
                <w:sz w:val="22"/>
                <w:szCs w:val="22"/>
              </w:rPr>
              <w:t xml:space="preserve"> HPCA7005</w:t>
            </w:r>
          </w:p>
          <w:p w14:paraId="576689E2" w14:textId="77777777" w:rsidR="00D67BF8" w:rsidRPr="000C63A3" w:rsidRDefault="00D67BF8" w:rsidP="002F467C">
            <w:pPr>
              <w:pStyle w:val="NormalWeb"/>
              <w:spacing w:before="0" w:beforeAutospacing="0" w:after="0" w:afterAutospacing="0"/>
              <w:ind w:right="34"/>
              <w:rPr>
                <w:rFonts w:ascii="Arial" w:hAnsi="Arial" w:cs="Arial"/>
                <w:color w:val="auto"/>
                <w:sz w:val="22"/>
                <w:szCs w:val="22"/>
              </w:rPr>
            </w:pPr>
          </w:p>
          <w:p w14:paraId="13C47D2B" w14:textId="77777777" w:rsidR="00CE3B79"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Module title:</w:t>
            </w:r>
            <w:r w:rsidR="00470E35" w:rsidRPr="000C63A3">
              <w:rPr>
                <w:rFonts w:ascii="Arial" w:hAnsi="Arial" w:cs="Arial"/>
                <w:color w:val="auto"/>
                <w:sz w:val="22"/>
                <w:szCs w:val="22"/>
              </w:rPr>
              <w:t xml:space="preserve"> Cosmology, Magic and Divination</w:t>
            </w:r>
          </w:p>
          <w:p w14:paraId="74029AD5" w14:textId="77777777" w:rsidR="00A745B6" w:rsidRPr="000C63A3" w:rsidRDefault="00A745B6" w:rsidP="002F467C">
            <w:pPr>
              <w:pStyle w:val="NormalWeb"/>
              <w:spacing w:before="0" w:beforeAutospacing="0" w:after="0" w:afterAutospacing="0"/>
              <w:ind w:right="34"/>
              <w:rPr>
                <w:rFonts w:ascii="Arial" w:hAnsi="Arial" w:cs="Arial"/>
                <w:color w:val="auto"/>
                <w:sz w:val="22"/>
                <w:szCs w:val="22"/>
              </w:rPr>
            </w:pPr>
          </w:p>
          <w:p w14:paraId="22FAD0C5" w14:textId="77777777" w:rsidR="00A745B6" w:rsidRPr="000C63A3" w:rsidRDefault="00A745B6" w:rsidP="002F467C">
            <w:pPr>
              <w:pStyle w:val="NormalWeb"/>
              <w:spacing w:before="0" w:beforeAutospacing="0" w:after="0" w:afterAutospacing="0"/>
              <w:ind w:right="34"/>
              <w:rPr>
                <w:rFonts w:ascii="Arial" w:hAnsi="Arial" w:cs="Arial"/>
                <w:color w:val="auto"/>
                <w:sz w:val="22"/>
                <w:szCs w:val="22"/>
              </w:rPr>
            </w:pPr>
          </w:p>
        </w:tc>
        <w:tc>
          <w:tcPr>
            <w:tcW w:w="2266" w:type="dxa"/>
            <w:gridSpan w:val="3"/>
          </w:tcPr>
          <w:p w14:paraId="0B27E4EB" w14:textId="77777777" w:rsidR="00CE3B79"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Student ID number:</w:t>
            </w:r>
          </w:p>
          <w:p w14:paraId="1485CC90" w14:textId="77777777" w:rsidR="00470E35" w:rsidRPr="000C63A3" w:rsidRDefault="00470E35"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8075675</w:t>
            </w:r>
          </w:p>
        </w:tc>
        <w:tc>
          <w:tcPr>
            <w:tcW w:w="1802" w:type="dxa"/>
          </w:tcPr>
          <w:p w14:paraId="6C0564D6" w14:textId="77777777" w:rsidR="00CE3B79"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Educational support needs:</w:t>
            </w:r>
          </w:p>
          <w:p w14:paraId="25FA4C3F" w14:textId="77777777" w:rsidR="00CE3B79" w:rsidRPr="000C63A3" w:rsidRDefault="00CE3B79" w:rsidP="00470E35">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No</w:t>
            </w:r>
          </w:p>
        </w:tc>
      </w:tr>
      <w:tr w:rsidR="00CE3B79" w:rsidRPr="000C63A3" w14:paraId="3A0827E6" w14:textId="77777777" w:rsidTr="00A745B6">
        <w:trPr>
          <w:trHeight w:val="1139"/>
        </w:trPr>
        <w:tc>
          <w:tcPr>
            <w:tcW w:w="8856" w:type="dxa"/>
            <w:gridSpan w:val="5"/>
          </w:tcPr>
          <w:p w14:paraId="0DE86163" w14:textId="77777777" w:rsidR="00CE3B79" w:rsidRPr="000C63A3" w:rsidRDefault="00F75EB5"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Module tutor:</w:t>
            </w:r>
            <w:r w:rsidR="00470E35" w:rsidRPr="000C63A3">
              <w:rPr>
                <w:rFonts w:ascii="Arial" w:hAnsi="Arial" w:cs="Arial"/>
                <w:color w:val="auto"/>
                <w:sz w:val="22"/>
                <w:szCs w:val="22"/>
              </w:rPr>
              <w:t xml:space="preserve"> Chrystal </w:t>
            </w:r>
            <w:proofErr w:type="spellStart"/>
            <w:r w:rsidR="00470E35" w:rsidRPr="000C63A3">
              <w:rPr>
                <w:rFonts w:ascii="Arial" w:hAnsi="Arial" w:cs="Arial"/>
                <w:color w:val="auto"/>
                <w:sz w:val="22"/>
                <w:szCs w:val="22"/>
              </w:rPr>
              <w:t>Addey</w:t>
            </w:r>
            <w:proofErr w:type="spellEnd"/>
            <w:r w:rsidR="00470E35" w:rsidRPr="000C63A3">
              <w:rPr>
                <w:rFonts w:ascii="Arial" w:hAnsi="Arial" w:cs="Arial"/>
                <w:color w:val="auto"/>
                <w:sz w:val="22"/>
                <w:szCs w:val="22"/>
              </w:rPr>
              <w:t xml:space="preserve"> and Dorian </w:t>
            </w:r>
            <w:proofErr w:type="spellStart"/>
            <w:r w:rsidR="00470E35" w:rsidRPr="000C63A3">
              <w:rPr>
                <w:rFonts w:ascii="Arial" w:hAnsi="Arial" w:cs="Arial"/>
                <w:color w:val="auto"/>
                <w:sz w:val="22"/>
                <w:szCs w:val="22"/>
              </w:rPr>
              <w:t>Greenbaum</w:t>
            </w:r>
            <w:proofErr w:type="spellEnd"/>
          </w:p>
          <w:p w14:paraId="26ECD3C8" w14:textId="77777777" w:rsidR="00D67BF8" w:rsidRPr="000C63A3" w:rsidRDefault="00D67BF8" w:rsidP="002F467C">
            <w:pPr>
              <w:pStyle w:val="NormalWeb"/>
              <w:spacing w:before="0" w:beforeAutospacing="0" w:after="0" w:afterAutospacing="0"/>
              <w:ind w:right="34"/>
              <w:rPr>
                <w:rFonts w:ascii="Arial" w:hAnsi="Arial" w:cs="Arial"/>
                <w:color w:val="auto"/>
                <w:sz w:val="22"/>
                <w:szCs w:val="22"/>
              </w:rPr>
            </w:pPr>
          </w:p>
          <w:p w14:paraId="668557B3" w14:textId="77777777" w:rsidR="00230F35" w:rsidRPr="000C63A3" w:rsidRDefault="00230F35" w:rsidP="002F467C">
            <w:pPr>
              <w:pStyle w:val="NormalWeb"/>
              <w:spacing w:before="0" w:beforeAutospacing="0" w:after="0" w:afterAutospacing="0"/>
              <w:ind w:right="34"/>
              <w:rPr>
                <w:rFonts w:ascii="Arial" w:hAnsi="Arial" w:cs="Arial"/>
                <w:color w:val="auto"/>
                <w:sz w:val="22"/>
                <w:szCs w:val="22"/>
              </w:rPr>
            </w:pPr>
          </w:p>
          <w:p w14:paraId="24826923" w14:textId="77777777" w:rsidR="00D67BF8" w:rsidRPr="000C63A3" w:rsidRDefault="00B42501"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Assignment due date:</w:t>
            </w:r>
            <w:r w:rsidR="00470E35" w:rsidRPr="000C63A3">
              <w:rPr>
                <w:rFonts w:ascii="Arial" w:hAnsi="Arial" w:cs="Arial"/>
                <w:color w:val="auto"/>
                <w:sz w:val="22"/>
                <w:szCs w:val="22"/>
              </w:rPr>
              <w:t xml:space="preserve"> 29.07.2019</w:t>
            </w:r>
          </w:p>
        </w:tc>
      </w:tr>
      <w:tr w:rsidR="00230F35" w:rsidRPr="000C63A3" w14:paraId="1EFF8FFD" w14:textId="77777777" w:rsidTr="00A745B6">
        <w:trPr>
          <w:trHeight w:val="978"/>
        </w:trPr>
        <w:tc>
          <w:tcPr>
            <w:tcW w:w="8856" w:type="dxa"/>
            <w:gridSpan w:val="5"/>
            <w:tcBorders>
              <w:bottom w:val="single" w:sz="4" w:space="0" w:color="000000"/>
            </w:tcBorders>
          </w:tcPr>
          <w:p w14:paraId="65EF87A2" w14:textId="77777777" w:rsidR="00F75EB5" w:rsidRPr="000C63A3" w:rsidRDefault="00F75EB5" w:rsidP="00F75EB5">
            <w:pPr>
              <w:rPr>
                <w:rFonts w:ascii="Arial" w:hAnsi="Arial" w:cs="Arial"/>
                <w:sz w:val="22"/>
                <w:szCs w:val="22"/>
              </w:rPr>
            </w:pPr>
            <w:r w:rsidRPr="000C63A3">
              <w:rPr>
                <w:rFonts w:ascii="Arial" w:hAnsi="Arial" w:cs="Arial"/>
                <w:sz w:val="22"/>
                <w:szCs w:val="22"/>
              </w:rPr>
              <w:t>If your module has multiple submissions please indicate which piece of work this is.</w:t>
            </w:r>
          </w:p>
          <w:p w14:paraId="31332CF7" w14:textId="77777777" w:rsidR="00F75EB5" w:rsidRPr="000C63A3" w:rsidRDefault="00F75EB5" w:rsidP="00F75EB5">
            <w:pPr>
              <w:rPr>
                <w:rFonts w:ascii="Arial" w:hAnsi="Arial" w:cs="Arial"/>
                <w:sz w:val="22"/>
                <w:szCs w:val="22"/>
              </w:rPr>
            </w:pPr>
          </w:p>
          <w:p w14:paraId="1350D4C7" w14:textId="77777777" w:rsidR="00230F35" w:rsidRPr="000C63A3" w:rsidRDefault="00230F35" w:rsidP="00470E35">
            <w:pPr>
              <w:rPr>
                <w:rFonts w:ascii="Arial" w:hAnsi="Arial" w:cs="Arial"/>
                <w:sz w:val="22"/>
                <w:szCs w:val="22"/>
              </w:rPr>
            </w:pPr>
            <w:r w:rsidRPr="000C63A3">
              <w:rPr>
                <w:rFonts w:ascii="Arial" w:hAnsi="Arial" w:cs="Arial"/>
                <w:sz w:val="22"/>
                <w:szCs w:val="22"/>
              </w:rPr>
              <w:t>1</w:t>
            </w:r>
            <w:r w:rsidRPr="000C63A3">
              <w:rPr>
                <w:rFonts w:ascii="Arial" w:hAnsi="Arial" w:cs="Arial"/>
                <w:sz w:val="22"/>
                <w:szCs w:val="22"/>
                <w:vertAlign w:val="superscript"/>
              </w:rPr>
              <w:t xml:space="preserve">st </w:t>
            </w:r>
            <w:r w:rsidR="00470E35" w:rsidRPr="000C63A3">
              <w:rPr>
                <w:rFonts w:ascii="Arial" w:hAnsi="Arial" w:cs="Arial"/>
                <w:sz w:val="22"/>
                <w:szCs w:val="22"/>
              </w:rPr>
              <w:fldChar w:fldCharType="begin">
                <w:ffData>
                  <w:name w:val="Check13"/>
                  <w:enabled/>
                  <w:calcOnExit w:val="0"/>
                  <w:checkBox>
                    <w:sizeAuto/>
                    <w:default w:val="1"/>
                  </w:checkBox>
                </w:ffData>
              </w:fldChar>
            </w:r>
            <w:bookmarkStart w:id="0" w:name="Check13"/>
            <w:r w:rsidR="00470E35" w:rsidRPr="000C63A3">
              <w:rPr>
                <w:rFonts w:ascii="Arial" w:hAnsi="Arial" w:cs="Arial"/>
                <w:sz w:val="22"/>
                <w:szCs w:val="22"/>
              </w:rPr>
              <w:instrText xml:space="preserve"> FORMCHECKBOX </w:instrText>
            </w:r>
            <w:r w:rsidR="00470E35" w:rsidRPr="000C63A3">
              <w:rPr>
                <w:rFonts w:ascii="Arial" w:hAnsi="Arial" w:cs="Arial"/>
                <w:sz w:val="22"/>
                <w:szCs w:val="22"/>
              </w:rPr>
            </w:r>
            <w:r w:rsidR="00470E35" w:rsidRPr="000C63A3">
              <w:rPr>
                <w:rFonts w:ascii="Arial" w:hAnsi="Arial" w:cs="Arial"/>
                <w:sz w:val="22"/>
                <w:szCs w:val="22"/>
              </w:rPr>
              <w:fldChar w:fldCharType="end"/>
            </w:r>
            <w:bookmarkEnd w:id="0"/>
            <w:proofErr w:type="gramStart"/>
            <w:r w:rsidRPr="000C63A3">
              <w:rPr>
                <w:rFonts w:ascii="Arial" w:hAnsi="Arial" w:cs="Arial"/>
                <w:sz w:val="22"/>
                <w:szCs w:val="22"/>
              </w:rPr>
              <w:t xml:space="preserve">    2</w:t>
            </w:r>
            <w:r w:rsidRPr="000C63A3">
              <w:rPr>
                <w:rFonts w:ascii="Arial" w:hAnsi="Arial" w:cs="Arial"/>
                <w:sz w:val="22"/>
                <w:szCs w:val="22"/>
                <w:vertAlign w:val="superscript"/>
              </w:rPr>
              <w:t>nd</w:t>
            </w:r>
            <w:proofErr w:type="gramEnd"/>
            <w:r w:rsidRPr="000C63A3">
              <w:rPr>
                <w:rFonts w:ascii="Arial" w:hAnsi="Arial" w:cs="Arial"/>
                <w:sz w:val="22"/>
                <w:szCs w:val="22"/>
              </w:rPr>
              <w:t xml:space="preserve">  </w:t>
            </w:r>
            <w:r w:rsidRPr="000C63A3">
              <w:rPr>
                <w:rFonts w:ascii="Arial" w:hAnsi="Arial" w:cs="Arial"/>
                <w:sz w:val="22"/>
                <w:szCs w:val="22"/>
              </w:rPr>
              <w:fldChar w:fldCharType="begin">
                <w:ffData>
                  <w:name w:val="Check14"/>
                  <w:enabled/>
                  <w:calcOnExit w:val="0"/>
                  <w:checkBox>
                    <w:sizeAuto/>
                    <w:default w:val="0"/>
                  </w:checkBox>
                </w:ffData>
              </w:fldChar>
            </w:r>
            <w:bookmarkStart w:id="1" w:name="Check14"/>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1"/>
            <w:r w:rsidRPr="000C63A3">
              <w:rPr>
                <w:rFonts w:ascii="Arial" w:hAnsi="Arial" w:cs="Arial"/>
                <w:sz w:val="22"/>
                <w:szCs w:val="22"/>
              </w:rPr>
              <w:t xml:space="preserve">     3</w:t>
            </w:r>
            <w:r w:rsidRPr="000C63A3">
              <w:rPr>
                <w:rFonts w:ascii="Arial" w:hAnsi="Arial" w:cs="Arial"/>
                <w:sz w:val="22"/>
                <w:szCs w:val="22"/>
                <w:vertAlign w:val="superscript"/>
              </w:rPr>
              <w:t>rd</w:t>
            </w:r>
            <w:r w:rsidRPr="000C63A3">
              <w:rPr>
                <w:rFonts w:ascii="Arial" w:hAnsi="Arial" w:cs="Arial"/>
                <w:sz w:val="22"/>
                <w:szCs w:val="22"/>
              </w:rPr>
              <w:t xml:space="preserve">  </w:t>
            </w:r>
            <w:r w:rsidRPr="000C63A3">
              <w:rPr>
                <w:rFonts w:ascii="Arial" w:hAnsi="Arial" w:cs="Arial"/>
                <w:sz w:val="22"/>
                <w:szCs w:val="22"/>
              </w:rPr>
              <w:fldChar w:fldCharType="begin">
                <w:ffData>
                  <w:name w:val="Check15"/>
                  <w:enabled/>
                  <w:calcOnExit w:val="0"/>
                  <w:checkBox>
                    <w:sizeAuto/>
                    <w:default w:val="0"/>
                  </w:checkBox>
                </w:ffData>
              </w:fldChar>
            </w:r>
            <w:bookmarkStart w:id="2" w:name="Check15"/>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2"/>
            <w:r w:rsidRPr="000C63A3">
              <w:rPr>
                <w:rFonts w:ascii="Arial" w:hAnsi="Arial" w:cs="Arial"/>
                <w:sz w:val="22"/>
                <w:szCs w:val="22"/>
              </w:rPr>
              <w:t xml:space="preserve">      4</w:t>
            </w:r>
            <w:r w:rsidRPr="000C63A3">
              <w:rPr>
                <w:rFonts w:ascii="Arial" w:hAnsi="Arial" w:cs="Arial"/>
                <w:sz w:val="22"/>
                <w:szCs w:val="22"/>
                <w:vertAlign w:val="superscript"/>
              </w:rPr>
              <w:t>th</w:t>
            </w:r>
            <w:r w:rsidRPr="000C63A3">
              <w:rPr>
                <w:rFonts w:ascii="Arial" w:hAnsi="Arial" w:cs="Arial"/>
                <w:sz w:val="22"/>
                <w:szCs w:val="22"/>
              </w:rPr>
              <w:t xml:space="preserve"> </w:t>
            </w:r>
            <w:r w:rsidRPr="000C63A3">
              <w:rPr>
                <w:rFonts w:ascii="Arial" w:hAnsi="Arial" w:cs="Arial"/>
                <w:sz w:val="22"/>
                <w:szCs w:val="22"/>
              </w:rPr>
              <w:fldChar w:fldCharType="begin">
                <w:ffData>
                  <w:name w:val="Check16"/>
                  <w:enabled/>
                  <w:calcOnExit w:val="0"/>
                  <w:checkBox>
                    <w:sizeAuto/>
                    <w:default w:val="0"/>
                  </w:checkBox>
                </w:ffData>
              </w:fldChar>
            </w:r>
            <w:bookmarkStart w:id="3" w:name="Check16"/>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3"/>
            <w:r w:rsidRPr="000C63A3">
              <w:rPr>
                <w:rFonts w:ascii="Arial" w:hAnsi="Arial" w:cs="Arial"/>
                <w:sz w:val="22"/>
                <w:szCs w:val="22"/>
              </w:rPr>
              <w:t xml:space="preserve">      5</w:t>
            </w:r>
            <w:r w:rsidRPr="000C63A3">
              <w:rPr>
                <w:rFonts w:ascii="Arial" w:hAnsi="Arial" w:cs="Arial"/>
                <w:sz w:val="22"/>
                <w:szCs w:val="22"/>
                <w:vertAlign w:val="superscript"/>
              </w:rPr>
              <w:t>th</w:t>
            </w:r>
            <w:r w:rsidRPr="000C63A3">
              <w:rPr>
                <w:rFonts w:ascii="Arial" w:hAnsi="Arial" w:cs="Arial"/>
                <w:sz w:val="22"/>
                <w:szCs w:val="22"/>
              </w:rPr>
              <w:t xml:space="preserve"> </w:t>
            </w:r>
            <w:r w:rsidRPr="000C63A3">
              <w:rPr>
                <w:rFonts w:ascii="Arial" w:hAnsi="Arial" w:cs="Arial"/>
                <w:sz w:val="22"/>
                <w:szCs w:val="22"/>
              </w:rPr>
              <w:fldChar w:fldCharType="begin">
                <w:ffData>
                  <w:name w:val="Check17"/>
                  <w:enabled/>
                  <w:calcOnExit w:val="0"/>
                  <w:checkBox>
                    <w:sizeAuto/>
                    <w:default w:val="0"/>
                  </w:checkBox>
                </w:ffData>
              </w:fldChar>
            </w:r>
            <w:bookmarkStart w:id="4" w:name="Check17"/>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4"/>
            <w:r w:rsidRPr="000C63A3">
              <w:rPr>
                <w:rFonts w:ascii="Arial" w:hAnsi="Arial" w:cs="Arial"/>
                <w:sz w:val="22"/>
                <w:szCs w:val="22"/>
              </w:rPr>
              <w:t xml:space="preserve">      6</w:t>
            </w:r>
            <w:r w:rsidRPr="000C63A3">
              <w:rPr>
                <w:rFonts w:ascii="Arial" w:hAnsi="Arial" w:cs="Arial"/>
                <w:sz w:val="22"/>
                <w:szCs w:val="22"/>
                <w:vertAlign w:val="superscript"/>
              </w:rPr>
              <w:t>th</w:t>
            </w:r>
            <w:r w:rsidRPr="000C63A3">
              <w:rPr>
                <w:rFonts w:ascii="Arial" w:hAnsi="Arial" w:cs="Arial"/>
                <w:sz w:val="22"/>
                <w:szCs w:val="22"/>
              </w:rPr>
              <w:t xml:space="preserve"> </w:t>
            </w:r>
            <w:r w:rsidRPr="000C63A3">
              <w:rPr>
                <w:rFonts w:ascii="Arial" w:hAnsi="Arial" w:cs="Arial"/>
                <w:sz w:val="22"/>
                <w:szCs w:val="22"/>
              </w:rPr>
              <w:fldChar w:fldCharType="begin">
                <w:ffData>
                  <w:name w:val="Check18"/>
                  <w:enabled/>
                  <w:calcOnExit w:val="0"/>
                  <w:checkBox>
                    <w:sizeAuto/>
                    <w:default w:val="0"/>
                  </w:checkBox>
                </w:ffData>
              </w:fldChar>
            </w:r>
            <w:bookmarkStart w:id="5" w:name="Check18"/>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5"/>
          </w:p>
        </w:tc>
      </w:tr>
      <w:tr w:rsidR="00901157" w:rsidRPr="000C63A3" w14:paraId="5B28DDC4" w14:textId="77777777" w:rsidTr="00A745B6">
        <w:trPr>
          <w:trHeight w:val="978"/>
        </w:trPr>
        <w:tc>
          <w:tcPr>
            <w:tcW w:w="8856" w:type="dxa"/>
            <w:gridSpan w:val="5"/>
            <w:shd w:val="clear" w:color="auto" w:fill="D9D9D9"/>
          </w:tcPr>
          <w:p w14:paraId="4D43B181" w14:textId="77777777" w:rsidR="00901157" w:rsidRPr="000C63A3" w:rsidRDefault="00901157"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I confirm that this is my original work and that I have adhered to the University policy on plagiarism.</w:t>
            </w:r>
          </w:p>
          <w:p w14:paraId="38FD7E7A" w14:textId="77777777" w:rsidR="00901157" w:rsidRPr="000C63A3" w:rsidRDefault="00901157"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Signed ……</w:t>
            </w:r>
            <w:r w:rsidR="00470E35" w:rsidRPr="000C63A3">
              <w:rPr>
                <w:rFonts w:ascii="Arial" w:hAnsi="Arial" w:cs="Arial"/>
                <w:color w:val="auto"/>
                <w:sz w:val="22"/>
                <w:szCs w:val="22"/>
              </w:rPr>
              <w:t>Megan John</w:t>
            </w:r>
            <w:r w:rsidRPr="000C63A3">
              <w:rPr>
                <w:rFonts w:ascii="Arial" w:hAnsi="Arial" w:cs="Arial"/>
                <w:color w:val="auto"/>
                <w:sz w:val="22"/>
                <w:szCs w:val="22"/>
              </w:rPr>
              <w:t>………………</w:t>
            </w:r>
            <w:r w:rsidR="00AE3217" w:rsidRPr="000C63A3">
              <w:rPr>
                <w:rFonts w:ascii="Arial" w:hAnsi="Arial" w:cs="Arial"/>
                <w:color w:val="auto"/>
                <w:sz w:val="22"/>
                <w:szCs w:val="22"/>
              </w:rPr>
              <w:t>………</w:t>
            </w:r>
          </w:p>
          <w:p w14:paraId="6FE9D546" w14:textId="77777777" w:rsidR="00B462B1" w:rsidRPr="000C63A3" w:rsidRDefault="00B462B1" w:rsidP="00B462B1">
            <w:pPr>
              <w:pStyle w:val="NormalWeb"/>
              <w:spacing w:before="0" w:beforeAutospacing="0" w:after="0" w:afterAutospacing="0"/>
              <w:ind w:right="34"/>
              <w:rPr>
                <w:rFonts w:ascii="Calibri" w:hAnsi="Calibri" w:cs="Calibri"/>
                <w:b/>
                <w:color w:val="auto"/>
                <w:sz w:val="44"/>
                <w:szCs w:val="44"/>
              </w:rPr>
            </w:pPr>
            <w:r w:rsidRPr="000C63A3">
              <w:rPr>
                <w:rFonts w:ascii="Calibri" w:hAnsi="Calibri" w:cs="Tahoma"/>
                <w:b/>
                <w:color w:val="auto"/>
                <w:sz w:val="24"/>
                <w:szCs w:val="24"/>
              </w:rPr>
              <w:t>Email submission:</w:t>
            </w:r>
            <w:r w:rsidR="002C55E9" w:rsidRPr="000C63A3">
              <w:rPr>
                <w:rFonts w:ascii="Calibri" w:hAnsi="Calibri" w:cs="Tahoma"/>
                <w:b/>
                <w:color w:val="auto"/>
                <w:sz w:val="24"/>
                <w:szCs w:val="24"/>
              </w:rPr>
              <w:t xml:space="preserve"> </w:t>
            </w:r>
            <w:r w:rsidRPr="000C63A3">
              <w:rPr>
                <w:rFonts w:ascii="Calibri" w:hAnsi="Calibri" w:cs="Tahoma"/>
                <w:b/>
                <w:color w:val="auto"/>
                <w:sz w:val="24"/>
                <w:szCs w:val="24"/>
              </w:rPr>
              <w:t xml:space="preserve">if you are submitting this form via email, please tick this box </w:t>
            </w:r>
            <w:r w:rsidRPr="000C63A3">
              <w:rPr>
                <w:rFonts w:ascii="Calibri" w:hAnsi="Calibri" w:cs="Calibri"/>
                <w:b/>
                <w:color w:val="auto"/>
                <w:sz w:val="44"/>
                <w:szCs w:val="44"/>
              </w:rPr>
              <w:t>□</w:t>
            </w:r>
          </w:p>
          <w:p w14:paraId="78A7DF27" w14:textId="77777777" w:rsidR="00B462B1" w:rsidRPr="000C63A3" w:rsidRDefault="00B462B1" w:rsidP="00B462B1">
            <w:pPr>
              <w:pStyle w:val="NormalWeb"/>
              <w:spacing w:before="0" w:beforeAutospacing="0" w:after="0" w:afterAutospacing="0"/>
              <w:ind w:right="34"/>
              <w:rPr>
                <w:rFonts w:ascii="Arial" w:hAnsi="Arial" w:cs="Arial"/>
                <w:color w:val="auto"/>
                <w:sz w:val="22"/>
                <w:szCs w:val="22"/>
              </w:rPr>
            </w:pPr>
            <w:r w:rsidRPr="000C63A3">
              <w:rPr>
                <w:rFonts w:ascii="Calibri" w:hAnsi="Calibri" w:cs="Tahoma"/>
                <w:b/>
                <w:color w:val="auto"/>
                <w:sz w:val="24"/>
                <w:szCs w:val="24"/>
              </w:rPr>
              <w:t>(</w:t>
            </w:r>
            <w:proofErr w:type="gramStart"/>
            <w:r w:rsidRPr="000C63A3">
              <w:rPr>
                <w:rFonts w:ascii="Calibri" w:hAnsi="Calibri" w:cs="Tahoma"/>
                <w:b/>
                <w:color w:val="auto"/>
                <w:sz w:val="24"/>
                <w:szCs w:val="24"/>
              </w:rPr>
              <w:t>as</w:t>
            </w:r>
            <w:proofErr w:type="gramEnd"/>
            <w:r w:rsidRPr="000C63A3">
              <w:rPr>
                <w:rFonts w:ascii="Calibri" w:hAnsi="Calibri" w:cs="Tahoma"/>
                <w:b/>
                <w:color w:val="auto"/>
                <w:sz w:val="24"/>
                <w:szCs w:val="24"/>
              </w:rPr>
              <w:t xml:space="preserve"> a substitute for your signature) to confirm that you agree to the above declaration.</w:t>
            </w:r>
          </w:p>
        </w:tc>
      </w:tr>
      <w:tr w:rsidR="00590E9A" w:rsidRPr="000C63A3" w14:paraId="45D0FCD9" w14:textId="77777777" w:rsidTr="00A745B6">
        <w:trPr>
          <w:trHeight w:val="3972"/>
        </w:trPr>
        <w:tc>
          <w:tcPr>
            <w:tcW w:w="8856" w:type="dxa"/>
            <w:gridSpan w:val="5"/>
          </w:tcPr>
          <w:p w14:paraId="49D0991F" w14:textId="77777777" w:rsidR="00A745B6" w:rsidRPr="000C63A3" w:rsidRDefault="00A745B6" w:rsidP="00A745B6">
            <w:pPr>
              <w:rPr>
                <w:rFonts w:ascii="Arial" w:hAnsi="Arial"/>
                <w:b/>
              </w:rPr>
            </w:pPr>
          </w:p>
          <w:p w14:paraId="628F09D5" w14:textId="77777777" w:rsidR="00A745B6" w:rsidRPr="000C63A3" w:rsidRDefault="00A745B6" w:rsidP="00A745B6">
            <w:pPr>
              <w:rPr>
                <w:rFonts w:ascii="Arial" w:hAnsi="Arial"/>
              </w:rPr>
            </w:pPr>
            <w:r w:rsidRPr="000C63A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0C63A3" w14:paraId="1C66EC60" w14:textId="77777777" w:rsidTr="00022345">
              <w:tc>
                <w:tcPr>
                  <w:tcW w:w="6970" w:type="dxa"/>
                </w:tcPr>
                <w:p w14:paraId="24792CD6" w14:textId="77777777" w:rsidR="00A745B6" w:rsidRPr="000C63A3" w:rsidRDefault="00A745B6" w:rsidP="009C1A08">
                  <w:pPr>
                    <w:rPr>
                      <w:rFonts w:ascii="Arial" w:hAnsi="Arial"/>
                      <w:sz w:val="20"/>
                      <w:szCs w:val="20"/>
                    </w:rPr>
                  </w:pPr>
                </w:p>
                <w:p w14:paraId="57B9DC44" w14:textId="77777777" w:rsidR="00A745B6" w:rsidRPr="000C63A3" w:rsidRDefault="00A745B6" w:rsidP="009C1A08">
                  <w:pPr>
                    <w:rPr>
                      <w:rFonts w:ascii="Arial" w:hAnsi="Arial"/>
                      <w:sz w:val="20"/>
                      <w:szCs w:val="20"/>
                    </w:rPr>
                  </w:pPr>
                  <w:r w:rsidRPr="000C63A3">
                    <w:rPr>
                      <w:rFonts w:ascii="Arial" w:hAnsi="Arial"/>
                      <w:sz w:val="20"/>
                      <w:szCs w:val="20"/>
                    </w:rPr>
                    <w:t>1</w:t>
                  </w:r>
                  <w:r w:rsidRPr="000C63A3">
                    <w:rPr>
                      <w:rFonts w:ascii="Arial" w:hAnsi="Arial"/>
                      <w:sz w:val="20"/>
                      <w:szCs w:val="20"/>
                      <w:vertAlign w:val="superscript"/>
                    </w:rPr>
                    <w:t>st</w:t>
                  </w:r>
                  <w:r w:rsidRPr="000C63A3">
                    <w:rPr>
                      <w:rFonts w:ascii="Arial" w:hAnsi="Arial"/>
                      <w:sz w:val="20"/>
                      <w:szCs w:val="20"/>
                    </w:rPr>
                    <w:t xml:space="preserve"> Marker’s Provisional mark</w:t>
                  </w:r>
                </w:p>
              </w:tc>
              <w:tc>
                <w:tcPr>
                  <w:tcW w:w="1660" w:type="dxa"/>
                </w:tcPr>
                <w:p w14:paraId="10440455" w14:textId="77777777" w:rsidR="00A745B6" w:rsidRPr="000C63A3" w:rsidRDefault="00A745B6" w:rsidP="009C1A08">
                  <w:pPr>
                    <w:rPr>
                      <w:rFonts w:ascii="Arial" w:hAnsi="Arial"/>
                      <w:sz w:val="20"/>
                      <w:szCs w:val="20"/>
                    </w:rPr>
                  </w:pPr>
                </w:p>
              </w:tc>
            </w:tr>
            <w:tr w:rsidR="00A745B6" w:rsidRPr="000C63A3" w14:paraId="3C4F5E79" w14:textId="77777777" w:rsidTr="00022345">
              <w:tc>
                <w:tcPr>
                  <w:tcW w:w="6970" w:type="dxa"/>
                </w:tcPr>
                <w:p w14:paraId="3386DAE5" w14:textId="77777777" w:rsidR="00A745B6" w:rsidRPr="000C63A3" w:rsidRDefault="00A745B6" w:rsidP="009C1A08">
                  <w:pPr>
                    <w:rPr>
                      <w:rFonts w:ascii="Arial" w:hAnsi="Arial"/>
                      <w:sz w:val="20"/>
                      <w:szCs w:val="20"/>
                    </w:rPr>
                  </w:pPr>
                </w:p>
                <w:p w14:paraId="5788499F" w14:textId="77777777" w:rsidR="00A745B6" w:rsidRPr="000C63A3" w:rsidRDefault="00A745B6" w:rsidP="009C1A08">
                  <w:pPr>
                    <w:rPr>
                      <w:rFonts w:ascii="Arial" w:hAnsi="Arial"/>
                      <w:sz w:val="20"/>
                      <w:szCs w:val="20"/>
                    </w:rPr>
                  </w:pPr>
                  <w:r w:rsidRPr="000C63A3">
                    <w:rPr>
                      <w:rFonts w:ascii="Arial" w:hAnsi="Arial"/>
                      <w:sz w:val="20"/>
                      <w:szCs w:val="20"/>
                    </w:rPr>
                    <w:t>2</w:t>
                  </w:r>
                  <w:r w:rsidRPr="000C63A3">
                    <w:rPr>
                      <w:rFonts w:ascii="Arial" w:hAnsi="Arial"/>
                      <w:sz w:val="20"/>
                      <w:szCs w:val="20"/>
                      <w:vertAlign w:val="superscript"/>
                    </w:rPr>
                    <w:t>nd</w:t>
                  </w:r>
                  <w:r w:rsidRPr="000C63A3">
                    <w:rPr>
                      <w:rFonts w:ascii="Arial" w:hAnsi="Arial"/>
                      <w:sz w:val="20"/>
                      <w:szCs w:val="20"/>
                    </w:rPr>
                    <w:t xml:space="preserve"> Marker</w:t>
                  </w:r>
                  <w:r w:rsidR="00022345" w:rsidRPr="000C63A3">
                    <w:rPr>
                      <w:rFonts w:ascii="Arial" w:hAnsi="Arial"/>
                      <w:sz w:val="20"/>
                      <w:szCs w:val="20"/>
                    </w:rPr>
                    <w:t>’s/Moderator’s</w:t>
                  </w:r>
                  <w:r w:rsidRPr="000C63A3">
                    <w:rPr>
                      <w:rFonts w:ascii="Arial" w:hAnsi="Arial"/>
                      <w:sz w:val="20"/>
                      <w:szCs w:val="20"/>
                    </w:rPr>
                    <w:t xml:space="preserve"> provisional mark</w:t>
                  </w:r>
                </w:p>
              </w:tc>
              <w:tc>
                <w:tcPr>
                  <w:tcW w:w="1660" w:type="dxa"/>
                </w:tcPr>
                <w:p w14:paraId="227D4F13" w14:textId="77777777" w:rsidR="00A745B6" w:rsidRPr="000C63A3" w:rsidRDefault="00A745B6" w:rsidP="009C1A08">
                  <w:pPr>
                    <w:rPr>
                      <w:rFonts w:ascii="Arial" w:hAnsi="Arial"/>
                      <w:sz w:val="20"/>
                      <w:szCs w:val="20"/>
                    </w:rPr>
                  </w:pPr>
                </w:p>
              </w:tc>
            </w:tr>
            <w:tr w:rsidR="00963B31" w:rsidRPr="000C63A3" w14:paraId="32E43606" w14:textId="77777777" w:rsidTr="00022345">
              <w:tc>
                <w:tcPr>
                  <w:tcW w:w="6970" w:type="dxa"/>
                </w:tcPr>
                <w:p w14:paraId="4BE8283D" w14:textId="77777777" w:rsidR="00963B31" w:rsidRPr="000C63A3" w:rsidRDefault="00963B31" w:rsidP="009C1A08">
                  <w:pPr>
                    <w:rPr>
                      <w:rFonts w:ascii="Arial" w:hAnsi="Arial"/>
                      <w:sz w:val="20"/>
                      <w:szCs w:val="20"/>
                    </w:rPr>
                  </w:pPr>
                  <w:r w:rsidRPr="000C63A3">
                    <w:rPr>
                      <w:rFonts w:ascii="Arial" w:hAnsi="Arial"/>
                      <w:sz w:val="20"/>
                      <w:szCs w:val="20"/>
                    </w:rPr>
                    <w:t xml:space="preserve">Agreed Internal Mark: </w:t>
                  </w:r>
                </w:p>
                <w:p w14:paraId="245C95A9" w14:textId="77777777" w:rsidR="00963B31" w:rsidRPr="000C63A3" w:rsidRDefault="00963B31" w:rsidP="009C1A08">
                  <w:pPr>
                    <w:rPr>
                      <w:rFonts w:ascii="Arial" w:hAnsi="Arial"/>
                      <w:sz w:val="20"/>
                      <w:szCs w:val="20"/>
                      <w:highlight w:val="yellow"/>
                    </w:rPr>
                  </w:pPr>
                </w:p>
              </w:tc>
              <w:tc>
                <w:tcPr>
                  <w:tcW w:w="1660" w:type="dxa"/>
                </w:tcPr>
                <w:p w14:paraId="0EE644A5" w14:textId="77777777" w:rsidR="00963B31" w:rsidRPr="000C63A3" w:rsidRDefault="00963B31" w:rsidP="009C1A08">
                  <w:pPr>
                    <w:rPr>
                      <w:rFonts w:ascii="Arial" w:hAnsi="Arial"/>
                      <w:sz w:val="20"/>
                      <w:szCs w:val="20"/>
                      <w:highlight w:val="yellow"/>
                    </w:rPr>
                  </w:pPr>
                </w:p>
              </w:tc>
            </w:tr>
            <w:tr w:rsidR="00A745B6" w:rsidRPr="000C63A3" w14:paraId="7FACFE86" w14:textId="77777777" w:rsidTr="00022345">
              <w:tc>
                <w:tcPr>
                  <w:tcW w:w="6970" w:type="dxa"/>
                </w:tcPr>
                <w:p w14:paraId="77F953FA" w14:textId="77777777" w:rsidR="00A745B6" w:rsidRPr="000C63A3" w:rsidRDefault="00A745B6" w:rsidP="009C1A08">
                  <w:pPr>
                    <w:rPr>
                      <w:rFonts w:ascii="Arial" w:hAnsi="Arial"/>
                      <w:sz w:val="20"/>
                      <w:szCs w:val="20"/>
                    </w:rPr>
                  </w:pPr>
                </w:p>
                <w:p w14:paraId="331788D2" w14:textId="77777777" w:rsidR="00A745B6" w:rsidRPr="000C63A3" w:rsidRDefault="00A745B6" w:rsidP="009C1A08">
                  <w:pPr>
                    <w:rPr>
                      <w:rFonts w:ascii="Arial" w:hAnsi="Arial"/>
                      <w:sz w:val="20"/>
                      <w:szCs w:val="20"/>
                    </w:rPr>
                  </w:pPr>
                  <w:r w:rsidRPr="000C63A3">
                    <w:rPr>
                      <w:rFonts w:ascii="Arial" w:hAnsi="Arial"/>
                      <w:sz w:val="20"/>
                      <w:szCs w:val="20"/>
                    </w:rPr>
                    <w:t>External Examiner’s mark (if relevant)</w:t>
                  </w:r>
                </w:p>
              </w:tc>
              <w:tc>
                <w:tcPr>
                  <w:tcW w:w="1660" w:type="dxa"/>
                </w:tcPr>
                <w:p w14:paraId="28E8A274" w14:textId="77777777" w:rsidR="00A745B6" w:rsidRPr="000C63A3" w:rsidRDefault="00A745B6" w:rsidP="009C1A08">
                  <w:pPr>
                    <w:rPr>
                      <w:rFonts w:ascii="Arial" w:hAnsi="Arial"/>
                      <w:sz w:val="20"/>
                      <w:szCs w:val="20"/>
                    </w:rPr>
                  </w:pPr>
                </w:p>
              </w:tc>
            </w:tr>
            <w:tr w:rsidR="00A745B6" w:rsidRPr="000C63A3" w14:paraId="569C24DD" w14:textId="77777777" w:rsidTr="00022345">
              <w:tc>
                <w:tcPr>
                  <w:tcW w:w="6970" w:type="dxa"/>
                </w:tcPr>
                <w:p w14:paraId="2AAD5856" w14:textId="77777777" w:rsidR="00A745B6" w:rsidRPr="000C63A3" w:rsidRDefault="00A745B6" w:rsidP="009C1A08">
                  <w:pPr>
                    <w:rPr>
                      <w:rFonts w:ascii="Arial" w:hAnsi="Arial"/>
                      <w:sz w:val="20"/>
                      <w:szCs w:val="20"/>
                    </w:rPr>
                  </w:pPr>
                </w:p>
                <w:p w14:paraId="5722A63F" w14:textId="77777777" w:rsidR="00A745B6" w:rsidRPr="000C63A3" w:rsidRDefault="00A745B6" w:rsidP="009C1A08">
                  <w:pPr>
                    <w:rPr>
                      <w:rFonts w:ascii="Arial" w:hAnsi="Arial"/>
                      <w:b/>
                      <w:sz w:val="20"/>
                      <w:szCs w:val="20"/>
                    </w:rPr>
                  </w:pPr>
                  <w:r w:rsidRPr="000C63A3">
                    <w:rPr>
                      <w:rFonts w:ascii="Arial" w:hAnsi="Arial"/>
                      <w:b/>
                      <w:sz w:val="20"/>
                      <w:szCs w:val="20"/>
                    </w:rPr>
                    <w:t>Final Mark</w:t>
                  </w:r>
                </w:p>
                <w:p w14:paraId="675091E8" w14:textId="77777777" w:rsidR="00A745B6" w:rsidRPr="000C63A3" w:rsidRDefault="00A745B6" w:rsidP="009C1A08">
                  <w:pPr>
                    <w:rPr>
                      <w:rFonts w:ascii="Arial" w:hAnsi="Arial"/>
                      <w:sz w:val="20"/>
                      <w:szCs w:val="20"/>
                    </w:rPr>
                  </w:pPr>
                </w:p>
              </w:tc>
              <w:tc>
                <w:tcPr>
                  <w:tcW w:w="1660" w:type="dxa"/>
                </w:tcPr>
                <w:p w14:paraId="18FA5503" w14:textId="77777777" w:rsidR="00A745B6" w:rsidRPr="000C63A3" w:rsidRDefault="00A745B6" w:rsidP="009C1A08">
                  <w:pPr>
                    <w:rPr>
                      <w:rFonts w:ascii="Arial" w:hAnsi="Arial"/>
                      <w:sz w:val="20"/>
                      <w:szCs w:val="20"/>
                    </w:rPr>
                  </w:pPr>
                </w:p>
              </w:tc>
            </w:tr>
          </w:tbl>
          <w:p w14:paraId="3F3F04C8" w14:textId="77777777" w:rsidR="00022345" w:rsidRPr="000C63A3" w:rsidRDefault="00022345" w:rsidP="00A745B6">
            <w:pPr>
              <w:pStyle w:val="NormalWeb"/>
              <w:spacing w:before="0" w:beforeAutospacing="0" w:after="0" w:afterAutospacing="0"/>
              <w:ind w:left="142" w:right="34"/>
              <w:rPr>
                <w:rFonts w:ascii="Arial" w:hAnsi="Arial" w:cs="Arial"/>
                <w:b/>
                <w:color w:val="auto"/>
                <w:sz w:val="22"/>
                <w:szCs w:val="22"/>
              </w:rPr>
            </w:pPr>
          </w:p>
          <w:p w14:paraId="6FA745F8" w14:textId="77777777" w:rsidR="00A745B6" w:rsidRPr="000C63A3" w:rsidRDefault="00A745B6" w:rsidP="00A745B6">
            <w:pPr>
              <w:pStyle w:val="NormalWeb"/>
              <w:spacing w:before="0" w:beforeAutospacing="0" w:after="0" w:afterAutospacing="0"/>
              <w:ind w:left="142" w:right="34"/>
              <w:rPr>
                <w:rFonts w:ascii="Arial" w:hAnsi="Arial" w:cs="Arial"/>
                <w:color w:val="auto"/>
                <w:sz w:val="22"/>
                <w:szCs w:val="22"/>
              </w:rPr>
            </w:pPr>
            <w:r w:rsidRPr="000C63A3">
              <w:rPr>
                <w:rFonts w:ascii="Arial" w:hAnsi="Arial" w:cs="Arial"/>
                <w:b/>
                <w:color w:val="auto"/>
                <w:sz w:val="22"/>
                <w:szCs w:val="22"/>
              </w:rPr>
              <w:t>NB.</w:t>
            </w:r>
            <w:r w:rsidRPr="000C63A3">
              <w:rPr>
                <w:rFonts w:ascii="Arial" w:hAnsi="Arial" w:cs="Arial"/>
                <w:color w:val="auto"/>
                <w:sz w:val="22"/>
                <w:szCs w:val="22"/>
              </w:rPr>
              <w:t xml:space="preserve">  All marks are provisional until confirmed by the Final Examination Board.</w:t>
            </w:r>
          </w:p>
          <w:p w14:paraId="7F3428B6" w14:textId="77777777" w:rsidR="00B462B1" w:rsidRPr="000C63A3" w:rsidRDefault="00B462B1" w:rsidP="002F467C">
            <w:pPr>
              <w:pStyle w:val="NormalWeb"/>
              <w:spacing w:before="0" w:beforeAutospacing="0" w:after="0" w:afterAutospacing="0"/>
              <w:rPr>
                <w:rFonts w:ascii="Arial" w:hAnsi="Arial" w:cs="Arial"/>
                <w:b/>
                <w:color w:val="auto"/>
                <w:sz w:val="22"/>
                <w:szCs w:val="22"/>
              </w:rPr>
            </w:pPr>
          </w:p>
          <w:p w14:paraId="0F0AC46F" w14:textId="77777777" w:rsidR="00F75EB5" w:rsidRPr="000C63A3" w:rsidRDefault="00F75EB5" w:rsidP="002F467C">
            <w:pPr>
              <w:pStyle w:val="NormalWeb"/>
              <w:spacing w:before="0" w:beforeAutospacing="0" w:after="0" w:afterAutospacing="0"/>
              <w:rPr>
                <w:rFonts w:ascii="Arial" w:hAnsi="Arial" w:cs="Arial"/>
                <w:b/>
                <w:color w:val="auto"/>
                <w:sz w:val="22"/>
                <w:szCs w:val="22"/>
              </w:rPr>
            </w:pPr>
          </w:p>
          <w:p w14:paraId="2B1E829C" w14:textId="77777777" w:rsidR="00F75EB5" w:rsidRPr="000C63A3" w:rsidRDefault="00F75EB5" w:rsidP="002F467C">
            <w:pPr>
              <w:pStyle w:val="NormalWeb"/>
              <w:spacing w:before="0" w:beforeAutospacing="0" w:after="0" w:afterAutospacing="0"/>
              <w:rPr>
                <w:rFonts w:ascii="Arial" w:hAnsi="Arial" w:cs="Arial"/>
                <w:b/>
                <w:color w:val="auto"/>
                <w:sz w:val="22"/>
                <w:szCs w:val="22"/>
              </w:rPr>
            </w:pPr>
          </w:p>
          <w:p w14:paraId="4C855B8F" w14:textId="77777777" w:rsidR="00B462B1" w:rsidRPr="000C63A3" w:rsidRDefault="00B462B1" w:rsidP="002F467C">
            <w:pPr>
              <w:pStyle w:val="NormalWeb"/>
              <w:spacing w:before="0" w:beforeAutospacing="0" w:after="0" w:afterAutospacing="0"/>
              <w:rPr>
                <w:rFonts w:ascii="Arial" w:hAnsi="Arial" w:cs="Arial"/>
                <w:b/>
                <w:color w:val="auto"/>
                <w:sz w:val="22"/>
                <w:szCs w:val="22"/>
              </w:rPr>
            </w:pPr>
          </w:p>
          <w:p w14:paraId="33166254" w14:textId="77777777" w:rsidR="00590E9A" w:rsidRPr="000C63A3" w:rsidRDefault="00E67719" w:rsidP="002F467C">
            <w:pPr>
              <w:pStyle w:val="NormalWeb"/>
              <w:spacing w:before="0" w:beforeAutospacing="0" w:after="0" w:afterAutospacing="0"/>
              <w:rPr>
                <w:rFonts w:ascii="Arial" w:hAnsi="Arial" w:cs="Arial"/>
                <w:b/>
                <w:color w:val="auto"/>
                <w:sz w:val="22"/>
                <w:szCs w:val="22"/>
              </w:rPr>
            </w:pPr>
            <w:r w:rsidRPr="000C63A3">
              <w:rPr>
                <w:rFonts w:ascii="Arial" w:hAnsi="Arial" w:cs="Arial"/>
                <w:b/>
                <w:color w:val="auto"/>
                <w:sz w:val="22"/>
                <w:szCs w:val="22"/>
              </w:rPr>
              <w:t>For completion by M</w:t>
            </w:r>
            <w:r w:rsidR="00590E9A" w:rsidRPr="000C63A3">
              <w:rPr>
                <w:rFonts w:ascii="Arial" w:hAnsi="Arial" w:cs="Arial"/>
                <w:b/>
                <w:color w:val="auto"/>
                <w:sz w:val="22"/>
                <w:szCs w:val="22"/>
              </w:rPr>
              <w:t>arker</w:t>
            </w:r>
            <w:r w:rsidR="00D67BF8" w:rsidRPr="000C63A3">
              <w:rPr>
                <w:rFonts w:ascii="Arial" w:hAnsi="Arial" w:cs="Arial"/>
                <w:b/>
                <w:color w:val="auto"/>
                <w:sz w:val="22"/>
                <w:szCs w:val="22"/>
              </w:rPr>
              <w:t xml:space="preserve"> </w:t>
            </w:r>
            <w:proofErr w:type="gramStart"/>
            <w:r w:rsidR="00D67BF8" w:rsidRPr="000C63A3">
              <w:rPr>
                <w:rFonts w:ascii="Arial" w:hAnsi="Arial" w:cs="Arial"/>
                <w:b/>
                <w:color w:val="auto"/>
                <w:sz w:val="22"/>
                <w:szCs w:val="22"/>
              </w:rPr>
              <w:t xml:space="preserve">1 </w:t>
            </w:r>
            <w:r w:rsidR="00590E9A" w:rsidRPr="000C63A3">
              <w:rPr>
                <w:rFonts w:ascii="Arial" w:hAnsi="Arial" w:cs="Arial"/>
                <w:b/>
                <w:color w:val="auto"/>
                <w:sz w:val="22"/>
                <w:szCs w:val="22"/>
              </w:rPr>
              <w:t>:</w:t>
            </w:r>
            <w:proofErr w:type="gramEnd"/>
          </w:p>
          <w:p w14:paraId="7CC70123" w14:textId="77777777" w:rsidR="00230F35" w:rsidRPr="000C63A3" w:rsidRDefault="00590E9A" w:rsidP="00043549">
            <w:pPr>
              <w:pStyle w:val="NormalWeb"/>
              <w:rPr>
                <w:rFonts w:ascii="Arial" w:hAnsi="Arial" w:cs="Arial"/>
                <w:color w:val="auto"/>
                <w:sz w:val="22"/>
                <w:szCs w:val="22"/>
              </w:rPr>
            </w:pPr>
            <w:r w:rsidRPr="000C63A3">
              <w:rPr>
                <w:rFonts w:ascii="Arial" w:hAnsi="Arial" w:cs="Arial"/>
                <w:color w:val="auto"/>
                <w:sz w:val="22"/>
                <w:szCs w:val="22"/>
              </w:rPr>
              <w:t>Comments</w:t>
            </w:r>
            <w:r w:rsidR="00001C3B" w:rsidRPr="000C63A3">
              <w:rPr>
                <w:rFonts w:ascii="Arial" w:hAnsi="Arial" w:cs="Arial"/>
                <w:color w:val="auto"/>
                <w:sz w:val="22"/>
                <w:szCs w:val="22"/>
              </w:rPr>
              <w:t>:</w:t>
            </w:r>
          </w:p>
          <w:p w14:paraId="798386A2" w14:textId="77777777" w:rsidR="00B56E7B" w:rsidRPr="000C63A3" w:rsidRDefault="00B56E7B" w:rsidP="00043549">
            <w:pPr>
              <w:pStyle w:val="NormalWeb"/>
              <w:rPr>
                <w:rFonts w:ascii="Arial" w:hAnsi="Arial" w:cs="Arial"/>
                <w:color w:val="auto"/>
                <w:sz w:val="22"/>
                <w:szCs w:val="22"/>
              </w:rPr>
            </w:pPr>
          </w:p>
        </w:tc>
      </w:tr>
      <w:tr w:rsidR="00EC7546" w:rsidRPr="000C63A3" w14:paraId="5A85F400" w14:textId="77777777" w:rsidTr="00A745B6">
        <w:trPr>
          <w:trHeight w:val="492"/>
        </w:trPr>
        <w:tc>
          <w:tcPr>
            <w:tcW w:w="6768" w:type="dxa"/>
            <w:gridSpan w:val="3"/>
          </w:tcPr>
          <w:p w14:paraId="7D80DE61" w14:textId="77777777" w:rsidR="00230F35" w:rsidRPr="000C63A3" w:rsidRDefault="00E3766D" w:rsidP="00230F35">
            <w:pPr>
              <w:pStyle w:val="NormalWeb"/>
              <w:ind w:left="142" w:right="34"/>
              <w:rPr>
                <w:rFonts w:ascii="Arial" w:hAnsi="Arial" w:cs="Arial"/>
                <w:color w:val="auto"/>
                <w:sz w:val="22"/>
                <w:szCs w:val="22"/>
              </w:rPr>
            </w:pPr>
            <w:r w:rsidRPr="000C63A3">
              <w:rPr>
                <w:rFonts w:ascii="Arial" w:hAnsi="Arial" w:cs="Arial"/>
                <w:color w:val="auto"/>
                <w:sz w:val="22"/>
                <w:szCs w:val="22"/>
              </w:rPr>
              <w:lastRenderedPageBreak/>
              <w:t>M</w:t>
            </w:r>
            <w:r w:rsidR="00EC7546" w:rsidRPr="000C63A3">
              <w:rPr>
                <w:rFonts w:ascii="Arial" w:hAnsi="Arial" w:cs="Arial"/>
                <w:color w:val="auto"/>
                <w:sz w:val="22"/>
                <w:szCs w:val="22"/>
              </w:rPr>
              <w:t>arker</w:t>
            </w:r>
            <w:r w:rsidR="00CE3B79" w:rsidRPr="000C63A3">
              <w:rPr>
                <w:rFonts w:ascii="Arial" w:hAnsi="Arial" w:cs="Arial"/>
                <w:color w:val="auto"/>
                <w:sz w:val="22"/>
                <w:szCs w:val="22"/>
              </w:rPr>
              <w:t xml:space="preserve">’s </w:t>
            </w:r>
            <w:r w:rsidR="00EC7546" w:rsidRPr="000C63A3">
              <w:rPr>
                <w:rFonts w:ascii="Arial" w:hAnsi="Arial" w:cs="Arial"/>
                <w:color w:val="auto"/>
                <w:sz w:val="22"/>
                <w:szCs w:val="22"/>
              </w:rPr>
              <w:t>signatur</w:t>
            </w:r>
            <w:r w:rsidR="00230F35" w:rsidRPr="000C63A3">
              <w:rPr>
                <w:rFonts w:ascii="Arial" w:hAnsi="Arial" w:cs="Arial"/>
                <w:color w:val="auto"/>
                <w:sz w:val="22"/>
                <w:szCs w:val="22"/>
              </w:rPr>
              <w:t>e:</w:t>
            </w:r>
          </w:p>
        </w:tc>
        <w:tc>
          <w:tcPr>
            <w:tcW w:w="2088" w:type="dxa"/>
            <w:gridSpan w:val="2"/>
          </w:tcPr>
          <w:p w14:paraId="53E02F5D" w14:textId="77777777" w:rsidR="00EC7546" w:rsidRPr="000C63A3" w:rsidRDefault="0065654E" w:rsidP="002F467C">
            <w:pPr>
              <w:pStyle w:val="NormalWeb"/>
              <w:spacing w:after="0"/>
              <w:ind w:left="142" w:right="34"/>
              <w:rPr>
                <w:rFonts w:ascii="Arial" w:hAnsi="Arial" w:cs="Arial"/>
                <w:color w:val="auto"/>
                <w:sz w:val="22"/>
                <w:szCs w:val="22"/>
              </w:rPr>
            </w:pPr>
            <w:r w:rsidRPr="000C63A3">
              <w:rPr>
                <w:rFonts w:ascii="Arial" w:hAnsi="Arial" w:cs="Arial"/>
                <w:color w:val="auto"/>
                <w:sz w:val="22"/>
                <w:szCs w:val="22"/>
              </w:rPr>
              <w:t>D</w:t>
            </w:r>
            <w:r w:rsidR="00EC7546" w:rsidRPr="000C63A3">
              <w:rPr>
                <w:rFonts w:ascii="Arial" w:hAnsi="Arial" w:cs="Arial"/>
                <w:color w:val="auto"/>
                <w:sz w:val="22"/>
                <w:szCs w:val="22"/>
              </w:rPr>
              <w:t>ate</w:t>
            </w:r>
            <w:r w:rsidRPr="000C63A3">
              <w:rPr>
                <w:rFonts w:ascii="Arial" w:hAnsi="Arial" w:cs="Arial"/>
                <w:color w:val="auto"/>
                <w:sz w:val="22"/>
                <w:szCs w:val="22"/>
              </w:rPr>
              <w:t>:</w:t>
            </w:r>
          </w:p>
        </w:tc>
      </w:tr>
      <w:tr w:rsidR="00D67BF8" w:rsidRPr="000C63A3" w14:paraId="133995FA" w14:textId="77777777" w:rsidTr="002F467C">
        <w:tc>
          <w:tcPr>
            <w:tcW w:w="8856" w:type="dxa"/>
            <w:gridSpan w:val="5"/>
          </w:tcPr>
          <w:p w14:paraId="5FEE8F72" w14:textId="77777777" w:rsidR="00D67BF8" w:rsidRPr="000C63A3" w:rsidRDefault="00D67BF8" w:rsidP="002F467C">
            <w:pPr>
              <w:pStyle w:val="NormalWeb"/>
              <w:spacing w:before="0" w:beforeAutospacing="0" w:after="0" w:afterAutospacing="0"/>
              <w:ind w:right="-334"/>
              <w:rPr>
                <w:rFonts w:ascii="Arial" w:hAnsi="Arial" w:cs="Arial"/>
                <w:bCs/>
                <w:i/>
                <w:color w:val="auto"/>
                <w:sz w:val="22"/>
                <w:szCs w:val="22"/>
              </w:rPr>
            </w:pPr>
          </w:p>
          <w:p w14:paraId="5E01F462" w14:textId="77777777" w:rsidR="00D67BF8" w:rsidRPr="000C63A3" w:rsidRDefault="00E67719" w:rsidP="002F467C">
            <w:pPr>
              <w:pStyle w:val="NormalWeb"/>
              <w:spacing w:before="0" w:beforeAutospacing="0" w:after="0" w:afterAutospacing="0"/>
              <w:ind w:right="-334"/>
              <w:rPr>
                <w:rFonts w:ascii="Arial" w:hAnsi="Arial" w:cs="Arial"/>
                <w:b/>
                <w:bCs/>
                <w:color w:val="auto"/>
                <w:sz w:val="22"/>
                <w:szCs w:val="22"/>
              </w:rPr>
            </w:pPr>
            <w:r w:rsidRPr="000C63A3">
              <w:rPr>
                <w:rFonts w:ascii="Arial" w:hAnsi="Arial" w:cs="Arial"/>
                <w:b/>
                <w:bCs/>
                <w:color w:val="auto"/>
                <w:sz w:val="22"/>
                <w:szCs w:val="22"/>
              </w:rPr>
              <w:t>For completion by M</w:t>
            </w:r>
            <w:r w:rsidR="00D67BF8" w:rsidRPr="000C63A3">
              <w:rPr>
                <w:rFonts w:ascii="Arial" w:hAnsi="Arial" w:cs="Arial"/>
                <w:b/>
                <w:bCs/>
                <w:color w:val="auto"/>
                <w:sz w:val="22"/>
                <w:szCs w:val="22"/>
              </w:rPr>
              <w:t>arker 2</w:t>
            </w:r>
            <w:r w:rsidRPr="000C63A3">
              <w:rPr>
                <w:rFonts w:ascii="Arial" w:hAnsi="Arial" w:cs="Arial"/>
                <w:b/>
                <w:bCs/>
                <w:color w:val="auto"/>
                <w:sz w:val="22"/>
                <w:szCs w:val="22"/>
              </w:rPr>
              <w:t>/M</w:t>
            </w:r>
            <w:r w:rsidR="00230F35" w:rsidRPr="000C63A3">
              <w:rPr>
                <w:rFonts w:ascii="Arial" w:hAnsi="Arial" w:cs="Arial"/>
                <w:b/>
                <w:bCs/>
                <w:color w:val="auto"/>
                <w:sz w:val="22"/>
                <w:szCs w:val="22"/>
              </w:rPr>
              <w:t>oderator</w:t>
            </w:r>
            <w:r w:rsidR="00D67BF8" w:rsidRPr="000C63A3">
              <w:rPr>
                <w:rFonts w:ascii="Arial" w:hAnsi="Arial" w:cs="Arial"/>
                <w:b/>
                <w:bCs/>
                <w:color w:val="auto"/>
                <w:sz w:val="22"/>
                <w:szCs w:val="22"/>
              </w:rPr>
              <w:t>:</w:t>
            </w:r>
          </w:p>
          <w:p w14:paraId="0C0949FE" w14:textId="77777777" w:rsidR="00D67BF8" w:rsidRPr="000C63A3" w:rsidRDefault="00D67BF8" w:rsidP="002F467C">
            <w:pPr>
              <w:pStyle w:val="NormalWeb"/>
              <w:spacing w:before="0" w:beforeAutospacing="0" w:after="0" w:afterAutospacing="0"/>
              <w:ind w:right="-334"/>
              <w:rPr>
                <w:rFonts w:ascii="Arial" w:hAnsi="Arial" w:cs="Arial"/>
                <w:b/>
                <w:bCs/>
                <w:color w:val="auto"/>
                <w:sz w:val="22"/>
                <w:szCs w:val="22"/>
              </w:rPr>
            </w:pPr>
          </w:p>
          <w:p w14:paraId="5B684873"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r w:rsidRPr="000C63A3">
              <w:rPr>
                <w:rFonts w:ascii="Arial" w:hAnsi="Arial" w:cs="Arial"/>
                <w:bCs/>
                <w:color w:val="auto"/>
                <w:sz w:val="22"/>
                <w:szCs w:val="22"/>
              </w:rPr>
              <w:t>Comments:</w:t>
            </w:r>
          </w:p>
          <w:p w14:paraId="4AB03FF0"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p>
          <w:p w14:paraId="6691C40F"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p>
          <w:p w14:paraId="011B668B"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p>
        </w:tc>
      </w:tr>
      <w:tr w:rsidR="00D67BF8" w:rsidRPr="000C63A3" w14:paraId="7D6BED9C" w14:textId="77777777" w:rsidTr="008D674F">
        <w:trPr>
          <w:trHeight w:val="720"/>
        </w:trPr>
        <w:tc>
          <w:tcPr>
            <w:tcW w:w="5211" w:type="dxa"/>
            <w:gridSpan w:val="2"/>
          </w:tcPr>
          <w:p w14:paraId="233B4322" w14:textId="77777777" w:rsidR="00B56E7B" w:rsidRPr="000C63A3" w:rsidRDefault="00D67BF8" w:rsidP="002F467C">
            <w:pPr>
              <w:pStyle w:val="NormalWeb"/>
              <w:spacing w:before="0" w:beforeAutospacing="0" w:after="0" w:afterAutospacing="0"/>
              <w:ind w:right="-334"/>
              <w:rPr>
                <w:rFonts w:ascii="Arial" w:hAnsi="Arial" w:cs="Arial"/>
                <w:bCs/>
                <w:color w:val="auto"/>
                <w:sz w:val="22"/>
                <w:szCs w:val="22"/>
              </w:rPr>
            </w:pPr>
            <w:r w:rsidRPr="000C63A3">
              <w:rPr>
                <w:rFonts w:ascii="Arial" w:hAnsi="Arial" w:cs="Arial"/>
                <w:bCs/>
                <w:color w:val="auto"/>
                <w:sz w:val="22"/>
                <w:szCs w:val="22"/>
              </w:rPr>
              <w:t>Marker’s Signature</w:t>
            </w:r>
            <w:r w:rsidR="00B56E7B" w:rsidRPr="000C63A3">
              <w:rPr>
                <w:rFonts w:ascii="Arial" w:hAnsi="Arial" w:cs="Arial"/>
                <w:bCs/>
                <w:color w:val="auto"/>
                <w:sz w:val="22"/>
                <w:szCs w:val="22"/>
              </w:rPr>
              <w:t>:</w:t>
            </w:r>
          </w:p>
        </w:tc>
        <w:tc>
          <w:tcPr>
            <w:tcW w:w="3645" w:type="dxa"/>
            <w:gridSpan w:val="3"/>
          </w:tcPr>
          <w:p w14:paraId="338B2DE1"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r w:rsidRPr="000C63A3">
              <w:rPr>
                <w:rFonts w:ascii="Arial" w:hAnsi="Arial" w:cs="Arial"/>
                <w:bCs/>
                <w:color w:val="auto"/>
                <w:sz w:val="22"/>
                <w:szCs w:val="22"/>
              </w:rPr>
              <w:t>Date:</w:t>
            </w:r>
          </w:p>
        </w:tc>
      </w:tr>
      <w:tr w:rsidR="00665C65" w:rsidRPr="000C63A3" w14:paraId="306973D0" w14:textId="77777777" w:rsidTr="009C1A08">
        <w:trPr>
          <w:trHeight w:val="720"/>
        </w:trPr>
        <w:tc>
          <w:tcPr>
            <w:tcW w:w="8856" w:type="dxa"/>
            <w:gridSpan w:val="5"/>
          </w:tcPr>
          <w:p w14:paraId="30876C33" w14:textId="77777777" w:rsidR="00665C65" w:rsidRPr="000C63A3" w:rsidRDefault="00665C65" w:rsidP="00230F35">
            <w:pPr>
              <w:rPr>
                <w:rFonts w:ascii="Arial" w:hAnsi="Arial" w:cs="Arial"/>
                <w:b/>
                <w:sz w:val="22"/>
                <w:szCs w:val="22"/>
              </w:rPr>
            </w:pPr>
            <w:r w:rsidRPr="000C63A3">
              <w:rPr>
                <w:rFonts w:ascii="Arial" w:hAnsi="Arial" w:cs="Arial"/>
                <w:b/>
                <w:sz w:val="22"/>
                <w:szCs w:val="22"/>
              </w:rPr>
              <w:t>AGREED INTERNAL MARK (where necessary):</w:t>
            </w:r>
          </w:p>
          <w:p w14:paraId="564EBFC3" w14:textId="77777777" w:rsidR="00963B31" w:rsidRPr="000C63A3" w:rsidRDefault="00963B31" w:rsidP="00230F35">
            <w:pPr>
              <w:rPr>
                <w:rFonts w:ascii="Arial" w:hAnsi="Arial" w:cs="Arial"/>
                <w:b/>
                <w:sz w:val="22"/>
                <w:szCs w:val="22"/>
              </w:rPr>
            </w:pPr>
          </w:p>
          <w:p w14:paraId="261F7083" w14:textId="77777777" w:rsidR="00963B31" w:rsidRPr="000C63A3" w:rsidRDefault="00963B31" w:rsidP="00230F35">
            <w:pPr>
              <w:rPr>
                <w:rFonts w:ascii="Arial" w:hAnsi="Arial" w:cs="Arial"/>
                <w:b/>
                <w:sz w:val="22"/>
                <w:szCs w:val="22"/>
              </w:rPr>
            </w:pPr>
            <w:r w:rsidRPr="000C63A3">
              <w:rPr>
                <w:rFonts w:ascii="Arial" w:hAnsi="Arial" w:cs="Arial"/>
                <w:b/>
                <w:sz w:val="22"/>
                <w:szCs w:val="22"/>
              </w:rPr>
              <w:t>Comment on process o</w:t>
            </w:r>
            <w:r w:rsidR="000F1DE6" w:rsidRPr="000C63A3">
              <w:rPr>
                <w:rFonts w:ascii="Arial" w:hAnsi="Arial" w:cs="Arial"/>
                <w:b/>
                <w:sz w:val="22"/>
                <w:szCs w:val="22"/>
              </w:rPr>
              <w:t>f</w:t>
            </w:r>
            <w:r w:rsidRPr="000C63A3">
              <w:rPr>
                <w:rFonts w:ascii="Arial" w:hAnsi="Arial" w:cs="Arial"/>
                <w:b/>
                <w:sz w:val="22"/>
                <w:szCs w:val="22"/>
              </w:rPr>
              <w:t xml:space="preserve"> arriving at agreed mark:</w:t>
            </w:r>
          </w:p>
          <w:p w14:paraId="1F2C0ECF" w14:textId="77777777" w:rsidR="000F1DE6" w:rsidRPr="000C63A3" w:rsidRDefault="000F1DE6" w:rsidP="00230F35">
            <w:pPr>
              <w:rPr>
                <w:rFonts w:ascii="Arial" w:hAnsi="Arial" w:cs="Arial"/>
                <w:b/>
                <w:sz w:val="22"/>
                <w:szCs w:val="22"/>
              </w:rPr>
            </w:pPr>
          </w:p>
          <w:p w14:paraId="7840DE08" w14:textId="77777777" w:rsidR="000F1DE6" w:rsidRPr="000C63A3" w:rsidRDefault="000F1DE6" w:rsidP="00230F35">
            <w:pPr>
              <w:rPr>
                <w:rFonts w:ascii="Arial" w:hAnsi="Arial" w:cs="Arial"/>
                <w:b/>
                <w:sz w:val="22"/>
                <w:szCs w:val="22"/>
              </w:rPr>
            </w:pPr>
          </w:p>
          <w:p w14:paraId="6B92DA01" w14:textId="77777777" w:rsidR="00D00BDC" w:rsidRPr="000C63A3" w:rsidRDefault="00D00BDC" w:rsidP="00230F35">
            <w:pPr>
              <w:rPr>
                <w:rFonts w:ascii="Arial" w:hAnsi="Arial" w:cs="Arial"/>
                <w:b/>
                <w:sz w:val="22"/>
                <w:szCs w:val="22"/>
              </w:rPr>
            </w:pPr>
          </w:p>
          <w:p w14:paraId="7BC2575D" w14:textId="77777777" w:rsidR="00D00BDC" w:rsidRPr="000C63A3" w:rsidRDefault="00D00BDC" w:rsidP="00230F35">
            <w:pPr>
              <w:rPr>
                <w:rFonts w:ascii="Arial" w:hAnsi="Arial" w:cs="Arial"/>
                <w:b/>
                <w:sz w:val="22"/>
                <w:szCs w:val="22"/>
              </w:rPr>
            </w:pPr>
          </w:p>
          <w:p w14:paraId="699E867D" w14:textId="77777777" w:rsidR="00D00BDC" w:rsidRPr="000C63A3" w:rsidRDefault="00D00BDC" w:rsidP="00230F35">
            <w:pPr>
              <w:rPr>
                <w:rFonts w:ascii="Arial" w:hAnsi="Arial" w:cs="Arial"/>
                <w:b/>
                <w:sz w:val="22"/>
                <w:szCs w:val="22"/>
              </w:rPr>
            </w:pPr>
          </w:p>
          <w:p w14:paraId="019A656C" w14:textId="77777777" w:rsidR="000F1DE6" w:rsidRPr="000C63A3" w:rsidRDefault="000F1DE6" w:rsidP="00230F35">
            <w:pPr>
              <w:rPr>
                <w:rFonts w:ascii="Arial" w:hAnsi="Arial" w:cs="Arial"/>
                <w:b/>
                <w:sz w:val="22"/>
                <w:szCs w:val="22"/>
              </w:rPr>
            </w:pPr>
          </w:p>
          <w:p w14:paraId="1B3184F4" w14:textId="77777777" w:rsidR="00963B31" w:rsidRPr="000C63A3" w:rsidRDefault="00963B31" w:rsidP="00230F35">
            <w:pPr>
              <w:rPr>
                <w:rFonts w:ascii="Arial" w:hAnsi="Arial" w:cs="Arial"/>
                <w:b/>
                <w:sz w:val="22"/>
                <w:szCs w:val="22"/>
              </w:rPr>
            </w:pPr>
          </w:p>
          <w:p w14:paraId="55C63844" w14:textId="77777777" w:rsidR="00963B31" w:rsidRPr="000C63A3" w:rsidRDefault="00963B31" w:rsidP="00230F35">
            <w:pPr>
              <w:rPr>
                <w:rFonts w:ascii="Arial" w:hAnsi="Arial" w:cs="Arial"/>
                <w:b/>
                <w:sz w:val="22"/>
                <w:szCs w:val="22"/>
              </w:rPr>
            </w:pPr>
          </w:p>
        </w:tc>
      </w:tr>
      <w:tr w:rsidR="00230F35" w:rsidRPr="000C63A3" w14:paraId="7888234D" w14:textId="77777777" w:rsidTr="009C1A08">
        <w:trPr>
          <w:trHeight w:val="720"/>
        </w:trPr>
        <w:tc>
          <w:tcPr>
            <w:tcW w:w="8856" w:type="dxa"/>
            <w:gridSpan w:val="5"/>
          </w:tcPr>
          <w:p w14:paraId="588CD252" w14:textId="77777777" w:rsidR="00230F35" w:rsidRPr="000C63A3" w:rsidRDefault="00230F35" w:rsidP="00230F35">
            <w:pPr>
              <w:rPr>
                <w:rFonts w:ascii="Arial" w:hAnsi="Arial" w:cs="Arial"/>
                <w:b/>
                <w:sz w:val="22"/>
                <w:szCs w:val="22"/>
              </w:rPr>
            </w:pPr>
            <w:r w:rsidRPr="000C63A3">
              <w:rPr>
                <w:rFonts w:ascii="Arial" w:hAnsi="Arial" w:cs="Arial"/>
                <w:b/>
                <w:sz w:val="22"/>
                <w:szCs w:val="22"/>
              </w:rPr>
              <w:t>External Examiner’s comments (if relevant)</w:t>
            </w:r>
          </w:p>
          <w:p w14:paraId="2D6D72E0" w14:textId="77777777" w:rsidR="00230F35" w:rsidRPr="000C63A3" w:rsidRDefault="00230F35" w:rsidP="002F467C">
            <w:pPr>
              <w:pStyle w:val="NormalWeb"/>
              <w:spacing w:before="0" w:beforeAutospacing="0" w:after="0" w:afterAutospacing="0"/>
              <w:ind w:right="-334"/>
              <w:rPr>
                <w:rFonts w:ascii="Arial" w:hAnsi="Arial" w:cs="Arial"/>
                <w:bCs/>
                <w:color w:val="auto"/>
                <w:sz w:val="22"/>
                <w:szCs w:val="22"/>
              </w:rPr>
            </w:pPr>
          </w:p>
          <w:p w14:paraId="5ADCC21B"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620F71A1"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058715F1"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2A6179F8"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7890FA81" w14:textId="77777777" w:rsidR="00B56E7B" w:rsidRPr="000C63A3" w:rsidRDefault="00B56E7B" w:rsidP="002F467C">
            <w:pPr>
              <w:pStyle w:val="NormalWeb"/>
              <w:spacing w:before="0" w:beforeAutospacing="0" w:after="0" w:afterAutospacing="0"/>
              <w:ind w:right="-334"/>
              <w:rPr>
                <w:rFonts w:ascii="Arial" w:hAnsi="Arial" w:cs="Arial"/>
                <w:bCs/>
                <w:color w:val="auto"/>
                <w:sz w:val="22"/>
                <w:szCs w:val="22"/>
              </w:rPr>
            </w:pPr>
          </w:p>
          <w:p w14:paraId="6CE717C7" w14:textId="77777777" w:rsidR="00230F35" w:rsidRPr="000C63A3" w:rsidRDefault="00230F35" w:rsidP="002F467C">
            <w:pPr>
              <w:pStyle w:val="NormalWeb"/>
              <w:spacing w:before="0" w:beforeAutospacing="0" w:after="0" w:afterAutospacing="0"/>
              <w:ind w:right="-334"/>
              <w:rPr>
                <w:rFonts w:ascii="Arial" w:hAnsi="Arial" w:cs="Arial"/>
                <w:bCs/>
                <w:color w:val="auto"/>
                <w:sz w:val="22"/>
                <w:szCs w:val="22"/>
              </w:rPr>
            </w:pPr>
          </w:p>
        </w:tc>
      </w:tr>
      <w:tr w:rsidR="00230F35" w:rsidRPr="000C63A3" w14:paraId="35CD0544" w14:textId="77777777" w:rsidTr="00230F35">
        <w:trPr>
          <w:trHeight w:val="720"/>
        </w:trPr>
        <w:tc>
          <w:tcPr>
            <w:tcW w:w="5211" w:type="dxa"/>
            <w:gridSpan w:val="2"/>
          </w:tcPr>
          <w:p w14:paraId="19BF4479" w14:textId="77777777" w:rsidR="00230F35" w:rsidRPr="000C63A3" w:rsidRDefault="00230F35" w:rsidP="00230F35">
            <w:pPr>
              <w:rPr>
                <w:rFonts w:ascii="Arial" w:hAnsi="Arial" w:cs="Arial"/>
                <w:sz w:val="22"/>
                <w:szCs w:val="22"/>
              </w:rPr>
            </w:pPr>
            <w:r w:rsidRPr="000C63A3">
              <w:rPr>
                <w:rFonts w:ascii="Arial" w:hAnsi="Arial" w:cs="Arial"/>
                <w:sz w:val="22"/>
                <w:szCs w:val="22"/>
              </w:rPr>
              <w:t>External Examiner’s Signature:</w:t>
            </w:r>
          </w:p>
        </w:tc>
        <w:tc>
          <w:tcPr>
            <w:tcW w:w="3645" w:type="dxa"/>
            <w:gridSpan w:val="3"/>
          </w:tcPr>
          <w:p w14:paraId="59B2A767" w14:textId="77777777" w:rsidR="00230F35" w:rsidRPr="000C63A3" w:rsidRDefault="00230F35" w:rsidP="00230F35">
            <w:pPr>
              <w:rPr>
                <w:rFonts w:ascii="Arial" w:hAnsi="Arial" w:cs="Arial"/>
                <w:sz w:val="22"/>
                <w:szCs w:val="22"/>
              </w:rPr>
            </w:pPr>
            <w:r w:rsidRPr="000C63A3">
              <w:rPr>
                <w:rFonts w:ascii="Arial" w:hAnsi="Arial" w:cs="Arial"/>
                <w:sz w:val="22"/>
                <w:szCs w:val="22"/>
              </w:rPr>
              <w:t>Date:</w:t>
            </w:r>
          </w:p>
        </w:tc>
      </w:tr>
    </w:tbl>
    <w:p w14:paraId="154FDC4B" w14:textId="77777777" w:rsidR="00EC7546" w:rsidRPr="000C63A3" w:rsidRDefault="00EC7546" w:rsidP="00FA07E9">
      <w:pPr>
        <w:pStyle w:val="NormalWeb"/>
        <w:spacing w:before="0" w:beforeAutospacing="0" w:after="0" w:afterAutospacing="0"/>
        <w:ind w:right="-334"/>
        <w:rPr>
          <w:rFonts w:ascii="Trebuchet MS" w:hAnsi="Trebuchet MS" w:cs="Tahoma"/>
          <w:bCs/>
          <w:color w:val="auto"/>
          <w:sz w:val="24"/>
          <w:szCs w:val="24"/>
        </w:rPr>
      </w:pPr>
    </w:p>
    <w:p w14:paraId="33C2F3E0"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5912AEEA"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3CCD3F58"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2903E1DF"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14FCE5C1"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4506EA5D" w14:textId="77777777" w:rsidR="00757CB4" w:rsidRPr="000C63A3" w:rsidRDefault="00757CB4" w:rsidP="00757CB4">
      <w:pPr>
        <w:spacing w:line="360" w:lineRule="auto"/>
        <w:jc w:val="both"/>
        <w:rPr>
          <w:b/>
          <w:u w:val="single"/>
        </w:rPr>
      </w:pPr>
      <w:r w:rsidRPr="000C63A3">
        <w:rPr>
          <w:b/>
          <w:u w:val="single"/>
        </w:rPr>
        <w:lastRenderedPageBreak/>
        <w:t>Can theurgy be considered a form of magic?</w:t>
      </w:r>
    </w:p>
    <w:p w14:paraId="3559D60A" w14:textId="77777777" w:rsidR="00757CB4" w:rsidRPr="000C63A3" w:rsidRDefault="00757CB4" w:rsidP="00757CB4">
      <w:pPr>
        <w:spacing w:line="360" w:lineRule="auto"/>
        <w:jc w:val="both"/>
        <w:rPr>
          <w:b/>
          <w:u w:val="single"/>
        </w:rPr>
      </w:pPr>
    </w:p>
    <w:p w14:paraId="527518D2" w14:textId="77777777" w:rsidR="00757CB4" w:rsidRPr="000C63A3" w:rsidRDefault="00757CB4" w:rsidP="00757CB4">
      <w:pPr>
        <w:spacing w:line="360" w:lineRule="auto"/>
        <w:jc w:val="both"/>
        <w:rPr>
          <w:b/>
          <w:u w:val="single"/>
        </w:rPr>
      </w:pPr>
      <w:r w:rsidRPr="000C63A3">
        <w:rPr>
          <w:b/>
          <w:u w:val="single"/>
        </w:rPr>
        <w:t xml:space="preserve">Introduction </w:t>
      </w:r>
    </w:p>
    <w:p w14:paraId="71460C4C" w14:textId="77777777" w:rsidR="00757CB4" w:rsidRPr="000C63A3" w:rsidRDefault="00757CB4" w:rsidP="00757CB4">
      <w:pPr>
        <w:spacing w:line="360" w:lineRule="auto"/>
        <w:jc w:val="both"/>
        <w:rPr>
          <w:rFonts w:cs="Helvetica"/>
        </w:rPr>
      </w:pPr>
      <w:r w:rsidRPr="000C63A3">
        <w:t xml:space="preserve">Both theurgy and magic were common practices in the Ancient World, and there are large debates about how closely the two are linked. This essay is going to focus on the characteristics and features of theurgy and magic in order to compare the two and come to the conclusion of whether theurgy can be considered a form of magic or not. To begin with, theurgy will be explained and in turn magic, using examples of both practices along with scholarly debates in order to answer the question at hand. </w:t>
      </w:r>
      <w:r w:rsidRPr="000C63A3">
        <w:rPr>
          <w:rFonts w:cs="Helvetica"/>
        </w:rPr>
        <w:t xml:space="preserve">Theurgy was a greatly spiritual religion and the main </w:t>
      </w:r>
      <w:proofErr w:type="spellStart"/>
      <w:r w:rsidRPr="000C63A3">
        <w:rPr>
          <w:rFonts w:cs="Helvetica"/>
        </w:rPr>
        <w:t>theurgical</w:t>
      </w:r>
      <w:proofErr w:type="spellEnd"/>
      <w:r w:rsidRPr="000C63A3">
        <w:rPr>
          <w:rFonts w:cs="Helvetica"/>
        </w:rPr>
        <w:t xml:space="preserve"> rituals that will be looked at are divination, oracles, and </w:t>
      </w:r>
      <w:proofErr w:type="spellStart"/>
      <w:r w:rsidRPr="000C63A3">
        <w:rPr>
          <w:rFonts w:cs="Helvetica"/>
          <w:i/>
        </w:rPr>
        <w:t>telestikē</w:t>
      </w:r>
      <w:proofErr w:type="spellEnd"/>
      <w:r w:rsidRPr="000C63A3">
        <w:rPr>
          <w:rFonts w:cs="Helvetica"/>
        </w:rPr>
        <w:t>. Magical practices that will be looked at are the use of spells, amulets, and potions.</w:t>
      </w:r>
    </w:p>
    <w:p w14:paraId="2752C1E9" w14:textId="77777777" w:rsidR="00757CB4" w:rsidRPr="000C63A3" w:rsidRDefault="00757CB4" w:rsidP="00757CB4">
      <w:pPr>
        <w:spacing w:line="360" w:lineRule="auto"/>
        <w:jc w:val="both"/>
        <w:rPr>
          <w:rFonts w:cs="Times"/>
          <w:lang w:val="en-US"/>
        </w:rPr>
      </w:pPr>
    </w:p>
    <w:p w14:paraId="2CE5DCB1" w14:textId="77777777" w:rsidR="00757CB4" w:rsidRPr="000C63A3" w:rsidRDefault="00757CB4" w:rsidP="00757CB4">
      <w:pPr>
        <w:spacing w:line="360" w:lineRule="auto"/>
        <w:jc w:val="both"/>
        <w:rPr>
          <w:rFonts w:cs="Times"/>
        </w:rPr>
      </w:pPr>
      <w:r w:rsidRPr="000C63A3">
        <w:t>First of all, it is necessary to define the term ‘theurgy’ in order to understand the question presented. The literal meaning is ‘god-working’ or ‘divine work’, and it denotes a set of rituals and way of life based on ethical and intellectual practices.</w:t>
      </w:r>
      <w:r w:rsidRPr="000C63A3">
        <w:rPr>
          <w:rStyle w:val="FootnoteReference"/>
          <w:rFonts w:ascii="Cambria" w:hAnsi="Cambria"/>
        </w:rPr>
        <w:footnoteReference w:id="1"/>
      </w:r>
      <w:r w:rsidRPr="000C63A3">
        <w:t xml:space="preserve"> As </w:t>
      </w:r>
      <w:proofErr w:type="spellStart"/>
      <w:r w:rsidRPr="000C63A3">
        <w:t>Addey</w:t>
      </w:r>
      <w:proofErr w:type="spellEnd"/>
      <w:r w:rsidRPr="000C63A3">
        <w:t xml:space="preserve"> stated, the aim of theurgy was to contact and assimilate to the divine, with the goal of forming a union with the gods.</w:t>
      </w:r>
      <w:r w:rsidRPr="000C63A3">
        <w:rPr>
          <w:rStyle w:val="FootnoteReference"/>
          <w:rFonts w:ascii="Cambria" w:hAnsi="Cambria"/>
        </w:rPr>
        <w:footnoteReference w:id="2"/>
      </w:r>
      <w:r w:rsidRPr="000C63A3">
        <w:t xml:space="preserve"> Thus, a religious context can already be attached to the term due to the role of the divine within the practice. </w:t>
      </w:r>
      <w:proofErr w:type="spellStart"/>
      <w:r w:rsidRPr="000C63A3">
        <w:t>Athanassiadi</w:t>
      </w:r>
      <w:proofErr w:type="spellEnd"/>
      <w:r w:rsidRPr="000C63A3">
        <w:t xml:space="preserve"> defines theurgy as a state of mind that varies from individual to individual, changing depending on the theurgist’s state of mind.</w:t>
      </w:r>
      <w:r w:rsidRPr="000C63A3">
        <w:rPr>
          <w:rStyle w:val="FootnoteReference"/>
          <w:rFonts w:ascii="Cambria" w:hAnsi="Cambria"/>
        </w:rPr>
        <w:footnoteReference w:id="3"/>
      </w:r>
      <w:r w:rsidRPr="000C63A3">
        <w:t xml:space="preserve"> This statement in itself does not give much insight into what theurgy really entails other than being spiritual, but </w:t>
      </w:r>
      <w:proofErr w:type="spellStart"/>
      <w:r w:rsidRPr="000C63A3">
        <w:t>Athanassiadi</w:t>
      </w:r>
      <w:proofErr w:type="spellEnd"/>
      <w:r w:rsidRPr="000C63A3">
        <w:t xml:space="preserve"> provides a further definition of theurgy being “</w:t>
      </w:r>
      <w:r w:rsidRPr="000C63A3">
        <w:rPr>
          <w:i/>
        </w:rPr>
        <w:t>the often involuntary manifestation of an inner state of sanctity deriving from a combination of goodness and knowledge in which the former element prevails</w:t>
      </w:r>
      <w:r w:rsidRPr="000C63A3">
        <w:t>.”</w:t>
      </w:r>
      <w:r w:rsidRPr="000C63A3">
        <w:rPr>
          <w:rStyle w:val="FootnoteReference"/>
          <w:rFonts w:ascii="Cambria" w:hAnsi="Cambria"/>
        </w:rPr>
        <w:footnoteReference w:id="4"/>
      </w:r>
      <w:r w:rsidRPr="000C63A3">
        <w:t xml:space="preserve"> This definition once again brings in a divine aspect and we are led to believe that the gods can provoke these states of mind upon their will. The gods do not necessarily need to be called upon by a theurgist in order for them to be present. </w:t>
      </w:r>
    </w:p>
    <w:p w14:paraId="09502C00" w14:textId="77777777" w:rsidR="00757CB4" w:rsidRPr="000C63A3" w:rsidRDefault="00757CB4" w:rsidP="00757CB4">
      <w:pPr>
        <w:spacing w:line="360" w:lineRule="auto"/>
        <w:jc w:val="both"/>
      </w:pPr>
    </w:p>
    <w:p w14:paraId="63B4AA3B" w14:textId="77777777" w:rsidR="00757CB4" w:rsidRPr="000C63A3" w:rsidRDefault="00757CB4" w:rsidP="00757CB4">
      <w:pPr>
        <w:spacing w:line="360" w:lineRule="auto"/>
        <w:jc w:val="both"/>
        <w:rPr>
          <w:rFonts w:cs="Helvetica"/>
        </w:rPr>
      </w:pPr>
      <w:r w:rsidRPr="000C63A3">
        <w:rPr>
          <w:rFonts w:cs="Helvetica"/>
        </w:rPr>
        <w:lastRenderedPageBreak/>
        <w:t xml:space="preserve">The first mention of theurgy was most likely to have been in the </w:t>
      </w:r>
      <w:r w:rsidRPr="000C63A3">
        <w:rPr>
          <w:rFonts w:cs="Helvetica"/>
          <w:i/>
        </w:rPr>
        <w:t>Chaldean Oracles,</w:t>
      </w:r>
      <w:r w:rsidRPr="000C63A3">
        <w:rPr>
          <w:rStyle w:val="FootnoteReference"/>
          <w:rFonts w:ascii="Cambria" w:hAnsi="Cambria" w:cs="Helvetica"/>
        </w:rPr>
        <w:footnoteReference w:id="5"/>
      </w:r>
      <w:r w:rsidRPr="000C63A3">
        <w:rPr>
          <w:rFonts w:cs="Helvetica"/>
        </w:rPr>
        <w:t xml:space="preserve"> a set of spiritual texts written by either </w:t>
      </w:r>
      <w:proofErr w:type="spellStart"/>
      <w:r w:rsidRPr="000C63A3">
        <w:rPr>
          <w:rFonts w:cs="Helvetica"/>
        </w:rPr>
        <w:t>Julianus</w:t>
      </w:r>
      <w:proofErr w:type="spellEnd"/>
      <w:r w:rsidRPr="000C63A3">
        <w:rPr>
          <w:rFonts w:cs="Helvetica"/>
        </w:rPr>
        <w:t xml:space="preserve"> the </w:t>
      </w:r>
      <w:proofErr w:type="spellStart"/>
      <w:r w:rsidRPr="000C63A3">
        <w:rPr>
          <w:rFonts w:cs="Helvetica"/>
        </w:rPr>
        <w:t>Chaldaean</w:t>
      </w:r>
      <w:proofErr w:type="spellEnd"/>
      <w:r w:rsidRPr="000C63A3">
        <w:rPr>
          <w:rFonts w:cs="Helvetica"/>
        </w:rPr>
        <w:t xml:space="preserve"> or his son, </w:t>
      </w:r>
      <w:proofErr w:type="spellStart"/>
      <w:r w:rsidRPr="000C63A3">
        <w:rPr>
          <w:rFonts w:cs="Helvetica"/>
        </w:rPr>
        <w:t>Julianus</w:t>
      </w:r>
      <w:proofErr w:type="spellEnd"/>
      <w:r w:rsidRPr="000C63A3">
        <w:rPr>
          <w:rFonts w:cs="Helvetica"/>
        </w:rPr>
        <w:t xml:space="preserve"> the Theurgist.</w:t>
      </w:r>
      <w:r w:rsidRPr="000C63A3">
        <w:rPr>
          <w:rStyle w:val="FootnoteReference"/>
          <w:rFonts w:ascii="Cambria" w:hAnsi="Cambria" w:cs="Helvetica"/>
        </w:rPr>
        <w:footnoteReference w:id="6"/>
      </w:r>
      <w:r w:rsidRPr="000C63A3">
        <w:rPr>
          <w:rFonts w:cs="Helvetica"/>
        </w:rPr>
        <w:t xml:space="preserve"> </w:t>
      </w:r>
      <w:proofErr w:type="spellStart"/>
      <w:r w:rsidRPr="000C63A3">
        <w:rPr>
          <w:rFonts w:cs="Helvetica"/>
        </w:rPr>
        <w:t>Majerick</w:t>
      </w:r>
      <w:proofErr w:type="spellEnd"/>
      <w:r w:rsidRPr="000C63A3">
        <w:rPr>
          <w:rFonts w:cs="Helvetica"/>
        </w:rPr>
        <w:t xml:space="preserve"> stated that </w:t>
      </w:r>
      <w:proofErr w:type="spellStart"/>
      <w:r w:rsidRPr="000C63A3">
        <w:rPr>
          <w:rFonts w:cs="Helvetica"/>
        </w:rPr>
        <w:t>Julianus</w:t>
      </w:r>
      <w:proofErr w:type="spellEnd"/>
      <w:r w:rsidRPr="000C63A3">
        <w:rPr>
          <w:rFonts w:cs="Helvetica"/>
        </w:rPr>
        <w:t xml:space="preserve"> the Theurgist was a practitioner of both theurgy and magic,</w:t>
      </w:r>
      <w:r w:rsidRPr="000C63A3">
        <w:rPr>
          <w:rStyle w:val="FootnoteReference"/>
          <w:rFonts w:ascii="Cambria" w:hAnsi="Cambria" w:cs="Helvetica"/>
        </w:rPr>
        <w:footnoteReference w:id="7"/>
      </w:r>
      <w:r w:rsidRPr="000C63A3">
        <w:rPr>
          <w:rFonts w:cs="Helvetica"/>
        </w:rPr>
        <w:t xml:space="preserve"> bringing into question the debate around how close, or far </w:t>
      </w:r>
      <w:proofErr w:type="gramStart"/>
      <w:r w:rsidRPr="000C63A3">
        <w:rPr>
          <w:rFonts w:cs="Helvetica"/>
        </w:rPr>
        <w:t>apart,</w:t>
      </w:r>
      <w:proofErr w:type="gramEnd"/>
      <w:r w:rsidRPr="000C63A3">
        <w:rPr>
          <w:rFonts w:cs="Helvetica"/>
        </w:rPr>
        <w:t xml:space="preserve"> theurgy and magic were in terms of rituals and procedures. If it is possible to be both a theurgist and a magician, is it not possible that the two are interlinked?</w:t>
      </w:r>
    </w:p>
    <w:p w14:paraId="24F3760C" w14:textId="77777777" w:rsidR="00757CB4" w:rsidRPr="000C63A3" w:rsidRDefault="00757CB4" w:rsidP="00757CB4">
      <w:pPr>
        <w:spacing w:line="360" w:lineRule="auto"/>
        <w:jc w:val="both"/>
        <w:rPr>
          <w:rFonts w:cs="Times"/>
        </w:rPr>
      </w:pPr>
    </w:p>
    <w:p w14:paraId="2B047151" w14:textId="77777777" w:rsidR="00757CB4" w:rsidRPr="000C63A3" w:rsidRDefault="00757CB4" w:rsidP="00757CB4">
      <w:pPr>
        <w:spacing w:line="360" w:lineRule="auto"/>
        <w:jc w:val="both"/>
        <w:rPr>
          <w:rFonts w:cs="Times"/>
        </w:rPr>
      </w:pPr>
      <w:proofErr w:type="gramStart"/>
      <w:r w:rsidRPr="000C63A3">
        <w:rPr>
          <w:rFonts w:cs="Times"/>
        </w:rPr>
        <w:t>Secondly, the notion of ‘magic’ needs to be defined.</w:t>
      </w:r>
      <w:proofErr w:type="gramEnd"/>
      <w:r w:rsidRPr="000C63A3">
        <w:rPr>
          <w:rFonts w:cs="Times"/>
        </w:rPr>
        <w:t xml:space="preserve"> Murray and Rosalie Wax claimed that there are two approaches to defining magic: an intellective and a moral approach, and in both, magic is defined negatively, meaning one comes to understand what magic is not, rather than what it is.</w:t>
      </w:r>
      <w:r w:rsidRPr="000C63A3">
        <w:rPr>
          <w:rStyle w:val="FootnoteReference"/>
          <w:rFonts w:ascii="Cambria" w:hAnsi="Cambria" w:cs="Times"/>
        </w:rPr>
        <w:footnoteReference w:id="8"/>
      </w:r>
      <w:r w:rsidRPr="000C63A3">
        <w:rPr>
          <w:rFonts w:cs="Times"/>
        </w:rPr>
        <w:t xml:space="preserve"> This in turn makes it difficult to fully differentiate between what </w:t>
      </w:r>
      <w:proofErr w:type="gramStart"/>
      <w:r w:rsidRPr="000C63A3">
        <w:rPr>
          <w:rFonts w:cs="Times"/>
        </w:rPr>
        <w:t>religion</w:t>
      </w:r>
      <w:proofErr w:type="gramEnd"/>
      <w:r w:rsidRPr="000C63A3">
        <w:rPr>
          <w:rFonts w:cs="Times"/>
        </w:rPr>
        <w:t xml:space="preserve"> is compared to what magic is, and whether there is a great difference between the two in an ancient context. However, as </w:t>
      </w:r>
      <w:proofErr w:type="spellStart"/>
      <w:r w:rsidRPr="000C63A3">
        <w:rPr>
          <w:rFonts w:cs="Times"/>
        </w:rPr>
        <w:t>Bremmer</w:t>
      </w:r>
      <w:proofErr w:type="spellEnd"/>
      <w:r w:rsidRPr="000C63A3">
        <w:rPr>
          <w:rFonts w:cs="Times"/>
        </w:rPr>
        <w:t xml:space="preserve"> pointed out, the ancients themselves did not differentiate between magic and religion.</w:t>
      </w:r>
      <w:r w:rsidRPr="000C63A3">
        <w:rPr>
          <w:rStyle w:val="FootnoteReference"/>
          <w:rFonts w:ascii="Cambria" w:hAnsi="Cambria" w:cs="Times"/>
        </w:rPr>
        <w:footnoteReference w:id="9"/>
      </w:r>
      <w:r w:rsidRPr="000C63A3">
        <w:rPr>
          <w:rFonts w:cs="Times"/>
        </w:rPr>
        <w:t xml:space="preserve"> It is rather a more modern approach to the question at hand. However, some attempts at defining magic have been made. For example, Taylor proposed that magic was a way of attempting to “</w:t>
      </w:r>
      <w:r w:rsidRPr="000C63A3">
        <w:rPr>
          <w:rFonts w:cs="Times"/>
          <w:i/>
        </w:rPr>
        <w:t>discover, foretell, and to cause certain events</w:t>
      </w:r>
      <w:r w:rsidRPr="000C63A3">
        <w:rPr>
          <w:rFonts w:cs="Times"/>
        </w:rPr>
        <w:t>.”</w:t>
      </w:r>
      <w:r w:rsidRPr="000C63A3">
        <w:rPr>
          <w:rStyle w:val="FootnoteReference"/>
          <w:rFonts w:ascii="Cambria" w:hAnsi="Cambria" w:cs="Times"/>
        </w:rPr>
        <w:footnoteReference w:id="10"/>
      </w:r>
      <w:r w:rsidRPr="000C63A3">
        <w:rPr>
          <w:rFonts w:cs="Times"/>
        </w:rPr>
        <w:t xml:space="preserve"> This is very similar to what theurgists tried to achieve. For Frazer, magic was a way to control and manipulate the subject, whereas religion was a way to worship and supplicate powers.</w:t>
      </w:r>
      <w:r w:rsidRPr="000C63A3">
        <w:rPr>
          <w:rStyle w:val="FootnoteReference"/>
          <w:rFonts w:ascii="Cambria" w:hAnsi="Cambria" w:cs="Times"/>
        </w:rPr>
        <w:footnoteReference w:id="11"/>
      </w:r>
      <w:r w:rsidRPr="000C63A3">
        <w:rPr>
          <w:rFonts w:cs="Times"/>
        </w:rPr>
        <w:t xml:space="preserve"> From these two definitions or theories, we can deduce that magic is a way to gain something from the gods, whereas religion appears to be more of an act of worship. </w:t>
      </w:r>
    </w:p>
    <w:p w14:paraId="647C0ACA" w14:textId="77777777" w:rsidR="00757CB4" w:rsidRPr="000C63A3" w:rsidRDefault="00757CB4" w:rsidP="00757CB4">
      <w:pPr>
        <w:spacing w:line="360" w:lineRule="auto"/>
        <w:jc w:val="both"/>
        <w:rPr>
          <w:rFonts w:cs="Times"/>
        </w:rPr>
      </w:pPr>
    </w:p>
    <w:p w14:paraId="05B6C379" w14:textId="77777777" w:rsidR="00757CB4" w:rsidRPr="000C63A3" w:rsidRDefault="00757CB4" w:rsidP="00757CB4">
      <w:pPr>
        <w:spacing w:line="360" w:lineRule="auto"/>
        <w:jc w:val="both"/>
        <w:rPr>
          <w:rFonts w:cs="Times"/>
          <w:b/>
          <w:u w:val="single"/>
        </w:rPr>
      </w:pPr>
      <w:proofErr w:type="spellStart"/>
      <w:r w:rsidRPr="000C63A3">
        <w:rPr>
          <w:rFonts w:cs="Times"/>
          <w:b/>
          <w:u w:val="single"/>
        </w:rPr>
        <w:t>Theurgical</w:t>
      </w:r>
      <w:proofErr w:type="spellEnd"/>
      <w:r w:rsidRPr="000C63A3">
        <w:rPr>
          <w:rFonts w:cs="Times"/>
          <w:b/>
          <w:u w:val="single"/>
        </w:rPr>
        <w:t xml:space="preserve"> Practices</w:t>
      </w:r>
    </w:p>
    <w:p w14:paraId="4F75B580" w14:textId="77777777" w:rsidR="00757CB4" w:rsidRPr="000C63A3" w:rsidRDefault="00757CB4" w:rsidP="00757CB4">
      <w:pPr>
        <w:spacing w:line="360" w:lineRule="auto"/>
        <w:jc w:val="both"/>
        <w:rPr>
          <w:rFonts w:cs="Times"/>
        </w:rPr>
      </w:pPr>
      <w:r w:rsidRPr="000C63A3">
        <w:rPr>
          <w:rFonts w:cs="Times"/>
        </w:rPr>
        <w:lastRenderedPageBreak/>
        <w:t>A central practice of theurgy was divination and the goal was to gain divine information from the gods in the form of a prophecy. Iamblichus wrote a series of letters to his supposed teacher, Porphyry, discussing the practice of divination and in these letters he argued the various kinds of divinatory practices. For example, he discusses dream divination, which he separates into two categories</w:t>
      </w:r>
      <w:proofErr w:type="gramStart"/>
      <w:r w:rsidRPr="000C63A3">
        <w:rPr>
          <w:rFonts w:cs="Times"/>
        </w:rPr>
        <w:t>;</w:t>
      </w:r>
      <w:proofErr w:type="gramEnd"/>
      <w:r w:rsidRPr="000C63A3">
        <w:rPr>
          <w:rFonts w:cs="Times"/>
        </w:rPr>
        <w:t xml:space="preserve"> human dreams and “god-sent” dreams.</w:t>
      </w:r>
      <w:r w:rsidRPr="000C63A3">
        <w:rPr>
          <w:rStyle w:val="FootnoteReference"/>
          <w:rFonts w:ascii="Cambria" w:hAnsi="Cambria" w:cs="Times"/>
        </w:rPr>
        <w:footnoteReference w:id="12"/>
      </w:r>
      <w:r w:rsidRPr="000C63A3">
        <w:rPr>
          <w:rFonts w:cs="Times"/>
        </w:rPr>
        <w:t xml:space="preserve"> Human dreams are dreams that come to us in our sleep based upon our thoughts or feelings that we experience, for example, throughout the day. “God-sent” dreams, however, occur when in a state between being awake and asleep. The dreamer hears a sudden voice and a whooshing sound and this would result in a seizure similar to a blackout.</w:t>
      </w:r>
      <w:r w:rsidRPr="000C63A3">
        <w:rPr>
          <w:rStyle w:val="FootnoteReference"/>
          <w:rFonts w:ascii="Cambria" w:hAnsi="Cambria" w:cs="Times"/>
        </w:rPr>
        <w:footnoteReference w:id="13"/>
      </w:r>
      <w:r w:rsidRPr="000C63A3">
        <w:rPr>
          <w:rFonts w:cs="Times"/>
        </w:rPr>
        <w:t xml:space="preserve"> As mentioned above, the gods did not necessarily need to be invoked by the individual to appear and, as is the case in this example, the gods make their appearances as they wish. From these characteristics we can deduce that the prophesier has little control over dream divination. The gods came to the dreamer without needing to be invoked. However, Iamblichus often mentions the prophesier needs to be pure in order to receive the gods, implying that the gods are able to act of their own free will, but the prophesier must be ready to accept them. </w:t>
      </w:r>
    </w:p>
    <w:p w14:paraId="71C0C058" w14:textId="77777777" w:rsidR="00757CB4" w:rsidRPr="000C63A3" w:rsidRDefault="00757CB4" w:rsidP="00757CB4">
      <w:pPr>
        <w:spacing w:line="360" w:lineRule="auto"/>
        <w:jc w:val="both"/>
        <w:rPr>
          <w:rFonts w:cs="Times"/>
        </w:rPr>
      </w:pPr>
    </w:p>
    <w:p w14:paraId="0A9FEFCD" w14:textId="77777777" w:rsidR="00757CB4" w:rsidRPr="000C63A3" w:rsidRDefault="00757CB4" w:rsidP="00757CB4">
      <w:pPr>
        <w:spacing w:line="360" w:lineRule="auto"/>
        <w:jc w:val="both"/>
        <w:rPr>
          <w:rFonts w:cs="Times"/>
        </w:rPr>
      </w:pPr>
      <w:r w:rsidRPr="000C63A3">
        <w:rPr>
          <w:rFonts w:cs="Times"/>
        </w:rPr>
        <w:t xml:space="preserve">Another form of theurgy that Iamblichus discusses is oracles and, more notably, the </w:t>
      </w:r>
      <w:proofErr w:type="spellStart"/>
      <w:r w:rsidRPr="000C63A3">
        <w:rPr>
          <w:rFonts w:cs="Times"/>
        </w:rPr>
        <w:t>Pythia</w:t>
      </w:r>
      <w:proofErr w:type="spellEnd"/>
      <w:r w:rsidRPr="000C63A3">
        <w:rPr>
          <w:rFonts w:cs="Times"/>
        </w:rPr>
        <w:t xml:space="preserve"> at Delphi and oracles at Colophon.</w:t>
      </w:r>
      <w:r w:rsidRPr="000C63A3">
        <w:rPr>
          <w:rStyle w:val="FootnoteReference"/>
          <w:rFonts w:ascii="Cambria" w:hAnsi="Cambria" w:cs="Times"/>
        </w:rPr>
        <w:footnoteReference w:id="14"/>
      </w:r>
      <w:r w:rsidRPr="000C63A3">
        <w:rPr>
          <w:rFonts w:cs="Times"/>
        </w:rPr>
        <w:t xml:space="preserve"> This practice differs from dream divination, as here a ritual must be carried out before the prophesier is able to receive word from the gods. For oracles at Colophon, one prophesies by means of water. The prophet must drink the water on a certain night and perform preliminary ceremonies. After this, he or she is able to deliver the oracles.</w:t>
      </w:r>
      <w:r w:rsidRPr="000C63A3">
        <w:rPr>
          <w:rStyle w:val="FootnoteReference"/>
          <w:rFonts w:ascii="Cambria" w:hAnsi="Cambria" w:cs="Times"/>
        </w:rPr>
        <w:footnoteReference w:id="15"/>
      </w:r>
      <w:r w:rsidRPr="000C63A3">
        <w:rPr>
          <w:rFonts w:cs="Times"/>
        </w:rPr>
        <w:t xml:space="preserve"> A similar ritual is true for the </w:t>
      </w:r>
      <w:proofErr w:type="spellStart"/>
      <w:r w:rsidRPr="000C63A3">
        <w:rPr>
          <w:rFonts w:cs="Times"/>
        </w:rPr>
        <w:t>Pythia</w:t>
      </w:r>
      <w:proofErr w:type="spellEnd"/>
      <w:r w:rsidRPr="000C63A3">
        <w:rPr>
          <w:rFonts w:cs="Times"/>
        </w:rPr>
        <w:t xml:space="preserve"> at Delphi. She must be pure in order to receive the god and must fast for 3 days before being able to deliver oracles. Thus it cannot be contested that theurgy never requires a ritual to be performed in order to contact the gods. In some practices, this is necessary.</w:t>
      </w:r>
    </w:p>
    <w:p w14:paraId="34BF3A74" w14:textId="77777777" w:rsidR="00757CB4" w:rsidRPr="000C63A3" w:rsidRDefault="00757CB4" w:rsidP="00757CB4">
      <w:pPr>
        <w:spacing w:line="360" w:lineRule="auto"/>
        <w:jc w:val="both"/>
        <w:rPr>
          <w:rFonts w:cs="Times"/>
        </w:rPr>
      </w:pPr>
    </w:p>
    <w:p w14:paraId="273249B6" w14:textId="77777777" w:rsidR="00757CB4" w:rsidRPr="000C63A3" w:rsidRDefault="00757CB4" w:rsidP="00757CB4">
      <w:pPr>
        <w:spacing w:line="360" w:lineRule="auto"/>
        <w:jc w:val="both"/>
        <w:rPr>
          <w:lang w:val="en-US"/>
        </w:rPr>
      </w:pPr>
      <w:r w:rsidRPr="000C63A3">
        <w:rPr>
          <w:rFonts w:cs="Times"/>
        </w:rPr>
        <w:t xml:space="preserve">The final form of </w:t>
      </w:r>
      <w:proofErr w:type="spellStart"/>
      <w:r w:rsidRPr="000C63A3">
        <w:rPr>
          <w:rFonts w:cs="Times"/>
        </w:rPr>
        <w:t>theurgical</w:t>
      </w:r>
      <w:proofErr w:type="spellEnd"/>
      <w:r w:rsidRPr="000C63A3">
        <w:rPr>
          <w:rFonts w:cs="Times"/>
        </w:rPr>
        <w:t xml:space="preserve"> practice that will be looked at is </w:t>
      </w:r>
      <w:proofErr w:type="spellStart"/>
      <w:r w:rsidRPr="000C63A3">
        <w:rPr>
          <w:rFonts w:cs="Times"/>
          <w:i/>
        </w:rPr>
        <w:t>telestikē</w:t>
      </w:r>
      <w:proofErr w:type="spellEnd"/>
      <w:r w:rsidRPr="000C63A3">
        <w:rPr>
          <w:rFonts w:cs="Times"/>
        </w:rPr>
        <w:t xml:space="preserve">, or </w:t>
      </w:r>
      <w:proofErr w:type="spellStart"/>
      <w:r w:rsidRPr="000C63A3">
        <w:rPr>
          <w:rFonts w:cs="Times"/>
        </w:rPr>
        <w:t>agalmatomancy</w:t>
      </w:r>
      <w:proofErr w:type="spellEnd"/>
      <w:r w:rsidRPr="000C63A3">
        <w:rPr>
          <w:rFonts w:cs="Times"/>
        </w:rPr>
        <w:t>. This was the use of statues for divinatory purposes and was a popular form of divination in Egypt.</w:t>
      </w:r>
      <w:r w:rsidRPr="000C63A3">
        <w:rPr>
          <w:rStyle w:val="FootnoteReference"/>
          <w:rFonts w:ascii="Cambria" w:hAnsi="Cambria" w:cs="Times"/>
        </w:rPr>
        <w:footnoteReference w:id="16"/>
      </w:r>
      <w:r w:rsidRPr="000C63A3">
        <w:rPr>
          <w:rFonts w:cs="Times"/>
        </w:rPr>
        <w:t xml:space="preserve"> The word </w:t>
      </w:r>
      <w:proofErr w:type="spellStart"/>
      <w:r w:rsidRPr="000C63A3">
        <w:rPr>
          <w:rFonts w:cs="Times"/>
          <w:i/>
        </w:rPr>
        <w:t>telestikē</w:t>
      </w:r>
      <w:proofErr w:type="spellEnd"/>
      <w:r w:rsidRPr="000C63A3">
        <w:rPr>
          <w:rFonts w:cs="Times"/>
          <w:i/>
        </w:rPr>
        <w:t xml:space="preserve"> </w:t>
      </w:r>
      <w:r w:rsidRPr="000C63A3">
        <w:rPr>
          <w:rFonts w:cs="Times"/>
        </w:rPr>
        <w:t xml:space="preserve">refers to the creating of statues that a certain god could be </w:t>
      </w:r>
      <w:r w:rsidRPr="000C63A3">
        <w:rPr>
          <w:rFonts w:cs="Times"/>
        </w:rPr>
        <w:lastRenderedPageBreak/>
        <w:t>called into through performing certain rituals.</w:t>
      </w:r>
      <w:r w:rsidRPr="000C63A3">
        <w:rPr>
          <w:rStyle w:val="FootnoteReference"/>
          <w:rFonts w:ascii="Cambria" w:hAnsi="Cambria" w:cs="Times"/>
        </w:rPr>
        <w:footnoteReference w:id="17"/>
      </w:r>
      <w:r w:rsidRPr="000C63A3">
        <w:rPr>
          <w:rFonts w:cs="Times"/>
        </w:rPr>
        <w:t xml:space="preserve"> Once the god was within the statue, he or she was able to provide aid and information to the mortals. Proclus claimed “</w:t>
      </w:r>
      <w:r w:rsidRPr="000C63A3">
        <w:rPr>
          <w:rFonts w:cs="Times"/>
          <w:i/>
        </w:rPr>
        <w:t xml:space="preserve">the </w:t>
      </w:r>
      <w:proofErr w:type="spellStart"/>
      <w:r w:rsidRPr="000C63A3">
        <w:rPr>
          <w:rFonts w:cs="Times"/>
          <w:i/>
        </w:rPr>
        <w:t>telestic</w:t>
      </w:r>
      <w:proofErr w:type="spellEnd"/>
      <w:r w:rsidRPr="000C63A3">
        <w:rPr>
          <w:rFonts w:cs="Times"/>
          <w:i/>
        </w:rPr>
        <w:t xml:space="preserve"> art, by means of </w:t>
      </w:r>
      <w:proofErr w:type="spellStart"/>
      <w:r w:rsidRPr="000C63A3">
        <w:rPr>
          <w:rFonts w:cs="Times"/>
        </w:rPr>
        <w:t>symbola</w:t>
      </w:r>
      <w:proofErr w:type="spellEnd"/>
      <w:r w:rsidRPr="000C63A3">
        <w:rPr>
          <w:rFonts w:cs="Times"/>
          <w:i/>
        </w:rPr>
        <w:t xml:space="preserve"> and ineffable </w:t>
      </w:r>
      <w:proofErr w:type="spellStart"/>
      <w:r w:rsidRPr="000C63A3">
        <w:rPr>
          <w:rFonts w:cs="Times"/>
        </w:rPr>
        <w:t>synthemata</w:t>
      </w:r>
      <w:proofErr w:type="spellEnd"/>
      <w:r w:rsidRPr="000C63A3">
        <w:rPr>
          <w:rFonts w:cs="Times"/>
          <w:i/>
        </w:rPr>
        <w:t>, represents and makes statues suitable to become receptacles for the illuminations of the gods</w:t>
      </w:r>
      <w:r w:rsidRPr="000C63A3">
        <w:rPr>
          <w:rFonts w:cs="Times"/>
        </w:rPr>
        <w:t>.”</w:t>
      </w:r>
      <w:r w:rsidRPr="000C63A3">
        <w:rPr>
          <w:rStyle w:val="FootnoteReference"/>
          <w:rFonts w:ascii="Cambria" w:hAnsi="Cambria" w:cs="Times"/>
        </w:rPr>
        <w:footnoteReference w:id="18"/>
      </w:r>
      <w:r w:rsidRPr="000C63A3">
        <w:rPr>
          <w:rFonts w:cs="Times"/>
        </w:rPr>
        <w:t xml:space="preserve"> </w:t>
      </w:r>
      <w:proofErr w:type="spellStart"/>
      <w:r w:rsidRPr="000C63A3">
        <w:rPr>
          <w:rFonts w:cs="Times"/>
          <w:i/>
        </w:rPr>
        <w:t>Symbola</w:t>
      </w:r>
      <w:proofErr w:type="spellEnd"/>
      <w:r w:rsidRPr="000C63A3">
        <w:rPr>
          <w:rFonts w:cs="Times"/>
        </w:rPr>
        <w:t xml:space="preserve"> were objects or sounds that held a connection to a certain god and</w:t>
      </w:r>
      <w:r w:rsidRPr="000C63A3">
        <w:rPr>
          <w:rFonts w:cs="Times"/>
          <w:i/>
        </w:rPr>
        <w:t xml:space="preserve"> </w:t>
      </w:r>
      <w:proofErr w:type="spellStart"/>
      <w:r w:rsidRPr="000C63A3">
        <w:rPr>
          <w:rFonts w:cs="Times"/>
          <w:i/>
        </w:rPr>
        <w:t>synthemata</w:t>
      </w:r>
      <w:proofErr w:type="spellEnd"/>
      <w:r w:rsidRPr="000C63A3">
        <w:rPr>
          <w:rFonts w:cs="Times"/>
          <w:i/>
        </w:rPr>
        <w:t xml:space="preserve"> </w:t>
      </w:r>
      <w:r w:rsidRPr="000C63A3">
        <w:rPr>
          <w:rFonts w:cs="Times"/>
        </w:rPr>
        <w:t xml:space="preserve">were a sub-category of </w:t>
      </w:r>
      <w:r w:rsidRPr="000C63A3">
        <w:rPr>
          <w:rFonts w:cs="Times"/>
          <w:i/>
        </w:rPr>
        <w:t xml:space="preserve">symbol, </w:t>
      </w:r>
      <w:r w:rsidRPr="000C63A3">
        <w:rPr>
          <w:rFonts w:cs="Times"/>
        </w:rPr>
        <w:t>words or phrases that had the effect of</w:t>
      </w:r>
      <w:r w:rsidRPr="000C63A3">
        <w:rPr>
          <w:rFonts w:cs="Times"/>
          <w:i/>
        </w:rPr>
        <w:t xml:space="preserve"> </w:t>
      </w:r>
      <w:proofErr w:type="spellStart"/>
      <w:r w:rsidRPr="000C63A3">
        <w:rPr>
          <w:rFonts w:cs="Times"/>
          <w:i/>
        </w:rPr>
        <w:t>symbolon</w:t>
      </w:r>
      <w:proofErr w:type="spellEnd"/>
      <w:r w:rsidRPr="000C63A3">
        <w:rPr>
          <w:rFonts w:cs="Times"/>
          <w:i/>
        </w:rPr>
        <w:t>.</w:t>
      </w:r>
      <w:r w:rsidRPr="000C63A3">
        <w:rPr>
          <w:rStyle w:val="FootnoteReference"/>
          <w:rFonts w:ascii="Cambria" w:hAnsi="Cambria" w:cs="Times"/>
        </w:rPr>
        <w:footnoteReference w:id="19"/>
      </w:r>
      <w:r w:rsidRPr="000C63A3">
        <w:rPr>
          <w:rFonts w:cs="Times"/>
        </w:rPr>
        <w:t xml:space="preserve"> Thus from Proclus’ statement, we can see that </w:t>
      </w:r>
      <w:proofErr w:type="spellStart"/>
      <w:r w:rsidRPr="000C63A3">
        <w:rPr>
          <w:rFonts w:cs="Times"/>
          <w:i/>
        </w:rPr>
        <w:t>symbola</w:t>
      </w:r>
      <w:proofErr w:type="spellEnd"/>
      <w:r w:rsidRPr="000C63A3">
        <w:rPr>
          <w:rFonts w:cs="Times"/>
        </w:rPr>
        <w:t xml:space="preserve"> and </w:t>
      </w:r>
      <w:proofErr w:type="spellStart"/>
      <w:r w:rsidRPr="000C63A3">
        <w:rPr>
          <w:rFonts w:cs="Times"/>
          <w:i/>
        </w:rPr>
        <w:t>synthemata</w:t>
      </w:r>
      <w:proofErr w:type="spellEnd"/>
      <w:r w:rsidRPr="000C63A3">
        <w:rPr>
          <w:rFonts w:cs="Times"/>
        </w:rPr>
        <w:t xml:space="preserve"> were used to make statues to house the gods, thus allowing them to enter easily. According to Porphyry, it was the gods themselves that told theurgists to make the statues in this way.</w:t>
      </w:r>
      <w:r w:rsidRPr="000C63A3">
        <w:rPr>
          <w:rStyle w:val="FootnoteReference"/>
          <w:rFonts w:ascii="Cambria" w:hAnsi="Cambria" w:cs="Times"/>
        </w:rPr>
        <w:footnoteReference w:id="20"/>
      </w:r>
      <w:r w:rsidRPr="000C63A3">
        <w:rPr>
          <w:rFonts w:cs="Times"/>
        </w:rPr>
        <w:t xml:space="preserve"> This links back to the acts of divination and oracles; it is the gods who decided how and when to reveal themselves. It was also possible for the gods to spontaneously enter the statues and cause them to move or weep, amongst other things, and the interpreters or theurgists were then able to interpret these actions.</w:t>
      </w:r>
      <w:r w:rsidRPr="000C63A3">
        <w:rPr>
          <w:rStyle w:val="FootnoteReference"/>
          <w:rFonts w:ascii="Cambria" w:hAnsi="Cambria" w:cs="Times"/>
        </w:rPr>
        <w:footnoteReference w:id="21"/>
      </w:r>
      <w:r w:rsidRPr="000C63A3">
        <w:rPr>
          <w:rFonts w:cs="Times"/>
        </w:rPr>
        <w:t xml:space="preserve"> Once again, the </w:t>
      </w:r>
      <w:proofErr w:type="gramStart"/>
      <w:r w:rsidRPr="000C63A3">
        <w:rPr>
          <w:rFonts w:cs="Times"/>
        </w:rPr>
        <w:t>gods were not invoked by the theurgists</w:t>
      </w:r>
      <w:proofErr w:type="gramEnd"/>
      <w:r w:rsidRPr="000C63A3">
        <w:rPr>
          <w:rFonts w:cs="Times"/>
        </w:rPr>
        <w:t xml:space="preserve">, but rather the gods made themselves appear to the prophesier. </w:t>
      </w:r>
    </w:p>
    <w:p w14:paraId="4F428F3A" w14:textId="77777777" w:rsidR="00757CB4" w:rsidRPr="000C63A3" w:rsidRDefault="00757CB4" w:rsidP="00757CB4">
      <w:pPr>
        <w:spacing w:line="360" w:lineRule="auto"/>
        <w:jc w:val="both"/>
        <w:rPr>
          <w:rFonts w:cs="Times"/>
        </w:rPr>
      </w:pPr>
    </w:p>
    <w:p w14:paraId="477D822E" w14:textId="77777777" w:rsidR="00757CB4" w:rsidRPr="000C63A3" w:rsidRDefault="00757CB4" w:rsidP="00757CB4">
      <w:pPr>
        <w:spacing w:line="360" w:lineRule="auto"/>
        <w:jc w:val="both"/>
      </w:pPr>
      <w:r w:rsidRPr="000C63A3">
        <w:t xml:space="preserve">From these three examples of </w:t>
      </w:r>
      <w:proofErr w:type="spellStart"/>
      <w:r w:rsidRPr="000C63A3">
        <w:t>theurgical</w:t>
      </w:r>
      <w:proofErr w:type="spellEnd"/>
      <w:r w:rsidRPr="000C63A3">
        <w:t xml:space="preserve"> practices, it is clear that a highly religious, divine, background supports the rituals. The gods are present in each practice and play a central role. The theurgist does not control the gods, but rather through purity and receptivity, the gods are able to share his or her divine gift with the theurgist and provide divine information. As </w:t>
      </w:r>
      <w:proofErr w:type="spellStart"/>
      <w:r w:rsidRPr="000C63A3">
        <w:t>Stang</w:t>
      </w:r>
      <w:proofErr w:type="spellEnd"/>
      <w:r w:rsidRPr="000C63A3">
        <w:t xml:space="preserve"> stated, for Iamblichus, “</w:t>
      </w:r>
      <w:r w:rsidRPr="000C63A3">
        <w:rPr>
          <w:i/>
        </w:rPr>
        <w:t>the agency in all the work of theurgy is, […], always divine</w:t>
      </w:r>
      <w:r w:rsidRPr="000C63A3">
        <w:t>.”</w:t>
      </w:r>
      <w:r w:rsidRPr="000C63A3">
        <w:rPr>
          <w:rStyle w:val="FootnoteReference"/>
          <w:rFonts w:ascii="Cambria" w:hAnsi="Cambria" w:cs="Times"/>
        </w:rPr>
        <w:footnoteReference w:id="22"/>
      </w:r>
      <w:r w:rsidRPr="000C63A3">
        <w:t xml:space="preserve"> This supports the theory that the mortal does not control the gods, but rather the gods can come and go as they please.</w:t>
      </w:r>
    </w:p>
    <w:p w14:paraId="34F7FDF2" w14:textId="77777777" w:rsidR="00757CB4" w:rsidRPr="000C63A3" w:rsidRDefault="00757CB4" w:rsidP="00757CB4">
      <w:pPr>
        <w:spacing w:line="360" w:lineRule="auto"/>
        <w:jc w:val="both"/>
        <w:rPr>
          <w:lang w:val="en-US"/>
        </w:rPr>
      </w:pPr>
    </w:p>
    <w:p w14:paraId="28D60196" w14:textId="77777777" w:rsidR="00757CB4" w:rsidRPr="000C63A3" w:rsidRDefault="00757CB4" w:rsidP="00757CB4">
      <w:pPr>
        <w:spacing w:line="360" w:lineRule="auto"/>
        <w:jc w:val="both"/>
        <w:rPr>
          <w:b/>
          <w:u w:val="single"/>
          <w:lang w:val="en-US"/>
        </w:rPr>
      </w:pPr>
      <w:r w:rsidRPr="000C63A3">
        <w:rPr>
          <w:b/>
          <w:u w:val="single"/>
          <w:lang w:val="en-US"/>
        </w:rPr>
        <w:t>Magical Practices</w:t>
      </w:r>
    </w:p>
    <w:p w14:paraId="350794B6" w14:textId="77777777" w:rsidR="00757CB4" w:rsidRPr="000C63A3" w:rsidRDefault="00757CB4" w:rsidP="00757CB4">
      <w:pPr>
        <w:spacing w:line="360" w:lineRule="auto"/>
        <w:jc w:val="both"/>
        <w:rPr>
          <w:rFonts w:cs="Times"/>
        </w:rPr>
      </w:pPr>
      <w:r w:rsidRPr="000C63A3">
        <w:rPr>
          <w:rFonts w:cs="Times"/>
        </w:rPr>
        <w:t>In contrast to theurgy, common magical practices included making curses and amulets, and using drugs and potions.</w:t>
      </w:r>
      <w:r w:rsidRPr="000C63A3">
        <w:rPr>
          <w:rStyle w:val="FootnoteReference"/>
          <w:rFonts w:ascii="Cambria" w:hAnsi="Cambria" w:cs="Times"/>
        </w:rPr>
        <w:footnoteReference w:id="23"/>
      </w:r>
      <w:r w:rsidRPr="000C63A3">
        <w:rPr>
          <w:rFonts w:cs="Times"/>
        </w:rPr>
        <w:t xml:space="preserve"> The </w:t>
      </w:r>
      <w:r w:rsidRPr="000C63A3">
        <w:rPr>
          <w:rFonts w:cs="Times"/>
          <w:i/>
        </w:rPr>
        <w:t xml:space="preserve">Papyri </w:t>
      </w:r>
      <w:proofErr w:type="spellStart"/>
      <w:r w:rsidRPr="000C63A3">
        <w:rPr>
          <w:rFonts w:cs="Times"/>
          <w:i/>
        </w:rPr>
        <w:t>Graecae</w:t>
      </w:r>
      <w:proofErr w:type="spellEnd"/>
      <w:r w:rsidRPr="000C63A3">
        <w:rPr>
          <w:rFonts w:cs="Times"/>
          <w:i/>
        </w:rPr>
        <w:t xml:space="preserve"> </w:t>
      </w:r>
      <w:proofErr w:type="spellStart"/>
      <w:r w:rsidRPr="000C63A3">
        <w:rPr>
          <w:rFonts w:cs="Times"/>
          <w:i/>
        </w:rPr>
        <w:t>Magicae</w:t>
      </w:r>
      <w:proofErr w:type="spellEnd"/>
      <w:r w:rsidRPr="000C63A3">
        <w:rPr>
          <w:rFonts w:cs="Times"/>
        </w:rPr>
        <w:t xml:space="preserve"> is a collection of ancient Greek spells, ranging from spells to catch a thief to love spells. There is also a spell to </w:t>
      </w:r>
      <w:r w:rsidRPr="000C63A3">
        <w:rPr>
          <w:rFonts w:cs="Times"/>
        </w:rPr>
        <w:lastRenderedPageBreak/>
        <w:t>cause oracles.</w:t>
      </w:r>
      <w:r w:rsidRPr="000C63A3">
        <w:rPr>
          <w:rStyle w:val="FootnoteReference"/>
          <w:rFonts w:ascii="Cambria" w:hAnsi="Cambria" w:cs="Times"/>
        </w:rPr>
        <w:footnoteReference w:id="24"/>
      </w:r>
      <w:r w:rsidRPr="000C63A3">
        <w:rPr>
          <w:rFonts w:cs="Times"/>
        </w:rPr>
        <w:t xml:space="preserve"> As seen before, oracles were also used in </w:t>
      </w:r>
      <w:proofErr w:type="spellStart"/>
      <w:r w:rsidRPr="000C63A3">
        <w:rPr>
          <w:rFonts w:cs="Times"/>
        </w:rPr>
        <w:t>theurgical</w:t>
      </w:r>
      <w:proofErr w:type="spellEnd"/>
      <w:r w:rsidRPr="000C63A3">
        <w:rPr>
          <w:rFonts w:cs="Times"/>
        </w:rPr>
        <w:t xml:space="preserve"> practices. As opposed to the use of oracles from a </w:t>
      </w:r>
      <w:proofErr w:type="spellStart"/>
      <w:r w:rsidRPr="000C63A3">
        <w:rPr>
          <w:rFonts w:cs="Times"/>
        </w:rPr>
        <w:t>theurgic</w:t>
      </w:r>
      <w:proofErr w:type="spellEnd"/>
      <w:r w:rsidRPr="000C63A3">
        <w:rPr>
          <w:rFonts w:cs="Times"/>
        </w:rPr>
        <w:t xml:space="preserve"> point of view, a ritual must be carried out before the gods are able to visit the magician in his or her sleep. For example, in PGM VII lines 703-726, a magician who wishes to request a dream oracle must write a spell on clean papyrus with myrrh. After placing the papyrus under a lamp, the practitioner must go to sleep in a pure condition.</w:t>
      </w:r>
      <w:r w:rsidRPr="000C63A3">
        <w:rPr>
          <w:rStyle w:val="FootnoteReference"/>
          <w:rFonts w:cs="Times"/>
        </w:rPr>
        <w:footnoteReference w:id="25"/>
      </w:r>
      <w:r w:rsidRPr="000C63A3">
        <w:rPr>
          <w:rFonts w:cs="Times"/>
        </w:rPr>
        <w:t xml:space="preserve"> This shows that, opposed to theurgy, the magician has to convince the gods to come to them in their sleep. The gods needed to be enticed with an offering.</w:t>
      </w:r>
    </w:p>
    <w:p w14:paraId="7EE0CCF3" w14:textId="77777777" w:rsidR="00757CB4" w:rsidRPr="000C63A3" w:rsidRDefault="00757CB4" w:rsidP="00757CB4">
      <w:pPr>
        <w:spacing w:line="360" w:lineRule="auto"/>
        <w:jc w:val="both"/>
        <w:rPr>
          <w:rFonts w:cs="Times"/>
        </w:rPr>
      </w:pPr>
    </w:p>
    <w:p w14:paraId="11238762" w14:textId="77777777" w:rsidR="00757CB4" w:rsidRPr="000C63A3" w:rsidRDefault="00757CB4" w:rsidP="00757CB4">
      <w:pPr>
        <w:spacing w:line="360" w:lineRule="auto"/>
        <w:jc w:val="both"/>
        <w:rPr>
          <w:rFonts w:cs="Times"/>
        </w:rPr>
      </w:pPr>
      <w:r w:rsidRPr="000C63A3">
        <w:rPr>
          <w:rFonts w:cs="Times"/>
        </w:rPr>
        <w:t>Another form of magic used in the Greek and Roman worlds was the use of amulets. According to Ogden, these were, at their most basic level, “</w:t>
      </w:r>
      <w:r w:rsidRPr="000C63A3">
        <w:rPr>
          <w:rFonts w:cs="Times"/>
          <w:i/>
        </w:rPr>
        <w:t>a protective or empowering magical bond</w:t>
      </w:r>
      <w:r w:rsidRPr="000C63A3">
        <w:rPr>
          <w:rFonts w:cs="Times"/>
        </w:rPr>
        <w:t>” and quite often, these amulets were worn around the neck in a fabric pouch or a bronze tube.</w:t>
      </w:r>
      <w:r w:rsidRPr="000C63A3">
        <w:rPr>
          <w:rStyle w:val="FootnoteReference"/>
          <w:rFonts w:ascii="Cambria" w:hAnsi="Cambria" w:cs="Times"/>
        </w:rPr>
        <w:footnoteReference w:id="26"/>
      </w:r>
      <w:r w:rsidRPr="000C63A3">
        <w:rPr>
          <w:rFonts w:cs="Times"/>
        </w:rPr>
        <w:t xml:space="preserve"> These amulets could be used for a range of different purposes, from contraceptive methods, to healing purposes. For example, spell 267 in Ogden’s collection is </w:t>
      </w:r>
      <w:proofErr w:type="gramStart"/>
      <w:r w:rsidRPr="000C63A3">
        <w:rPr>
          <w:rFonts w:cs="Times"/>
        </w:rPr>
        <w:t>an ‘</w:t>
      </w:r>
      <w:r w:rsidRPr="000C63A3">
        <w:rPr>
          <w:rFonts w:cs="Times"/>
          <w:i/>
        </w:rPr>
        <w:t>amulet</w:t>
      </w:r>
      <w:proofErr w:type="gramEnd"/>
      <w:r w:rsidRPr="000C63A3">
        <w:rPr>
          <w:rFonts w:cs="Times"/>
          <w:i/>
        </w:rPr>
        <w:t xml:space="preserve"> protecting </w:t>
      </w:r>
      <w:proofErr w:type="spellStart"/>
      <w:r w:rsidRPr="000C63A3">
        <w:rPr>
          <w:rFonts w:cs="Times"/>
          <w:i/>
        </w:rPr>
        <w:t>Rufina</w:t>
      </w:r>
      <w:proofErr w:type="spellEnd"/>
      <w:r w:rsidRPr="000C63A3">
        <w:rPr>
          <w:rFonts w:cs="Times"/>
          <w:i/>
        </w:rPr>
        <w:t xml:space="preserve"> from a lawsuit’</w:t>
      </w:r>
      <w:r w:rsidRPr="000C63A3">
        <w:rPr>
          <w:rFonts w:cs="Times"/>
        </w:rPr>
        <w:t>.</w:t>
      </w:r>
      <w:r w:rsidRPr="000C63A3">
        <w:rPr>
          <w:rStyle w:val="FootnoteReference"/>
          <w:rFonts w:ascii="Cambria" w:hAnsi="Cambria" w:cs="Times"/>
        </w:rPr>
        <w:footnoteReference w:id="27"/>
      </w:r>
      <w:r w:rsidRPr="000C63A3">
        <w:rPr>
          <w:rFonts w:cs="Times"/>
        </w:rPr>
        <w:t xml:space="preserve"> This is a silver lamella that was created for someone named </w:t>
      </w:r>
      <w:proofErr w:type="spellStart"/>
      <w:r w:rsidRPr="000C63A3">
        <w:rPr>
          <w:rFonts w:cs="Times"/>
        </w:rPr>
        <w:t>Rufina</w:t>
      </w:r>
      <w:proofErr w:type="spellEnd"/>
      <w:r w:rsidRPr="000C63A3">
        <w:rPr>
          <w:rFonts w:cs="Times"/>
        </w:rPr>
        <w:t xml:space="preserve"> and, as Ogden writes, amulets were often custom made for particular purposes and individuals.</w:t>
      </w:r>
      <w:r w:rsidRPr="000C63A3">
        <w:rPr>
          <w:rStyle w:val="FootnoteReference"/>
          <w:rFonts w:ascii="Cambria" w:hAnsi="Cambria" w:cs="Times"/>
        </w:rPr>
        <w:footnoteReference w:id="28"/>
      </w:r>
      <w:r w:rsidRPr="000C63A3">
        <w:rPr>
          <w:rFonts w:cs="Times"/>
        </w:rPr>
        <w:t xml:space="preserve"> This particular amulet in question was an engraving on a silver lamella and was used to protect </w:t>
      </w:r>
      <w:proofErr w:type="spellStart"/>
      <w:r w:rsidRPr="000C63A3">
        <w:rPr>
          <w:rFonts w:cs="Times"/>
        </w:rPr>
        <w:t>Rufina</w:t>
      </w:r>
      <w:proofErr w:type="spellEnd"/>
      <w:r w:rsidRPr="000C63A3">
        <w:rPr>
          <w:rFonts w:cs="Times"/>
        </w:rPr>
        <w:t xml:space="preserve"> from a lawsuit and to grant her protective powers for the future. It enabled her to defend herself against poisonous or magical attacks. Once again, we see that a certain text or spell must be written on specific material in order for the gods to make an appearance or grant the wish that is being requested, they do not just make themselves present.</w:t>
      </w:r>
    </w:p>
    <w:p w14:paraId="1B0D6CE2" w14:textId="77777777" w:rsidR="00757CB4" w:rsidRPr="000C63A3" w:rsidRDefault="00757CB4" w:rsidP="00757CB4">
      <w:pPr>
        <w:spacing w:line="360" w:lineRule="auto"/>
        <w:jc w:val="both"/>
        <w:rPr>
          <w:rFonts w:cs="Times"/>
        </w:rPr>
      </w:pPr>
    </w:p>
    <w:p w14:paraId="6D16C901" w14:textId="77777777" w:rsidR="00757CB4" w:rsidRPr="000C63A3" w:rsidRDefault="00757CB4" w:rsidP="00757CB4">
      <w:pPr>
        <w:spacing w:line="360" w:lineRule="auto"/>
        <w:jc w:val="both"/>
        <w:rPr>
          <w:rFonts w:cs="Times"/>
        </w:rPr>
      </w:pPr>
      <w:r w:rsidRPr="000C63A3">
        <w:rPr>
          <w:rFonts w:cs="Times"/>
        </w:rPr>
        <w:t>Another form of magic employed in the Ancient World was the use of potions and lotions, for example, love potions or contraceptives. Potions were used often when women suspected men to be cheating on them and often this resulted in the death of the man when an incorrect dosage was given.</w:t>
      </w:r>
      <w:r w:rsidRPr="000C63A3">
        <w:rPr>
          <w:rStyle w:val="FootnoteReference"/>
          <w:rFonts w:ascii="Cambria" w:hAnsi="Cambria" w:cs="Times"/>
        </w:rPr>
        <w:footnoteReference w:id="29"/>
      </w:r>
      <w:r w:rsidRPr="000C63A3">
        <w:rPr>
          <w:rFonts w:cs="Times"/>
        </w:rPr>
        <w:t xml:space="preserve"> Ogden outlines the “</w:t>
      </w:r>
      <w:r w:rsidRPr="000C63A3">
        <w:rPr>
          <w:rFonts w:cs="Times"/>
          <w:i/>
        </w:rPr>
        <w:t>vulva key</w:t>
      </w:r>
      <w:r w:rsidRPr="000C63A3">
        <w:rPr>
          <w:rFonts w:cs="Times"/>
        </w:rPr>
        <w:t>” lotion, which a man is to use in order to attract a woman.</w:t>
      </w:r>
      <w:r w:rsidRPr="000C63A3">
        <w:rPr>
          <w:rStyle w:val="FootnoteReference"/>
          <w:rFonts w:ascii="Cambria" w:hAnsi="Cambria" w:cs="Times"/>
        </w:rPr>
        <w:footnoteReference w:id="30"/>
      </w:r>
      <w:r w:rsidRPr="000C63A3">
        <w:rPr>
          <w:rFonts w:cs="Times"/>
        </w:rPr>
        <w:t xml:space="preserve"> In this spell, the man is supposed to take </w:t>
      </w:r>
      <w:r w:rsidRPr="000C63A3">
        <w:rPr>
          <w:rFonts w:cs="Times"/>
        </w:rPr>
        <w:lastRenderedPageBreak/>
        <w:t>various different objects, e.g. various plants along with the bile of an electric ray, and he must anoint his genitals whilst chanting a spell. In comparison to this lotion, is “</w:t>
      </w:r>
      <w:r w:rsidRPr="000C63A3">
        <w:rPr>
          <w:rFonts w:cs="Times"/>
          <w:i/>
        </w:rPr>
        <w:t>a lotion to avert women from sex</w:t>
      </w:r>
      <w:r w:rsidRPr="000C63A3">
        <w:rPr>
          <w:rFonts w:cs="Times"/>
        </w:rPr>
        <w:t>.”</w:t>
      </w:r>
      <w:r w:rsidRPr="000C63A3">
        <w:rPr>
          <w:rStyle w:val="FootnoteReference"/>
          <w:rFonts w:ascii="Cambria" w:hAnsi="Cambria" w:cs="Times"/>
        </w:rPr>
        <w:footnoteReference w:id="31"/>
      </w:r>
      <w:r w:rsidRPr="000C63A3">
        <w:rPr>
          <w:rFonts w:cs="Times"/>
        </w:rPr>
        <w:t xml:space="preserve"> In this spell, very specific ingredients are to be smeared on the loins of a woman in order to end her sexual desire, but no chant is required in order for it to work as in the first lotion. Thus, for lotions, the gods are not always called upon in order for the magic to work, as opposed to theurgy. </w:t>
      </w:r>
    </w:p>
    <w:p w14:paraId="1E2A2054" w14:textId="77777777" w:rsidR="00757CB4" w:rsidRPr="000C63A3" w:rsidRDefault="00757CB4" w:rsidP="00757CB4">
      <w:pPr>
        <w:spacing w:line="360" w:lineRule="auto"/>
        <w:jc w:val="both"/>
        <w:rPr>
          <w:rFonts w:cs="Times"/>
        </w:rPr>
      </w:pPr>
    </w:p>
    <w:p w14:paraId="5126FED2" w14:textId="77777777" w:rsidR="00757CB4" w:rsidRPr="000C63A3" w:rsidRDefault="00757CB4" w:rsidP="00757CB4">
      <w:pPr>
        <w:spacing w:line="360" w:lineRule="auto"/>
        <w:jc w:val="both"/>
        <w:rPr>
          <w:rFonts w:cs="Times"/>
        </w:rPr>
      </w:pPr>
      <w:r w:rsidRPr="000C63A3">
        <w:rPr>
          <w:rFonts w:cs="Times"/>
        </w:rPr>
        <w:t xml:space="preserve">From these three examples of magic, it is possible to conclude that, in comparison to theurgy, the gods do not necessarily need to be present in order for the process to work. It is true that the gods are often called upon for their wisdom or aid, but, for example, the gods are not around when creating a love potion, nor are they present when creating a healing amulet. Divine chants however are in some cases carried in out in order to ask the gods to share their powers. Within magic, there appears to be a notion of give and take. The practitioner offers the gods a sacrifice or an offering and thus he or she may take what they wish from the gods’ power. </w:t>
      </w:r>
    </w:p>
    <w:p w14:paraId="600AA2FE" w14:textId="77777777" w:rsidR="00757CB4" w:rsidRPr="000C63A3" w:rsidRDefault="00757CB4" w:rsidP="00757CB4">
      <w:pPr>
        <w:spacing w:line="360" w:lineRule="auto"/>
        <w:jc w:val="both"/>
        <w:rPr>
          <w:rFonts w:cs="Times"/>
        </w:rPr>
      </w:pPr>
    </w:p>
    <w:p w14:paraId="131BC8E9" w14:textId="77777777" w:rsidR="00757CB4" w:rsidRPr="000C63A3" w:rsidRDefault="00757CB4" w:rsidP="00757CB4">
      <w:pPr>
        <w:spacing w:line="360" w:lineRule="auto"/>
        <w:jc w:val="both"/>
        <w:rPr>
          <w:rFonts w:cs="Times"/>
          <w:b/>
          <w:u w:val="single"/>
        </w:rPr>
      </w:pPr>
      <w:r w:rsidRPr="000C63A3">
        <w:rPr>
          <w:rFonts w:cs="Times"/>
          <w:b/>
          <w:u w:val="single"/>
        </w:rPr>
        <w:t>Divination as a magical practice</w:t>
      </w:r>
    </w:p>
    <w:p w14:paraId="2BF755EF" w14:textId="77777777" w:rsidR="00757CB4" w:rsidRPr="000C63A3" w:rsidRDefault="00757CB4" w:rsidP="00757CB4">
      <w:pPr>
        <w:spacing w:line="360" w:lineRule="auto"/>
        <w:jc w:val="both"/>
        <w:rPr>
          <w:lang w:val="en-US"/>
        </w:rPr>
      </w:pPr>
      <w:r w:rsidRPr="000C63A3">
        <w:rPr>
          <w:rFonts w:cs="Times"/>
        </w:rPr>
        <w:t xml:space="preserve">Divination was also a practice used by sorcerers and as a form of magic and Iamblichus discusses this in Book 3 of </w:t>
      </w:r>
      <w:r w:rsidRPr="000C63A3">
        <w:rPr>
          <w:rFonts w:cs="Times"/>
          <w:i/>
        </w:rPr>
        <w:t xml:space="preserve">De </w:t>
      </w:r>
      <w:proofErr w:type="spellStart"/>
      <w:r w:rsidRPr="000C63A3">
        <w:rPr>
          <w:rFonts w:cs="Times"/>
          <w:i/>
        </w:rPr>
        <w:t>Mysteriis</w:t>
      </w:r>
      <w:proofErr w:type="spellEnd"/>
      <w:r w:rsidRPr="000C63A3">
        <w:rPr>
          <w:rFonts w:cs="Times"/>
          <w:i/>
        </w:rPr>
        <w:t>.</w:t>
      </w:r>
      <w:r w:rsidRPr="000C63A3">
        <w:rPr>
          <w:rFonts w:cs="Times"/>
        </w:rPr>
        <w:t xml:space="preserve"> However, Iamblichus has very strong opinions against the use of divination as a magical practice and he believes that it was not true divination. For example, he states “</w:t>
      </w:r>
      <w:r w:rsidRPr="000C63A3">
        <w:rPr>
          <w:rFonts w:cs="Times"/>
          <w:i/>
        </w:rPr>
        <w:t>[…</w:t>
      </w:r>
      <w:proofErr w:type="gramStart"/>
      <w:r w:rsidRPr="000C63A3">
        <w:rPr>
          <w:rFonts w:cs="Times"/>
          <w:i/>
        </w:rPr>
        <w:t>]employing</w:t>
      </w:r>
      <w:proofErr w:type="gramEnd"/>
      <w:r w:rsidRPr="000C63A3">
        <w:rPr>
          <w:rFonts w:cs="Times"/>
          <w:i/>
        </w:rPr>
        <w:t xml:space="preserve"> falsehood and deceit of an intolerable nature, enjoys the presence of no god, but produces a certain motion of the soul, contrary to the gods […].</w:t>
      </w:r>
      <w:r w:rsidRPr="000C63A3">
        <w:rPr>
          <w:rFonts w:cs="Times"/>
        </w:rPr>
        <w:t>”</w:t>
      </w:r>
      <w:r w:rsidRPr="000C63A3">
        <w:rPr>
          <w:rStyle w:val="FootnoteReference"/>
          <w:rFonts w:ascii="Cambria" w:hAnsi="Cambria" w:cs="Times"/>
        </w:rPr>
        <w:footnoteReference w:id="32"/>
      </w:r>
      <w:r w:rsidRPr="000C63A3">
        <w:rPr>
          <w:rFonts w:cs="Times"/>
        </w:rPr>
        <w:t xml:space="preserve"> He continues to mention that the spirit conjured is phantom-like and feeble in power, able to be disturbed by daemonic influences. From this we can conclude that for Iamblichus, theurgy is not a form of magic, or rather magic cannot be used for true </w:t>
      </w:r>
      <w:proofErr w:type="spellStart"/>
      <w:r w:rsidRPr="000C63A3">
        <w:rPr>
          <w:rFonts w:cs="Times"/>
        </w:rPr>
        <w:t>theurgical</w:t>
      </w:r>
      <w:proofErr w:type="spellEnd"/>
      <w:r w:rsidRPr="000C63A3">
        <w:rPr>
          <w:rFonts w:cs="Times"/>
        </w:rPr>
        <w:t xml:space="preserve"> practices. He states later that practitioners of magic are “</w:t>
      </w:r>
      <w:r w:rsidRPr="000C63A3">
        <w:rPr>
          <w:rFonts w:cs="Times"/>
          <w:i/>
        </w:rPr>
        <w:t>the cause of all evils inherent in these divinations</w:t>
      </w:r>
      <w:r w:rsidRPr="000C63A3">
        <w:rPr>
          <w:rFonts w:cs="Times"/>
        </w:rPr>
        <w:t>”</w:t>
      </w:r>
      <w:r w:rsidRPr="000C63A3">
        <w:rPr>
          <w:rStyle w:val="FootnoteReference"/>
          <w:rFonts w:ascii="Cambria" w:hAnsi="Cambria" w:cs="Times"/>
        </w:rPr>
        <w:footnoteReference w:id="33"/>
      </w:r>
      <w:r w:rsidRPr="000C63A3">
        <w:rPr>
          <w:rFonts w:cs="Times"/>
        </w:rPr>
        <w:t xml:space="preserve"> and later in Book 3 he mentions that it is not a god who is a maker of these </w:t>
      </w:r>
      <w:proofErr w:type="spellStart"/>
      <w:r w:rsidRPr="000C63A3">
        <w:rPr>
          <w:rFonts w:cs="Times"/>
        </w:rPr>
        <w:t>divinationatory</w:t>
      </w:r>
      <w:proofErr w:type="spellEnd"/>
      <w:r w:rsidRPr="000C63A3">
        <w:rPr>
          <w:rFonts w:cs="Times"/>
        </w:rPr>
        <w:t xml:space="preserve"> images, but a human being.</w:t>
      </w:r>
      <w:r w:rsidRPr="000C63A3">
        <w:rPr>
          <w:rStyle w:val="FootnoteReference"/>
          <w:rFonts w:ascii="Cambria" w:hAnsi="Cambria" w:cs="Times"/>
        </w:rPr>
        <w:footnoteReference w:id="34"/>
      </w:r>
      <w:r w:rsidRPr="000C63A3">
        <w:rPr>
          <w:rFonts w:cs="Times"/>
        </w:rPr>
        <w:t xml:space="preserve"> Thus we can conclude that no divine presence is present when using divination for magical purposes. To support Iamblichus’ stance on sorcerers’ ability to create divine like images, he states </w:t>
      </w:r>
      <w:r w:rsidRPr="000C63A3">
        <w:rPr>
          <w:rFonts w:cs="Times"/>
          <w:i/>
        </w:rPr>
        <w:lastRenderedPageBreak/>
        <w:t>“</w:t>
      </w:r>
      <w:r w:rsidRPr="000C63A3">
        <w:rPr>
          <w:i/>
          <w:lang w:val="en-US"/>
        </w:rPr>
        <w:t xml:space="preserve">[…] and so does purely by technical skill, and not by </w:t>
      </w:r>
      <w:proofErr w:type="spellStart"/>
      <w:r w:rsidRPr="000C63A3">
        <w:rPr>
          <w:i/>
          <w:lang w:val="en-US"/>
        </w:rPr>
        <w:t>theurgic</w:t>
      </w:r>
      <w:proofErr w:type="spellEnd"/>
      <w:r w:rsidRPr="000C63A3">
        <w:rPr>
          <w:i/>
          <w:lang w:val="en-US"/>
        </w:rPr>
        <w:t xml:space="preserve"> skill.</w:t>
      </w:r>
      <w:r w:rsidRPr="000C63A3">
        <w:rPr>
          <w:lang w:val="en-US"/>
        </w:rPr>
        <w:t>”</w:t>
      </w:r>
      <w:r w:rsidRPr="000C63A3">
        <w:rPr>
          <w:rStyle w:val="FootnoteReference"/>
          <w:rFonts w:ascii="Cambria" w:hAnsi="Cambria"/>
          <w:lang w:val="en-US"/>
        </w:rPr>
        <w:footnoteReference w:id="35"/>
      </w:r>
      <w:r w:rsidRPr="000C63A3">
        <w:rPr>
          <w:lang w:val="en-US"/>
        </w:rPr>
        <w:t xml:space="preserve"> Thus, the magicians, or </w:t>
      </w:r>
      <w:proofErr w:type="spellStart"/>
      <w:r w:rsidRPr="000C63A3">
        <w:rPr>
          <w:i/>
          <w:lang w:val="en-US"/>
        </w:rPr>
        <w:t>goetes</w:t>
      </w:r>
      <w:proofErr w:type="spellEnd"/>
      <w:r w:rsidRPr="000C63A3">
        <w:rPr>
          <w:lang w:val="en-US"/>
        </w:rPr>
        <w:t xml:space="preserve"> (sorcerers), do not have any </w:t>
      </w:r>
      <w:proofErr w:type="spellStart"/>
      <w:r w:rsidRPr="000C63A3">
        <w:rPr>
          <w:lang w:val="en-US"/>
        </w:rPr>
        <w:t>theurgic</w:t>
      </w:r>
      <w:proofErr w:type="spellEnd"/>
      <w:r w:rsidRPr="000C63A3">
        <w:rPr>
          <w:lang w:val="en-US"/>
        </w:rPr>
        <w:t xml:space="preserve"> skill whatsoever.</w:t>
      </w:r>
    </w:p>
    <w:p w14:paraId="4AA869A5" w14:textId="77777777" w:rsidR="00757CB4" w:rsidRPr="000C63A3" w:rsidRDefault="00757CB4" w:rsidP="00757CB4">
      <w:pPr>
        <w:spacing w:line="360" w:lineRule="auto"/>
        <w:jc w:val="both"/>
        <w:rPr>
          <w:rFonts w:cs="Times"/>
        </w:rPr>
      </w:pPr>
    </w:p>
    <w:p w14:paraId="39E9C525" w14:textId="77777777" w:rsidR="00757CB4" w:rsidRPr="000C63A3" w:rsidRDefault="00757CB4" w:rsidP="00757CB4">
      <w:pPr>
        <w:spacing w:line="360" w:lineRule="auto"/>
        <w:jc w:val="both"/>
        <w:rPr>
          <w:rFonts w:cs="Times"/>
          <w:b/>
          <w:u w:val="single"/>
        </w:rPr>
      </w:pPr>
      <w:r w:rsidRPr="000C63A3">
        <w:rPr>
          <w:rFonts w:cs="Times"/>
          <w:b/>
          <w:u w:val="single"/>
        </w:rPr>
        <w:t>Scholarly Debates</w:t>
      </w:r>
    </w:p>
    <w:p w14:paraId="583CECFD" w14:textId="77777777" w:rsidR="00757CB4" w:rsidRPr="000C63A3" w:rsidRDefault="00757CB4" w:rsidP="00757CB4">
      <w:pPr>
        <w:spacing w:line="360" w:lineRule="auto"/>
      </w:pPr>
      <w:proofErr w:type="spellStart"/>
      <w:r w:rsidRPr="000C63A3">
        <w:t>Dickie</w:t>
      </w:r>
      <w:proofErr w:type="spellEnd"/>
      <w:r w:rsidRPr="000C63A3">
        <w:t xml:space="preserve"> claims that serious philosophers who practiced theurgy viewed themselves to hold a higher branch of wisdom than practitioners of magic. They did not see themselves as magicians, which shows us that the ancients separated the two practices. However, he claims that </w:t>
      </w:r>
      <w:proofErr w:type="spellStart"/>
      <w:r w:rsidRPr="000C63A3">
        <w:t>theurgical</w:t>
      </w:r>
      <w:proofErr w:type="spellEnd"/>
      <w:r w:rsidRPr="000C63A3">
        <w:t xml:space="preserve"> practices were incorporated into magical practices,</w:t>
      </w:r>
      <w:r w:rsidRPr="000C63A3">
        <w:rPr>
          <w:rStyle w:val="FootnoteReference"/>
        </w:rPr>
        <w:footnoteReference w:id="36"/>
      </w:r>
      <w:r w:rsidRPr="000C63A3">
        <w:t xml:space="preserve"> supporting the idea that magic was a form of theurgy, rather than the other way around, and that the two developed from each other. </w:t>
      </w:r>
    </w:p>
    <w:p w14:paraId="345C89DE" w14:textId="77777777" w:rsidR="00757CB4" w:rsidRPr="000C63A3" w:rsidRDefault="00757CB4" w:rsidP="00757CB4">
      <w:pPr>
        <w:spacing w:line="360" w:lineRule="auto"/>
        <w:jc w:val="both"/>
        <w:rPr>
          <w:rFonts w:cs="Times"/>
          <w:b/>
          <w:u w:val="single"/>
        </w:rPr>
      </w:pPr>
    </w:p>
    <w:p w14:paraId="5D21C8F6" w14:textId="77777777" w:rsidR="00757CB4" w:rsidRPr="000C63A3" w:rsidRDefault="00757CB4" w:rsidP="00757CB4">
      <w:pPr>
        <w:spacing w:line="360" w:lineRule="auto"/>
        <w:jc w:val="both"/>
        <w:rPr>
          <w:rFonts w:cs="Times"/>
        </w:rPr>
      </w:pPr>
      <w:r w:rsidRPr="000C63A3">
        <w:rPr>
          <w:rFonts w:cs="Times"/>
        </w:rPr>
        <w:t>Additionally, Iamblichus claims there to be substantial differences between theurgy and magic.</w:t>
      </w:r>
      <w:r w:rsidRPr="000C63A3">
        <w:rPr>
          <w:rStyle w:val="FootnoteReference"/>
          <w:rFonts w:ascii="Cambria" w:hAnsi="Cambria" w:cs="Times"/>
        </w:rPr>
        <w:footnoteReference w:id="37"/>
      </w:r>
      <w:r w:rsidRPr="000C63A3">
        <w:rPr>
          <w:rFonts w:cs="Times"/>
        </w:rPr>
        <w:t xml:space="preserve"> However, the most pressing is way that the rituals are used in the two practices. For the magician, the ritual power is his own, but for the theurgist, these powers are a gift from the gods.</w:t>
      </w:r>
      <w:r w:rsidRPr="000C63A3">
        <w:rPr>
          <w:rStyle w:val="FootnoteReference"/>
          <w:rFonts w:ascii="Cambria" w:hAnsi="Cambria" w:cs="Times"/>
        </w:rPr>
        <w:footnoteReference w:id="38"/>
      </w:r>
      <w:r w:rsidRPr="000C63A3">
        <w:rPr>
          <w:rFonts w:cs="Times"/>
        </w:rPr>
        <w:t xml:space="preserve"> </w:t>
      </w:r>
      <w:r w:rsidRPr="000C63A3">
        <w:t>Porphyry supports this claim by warning those practicing theurgy as it comes very close to magic.</w:t>
      </w:r>
      <w:r w:rsidRPr="000C63A3">
        <w:rPr>
          <w:rStyle w:val="FootnoteReference"/>
        </w:rPr>
        <w:footnoteReference w:id="39"/>
      </w:r>
      <w:r w:rsidRPr="000C63A3">
        <w:t xml:space="preserve"> </w:t>
      </w:r>
      <w:r w:rsidRPr="000C63A3">
        <w:rPr>
          <w:rFonts w:cs="Times"/>
        </w:rPr>
        <w:t>Therefore, rather than trying to differentiate between magic and theurgy through the rituals carried out, it is perhaps more necessary to differentiate between the two in terms of what the practitioner felt when carrying out the rituals. Magic appears to be a more selfish act in order to gain something personal from the gods. For example, from the practices discussed above, the end goal is to protect someone from a lawsuit, or to get revenge on an adulterous husband. On the other hand, theurgy appears to include the gods and see the power as a gift, and the theurgist must be pure in order to receive this gift. As Frazer noted, “</w:t>
      </w:r>
      <w:r w:rsidRPr="000C63A3">
        <w:rPr>
          <w:rFonts w:cs="Times"/>
          <w:i/>
        </w:rPr>
        <w:t>unlike religion, magical belief lacks personification, and its practices exploit supernatural mechanisms</w:t>
      </w:r>
      <w:r w:rsidRPr="000C63A3">
        <w:rPr>
          <w:rFonts w:cs="Times"/>
        </w:rPr>
        <w:t>.”</w:t>
      </w:r>
      <w:r w:rsidRPr="000C63A3">
        <w:rPr>
          <w:rStyle w:val="FootnoteReference"/>
          <w:rFonts w:ascii="Cambria" w:hAnsi="Cambria" w:cs="Times"/>
        </w:rPr>
        <w:footnoteReference w:id="40"/>
      </w:r>
      <w:r w:rsidRPr="000C63A3">
        <w:rPr>
          <w:rFonts w:cs="Times"/>
        </w:rPr>
        <w:t xml:space="preserve"> The key word here is ‘exploit’ and, as Durkheim acknowledged, religion involves the community whereas magic involves only a clientele. Malinowski also noted that religious practices have a long-term goal in comparison to magic having a concrete end-goal.</w:t>
      </w:r>
      <w:r w:rsidRPr="000C63A3">
        <w:rPr>
          <w:rStyle w:val="FootnoteReference"/>
          <w:rFonts w:ascii="Cambria" w:hAnsi="Cambria" w:cs="Times"/>
        </w:rPr>
        <w:footnoteReference w:id="41"/>
      </w:r>
      <w:r w:rsidRPr="000C63A3">
        <w:rPr>
          <w:rFonts w:cs="Times"/>
        </w:rPr>
        <w:t xml:space="preserve"> From these ideas, we can conclude that magic is a practice that one performs for personal gain, as we can see in the example </w:t>
      </w:r>
      <w:r w:rsidRPr="000C63A3">
        <w:rPr>
          <w:rFonts w:cs="Times"/>
        </w:rPr>
        <w:lastRenderedPageBreak/>
        <w:t xml:space="preserve">of love potions and the amulet made to help </w:t>
      </w:r>
      <w:proofErr w:type="spellStart"/>
      <w:r w:rsidRPr="000C63A3">
        <w:rPr>
          <w:rFonts w:cs="Times"/>
        </w:rPr>
        <w:t>Rufina</w:t>
      </w:r>
      <w:proofErr w:type="spellEnd"/>
      <w:r w:rsidRPr="000C63A3">
        <w:rPr>
          <w:rFonts w:cs="Times"/>
        </w:rPr>
        <w:t xml:space="preserve"> in her lawsuit, whereas theurgy is an act that aimed to gain a deeper connection to the gods. The gods are not exploited in theurgy; rather they work alongside the theurgist and offer advice to those who are pure when needed.</w:t>
      </w:r>
    </w:p>
    <w:p w14:paraId="742771DC" w14:textId="77777777" w:rsidR="00757CB4" w:rsidRPr="000C63A3" w:rsidRDefault="00757CB4" w:rsidP="00757CB4">
      <w:pPr>
        <w:spacing w:line="360" w:lineRule="auto"/>
        <w:jc w:val="both"/>
        <w:rPr>
          <w:rFonts w:cs="Times"/>
        </w:rPr>
      </w:pPr>
    </w:p>
    <w:p w14:paraId="284805BA" w14:textId="77777777" w:rsidR="00757CB4" w:rsidRPr="000C63A3" w:rsidRDefault="00757CB4" w:rsidP="00757CB4">
      <w:pPr>
        <w:spacing w:line="360" w:lineRule="auto"/>
        <w:jc w:val="both"/>
        <w:rPr>
          <w:rFonts w:cs="Times"/>
        </w:rPr>
      </w:pPr>
      <w:r w:rsidRPr="000C63A3">
        <w:rPr>
          <w:rFonts w:cs="Times"/>
        </w:rPr>
        <w:t>According to Sheppard, theurgy “</w:t>
      </w:r>
      <w:r w:rsidRPr="000C63A3">
        <w:rPr>
          <w:rFonts w:cs="Times"/>
          <w:i/>
        </w:rPr>
        <w:t>concerned with the affairs of human life is effectively white magic</w:t>
      </w:r>
      <w:r w:rsidRPr="000C63A3">
        <w:rPr>
          <w:rFonts w:cs="Times"/>
        </w:rPr>
        <w:t>.”</w:t>
      </w:r>
      <w:r w:rsidRPr="000C63A3">
        <w:rPr>
          <w:rStyle w:val="FootnoteReference"/>
          <w:rFonts w:ascii="Cambria" w:hAnsi="Cambria" w:cs="Times"/>
        </w:rPr>
        <w:footnoteReference w:id="42"/>
      </w:r>
      <w:r w:rsidRPr="000C63A3">
        <w:rPr>
          <w:rFonts w:cs="Times"/>
        </w:rPr>
        <w:t xml:space="preserve"> From this, it is possible to claim that theurgy is indeed a form of magic, but that it focuses mainly on doing good and learning from the gods. Pure magic on the other hand, taking the use of potions and drugs as an example, can be used to cause harm to others or to influence other individuals to do what you wish. This can be seen through the use of love potions; the user of the potion is able to influence another individual to fall in love with him or her. Theurgy, on the other hand, would be used to ask a question relating to the future rather than to influence the feelings of another.</w:t>
      </w:r>
    </w:p>
    <w:p w14:paraId="6E106D56" w14:textId="77777777" w:rsidR="00757CB4" w:rsidRPr="000C63A3" w:rsidRDefault="00757CB4" w:rsidP="00757CB4">
      <w:pPr>
        <w:spacing w:line="360" w:lineRule="auto"/>
        <w:jc w:val="both"/>
        <w:rPr>
          <w:rFonts w:cs="Times"/>
        </w:rPr>
      </w:pPr>
    </w:p>
    <w:p w14:paraId="073F6200" w14:textId="77777777" w:rsidR="00757CB4" w:rsidRPr="000C63A3" w:rsidRDefault="00757CB4" w:rsidP="00757CB4">
      <w:pPr>
        <w:spacing w:line="360" w:lineRule="auto"/>
        <w:jc w:val="both"/>
        <w:rPr>
          <w:rFonts w:cs="Times"/>
        </w:rPr>
      </w:pPr>
      <w:r w:rsidRPr="000C63A3">
        <w:rPr>
          <w:rFonts w:cs="Times"/>
        </w:rPr>
        <w:t>However, rather than stating how religion, or theurgy, and magic differ from one another, Benedict claimed that religion and magic formed a continuum.</w:t>
      </w:r>
      <w:r w:rsidRPr="000C63A3">
        <w:rPr>
          <w:rStyle w:val="FootnoteReference"/>
          <w:rFonts w:ascii="Cambria" w:hAnsi="Cambria" w:cs="Times"/>
        </w:rPr>
        <w:footnoteReference w:id="43"/>
      </w:r>
      <w:r w:rsidRPr="000C63A3">
        <w:rPr>
          <w:rFonts w:cs="Times"/>
        </w:rPr>
        <w:t xml:space="preserve"> This is perhaps a more reasonable way of thinking, as many of the features of theurgy and magic overlap and link into one another, mainly the gods’ role. In both magic and theurgy, the gods are commonly the driving force; they allow the process to take place. If the gods were not present, there would be neither theurgy nor magic. As Hammond stated, “</w:t>
      </w:r>
      <w:r w:rsidRPr="000C63A3">
        <w:rPr>
          <w:rFonts w:cs="Times"/>
          <w:i/>
        </w:rPr>
        <w:t>magic is not an entity distinct from religion but a form of ritual behaviour and thus an element of religion</w:t>
      </w:r>
      <w:r w:rsidRPr="000C63A3">
        <w:rPr>
          <w:rFonts w:cs="Times"/>
        </w:rPr>
        <w:t>.”</w:t>
      </w:r>
      <w:r w:rsidRPr="000C63A3">
        <w:rPr>
          <w:rStyle w:val="FootnoteReference"/>
          <w:rFonts w:ascii="Cambria" w:hAnsi="Cambria" w:cs="Times"/>
        </w:rPr>
        <w:footnoteReference w:id="44"/>
      </w:r>
      <w:r w:rsidRPr="000C63A3">
        <w:rPr>
          <w:rFonts w:cs="Times"/>
        </w:rPr>
        <w:t xml:space="preserve"> Instead of claiming that theurgy, or religion, is a form of magic, Hammond supports the claim that magic is a subcategory of religion, as is theurgy. Thus, it can be contested that, rather than theurgy being a form of magic, both theurgy and magic are subcategories of religion. </w:t>
      </w:r>
    </w:p>
    <w:p w14:paraId="259F40E4" w14:textId="77777777" w:rsidR="00757CB4" w:rsidRPr="000C63A3" w:rsidRDefault="00757CB4" w:rsidP="00757CB4">
      <w:pPr>
        <w:spacing w:line="360" w:lineRule="auto"/>
        <w:jc w:val="both"/>
        <w:rPr>
          <w:rFonts w:cs="Times"/>
        </w:rPr>
      </w:pPr>
    </w:p>
    <w:p w14:paraId="698928B7" w14:textId="77777777" w:rsidR="00757CB4" w:rsidRPr="000C63A3" w:rsidRDefault="00757CB4" w:rsidP="00757CB4">
      <w:pPr>
        <w:spacing w:line="360" w:lineRule="auto"/>
        <w:jc w:val="both"/>
        <w:rPr>
          <w:rFonts w:cs="Times"/>
        </w:rPr>
      </w:pPr>
      <w:r w:rsidRPr="000C63A3">
        <w:t xml:space="preserve">Furthermore, </w:t>
      </w:r>
      <w:proofErr w:type="spellStart"/>
      <w:r w:rsidRPr="000C63A3">
        <w:t>Addey</w:t>
      </w:r>
      <w:proofErr w:type="spellEnd"/>
      <w:r w:rsidRPr="000C63A3">
        <w:t xml:space="preserve"> stated that theurgists might have been influenced by magical practices in their use of symbols.</w:t>
      </w:r>
      <w:r w:rsidRPr="000C63A3">
        <w:rPr>
          <w:rStyle w:val="FootnoteReference"/>
          <w:rFonts w:ascii="Cambria" w:hAnsi="Cambria" w:cs="Times"/>
        </w:rPr>
        <w:footnoteReference w:id="45"/>
      </w:r>
      <w:r w:rsidRPr="000C63A3">
        <w:t xml:space="preserve"> From this, it is possible to conclude that theurgy was a sub-category of magic and that it grew from magical practices. </w:t>
      </w:r>
      <w:proofErr w:type="spellStart"/>
      <w:r w:rsidRPr="000C63A3">
        <w:t>Stang</w:t>
      </w:r>
      <w:proofErr w:type="spellEnd"/>
      <w:r w:rsidRPr="000C63A3">
        <w:t xml:space="preserve"> further claimed that the practices of theurgy and magic may appear similar, but the goal that the practitioner </w:t>
      </w:r>
      <w:r w:rsidRPr="000C63A3">
        <w:lastRenderedPageBreak/>
        <w:t>has in mind is different.</w:t>
      </w:r>
      <w:r w:rsidRPr="000C63A3">
        <w:rPr>
          <w:rStyle w:val="FootnoteReference"/>
          <w:rFonts w:ascii="Cambria" w:hAnsi="Cambria"/>
        </w:rPr>
        <w:footnoteReference w:id="46"/>
      </w:r>
      <w:r w:rsidRPr="000C63A3">
        <w:t xml:space="preserve"> This supports Iamblichus’ claim that theurgy has the goal to purify the soul, whereas magic wishes to influence.</w:t>
      </w:r>
      <w:r w:rsidRPr="000C63A3">
        <w:rPr>
          <w:rStyle w:val="FootnoteReference"/>
          <w:rFonts w:ascii="Cambria" w:hAnsi="Cambria"/>
        </w:rPr>
        <w:footnoteReference w:id="47"/>
      </w:r>
      <w:r w:rsidRPr="000C63A3">
        <w:t xml:space="preserve"> </w:t>
      </w:r>
      <w:proofErr w:type="spellStart"/>
      <w:r w:rsidRPr="000C63A3">
        <w:t>Stang</w:t>
      </w:r>
      <w:proofErr w:type="spellEnd"/>
      <w:r w:rsidRPr="000C63A3">
        <w:t xml:space="preserve"> further argued that theurgy is perhaps the work that the gods carry out themselves, using the theurgists as mediums and as a “</w:t>
      </w:r>
      <w:r w:rsidRPr="000C63A3">
        <w:rPr>
          <w:i/>
        </w:rPr>
        <w:t>vessel for divine action</w:t>
      </w:r>
      <w:r w:rsidRPr="000C63A3">
        <w:t>”.</w:t>
      </w:r>
      <w:r w:rsidRPr="000C63A3">
        <w:rPr>
          <w:rStyle w:val="FootnoteReference"/>
          <w:rFonts w:ascii="Cambria" w:hAnsi="Cambria"/>
        </w:rPr>
        <w:footnoteReference w:id="48"/>
      </w:r>
      <w:r w:rsidRPr="000C63A3">
        <w:t xml:space="preserve"> This differs from magic, as magic rather uses the gods for the magicians’ own purposes, rather than the gods using the humans. </w:t>
      </w:r>
      <w:r w:rsidRPr="000C63A3">
        <w:rPr>
          <w:rFonts w:cs="Times"/>
        </w:rPr>
        <w:t xml:space="preserve">Furthermore, as </w:t>
      </w:r>
      <w:proofErr w:type="spellStart"/>
      <w:r w:rsidRPr="000C63A3">
        <w:rPr>
          <w:rFonts w:cs="Times"/>
        </w:rPr>
        <w:t>Addey</w:t>
      </w:r>
      <w:proofErr w:type="spellEnd"/>
      <w:r w:rsidRPr="000C63A3">
        <w:rPr>
          <w:rFonts w:cs="Times"/>
        </w:rPr>
        <w:t xml:space="preserve"> stated, it is difficult to completely differentiate magical practices from religious practices and this in turn makes it difficult to categorise theurgy as either religious or magical.</w:t>
      </w:r>
      <w:r w:rsidRPr="000C63A3">
        <w:rPr>
          <w:rStyle w:val="FootnoteReference"/>
          <w:rFonts w:ascii="Cambria" w:hAnsi="Cambria" w:cs="Times"/>
        </w:rPr>
        <w:footnoteReference w:id="49"/>
      </w:r>
      <w:r w:rsidRPr="000C63A3">
        <w:rPr>
          <w:rFonts w:cs="Times"/>
        </w:rPr>
        <w:t xml:space="preserve"> Theurgy contains elements of both.</w:t>
      </w:r>
    </w:p>
    <w:p w14:paraId="4DEBF608" w14:textId="77777777" w:rsidR="00757CB4" w:rsidRPr="000C63A3" w:rsidRDefault="00757CB4" w:rsidP="00757CB4">
      <w:pPr>
        <w:spacing w:line="360" w:lineRule="auto"/>
        <w:jc w:val="both"/>
        <w:rPr>
          <w:rFonts w:cs="Times"/>
        </w:rPr>
      </w:pPr>
    </w:p>
    <w:p w14:paraId="704A6CEA" w14:textId="77777777" w:rsidR="00757CB4" w:rsidRPr="000C63A3" w:rsidRDefault="00757CB4" w:rsidP="00757CB4">
      <w:pPr>
        <w:spacing w:line="360" w:lineRule="auto"/>
      </w:pPr>
    </w:p>
    <w:p w14:paraId="72414F4E" w14:textId="77777777" w:rsidR="00757CB4" w:rsidRPr="000C63A3" w:rsidRDefault="00757CB4" w:rsidP="00757CB4">
      <w:pPr>
        <w:widowControl w:val="0"/>
        <w:autoSpaceDE w:val="0"/>
        <w:autoSpaceDN w:val="0"/>
        <w:adjustRightInd w:val="0"/>
        <w:spacing w:after="240" w:line="300" w:lineRule="atLeast"/>
        <w:rPr>
          <w:b/>
          <w:u w:val="single"/>
        </w:rPr>
      </w:pPr>
      <w:r w:rsidRPr="000C63A3">
        <w:rPr>
          <w:b/>
          <w:u w:val="single"/>
        </w:rPr>
        <w:t>Conclusion</w:t>
      </w:r>
    </w:p>
    <w:p w14:paraId="4E8C5EBE" w14:textId="77777777" w:rsidR="00757CB4" w:rsidRPr="000C63A3" w:rsidRDefault="00757CB4" w:rsidP="00757CB4">
      <w:pPr>
        <w:spacing w:line="360" w:lineRule="auto"/>
        <w:jc w:val="both"/>
      </w:pPr>
      <w:r w:rsidRPr="000C63A3">
        <w:rPr>
          <w:rFonts w:cs="Times"/>
        </w:rPr>
        <w:t xml:space="preserve">To conclude, it is possible to claim that theurgy was indeed a form of magic, however it is perhaps more fitting to </w:t>
      </w:r>
      <w:r w:rsidRPr="000C63A3">
        <w:rPr>
          <w:rFonts w:cs="Times"/>
          <w:lang w:val="en-US"/>
        </w:rPr>
        <w:t>claim that both theurgy and magic are sub-categories or religion, rather than theurgy being considered a form of magic</w:t>
      </w:r>
      <w:r w:rsidRPr="000C63A3">
        <w:rPr>
          <w:rFonts w:cs="Times"/>
        </w:rPr>
        <w:t>. What appears to differentiate magic from theurgy are the end goals; whilst magic has rather more selfish connotations, theurgy is a more selfless act in that it is carried out with a religious context in mind. Magic appears to be performed in order to gain something, to cause someone harm, or to avoid something. It has a cause and effect. Theurgy, on the other hand, allowed practitioners to learn from the gods. Both practises utilise the gods in order to gain something, and in both, a ritual often needs to be performed in order for the process to work. Overall, magic and theurgy are very similar practices, but it appears that, rather than theurgy being a form of magic, theurgy and magic form a continuum and are both a sub-category of religion.</w:t>
      </w:r>
    </w:p>
    <w:p w14:paraId="7A1B7F27" w14:textId="77777777" w:rsidR="00757CB4" w:rsidRPr="000C63A3" w:rsidRDefault="00757CB4" w:rsidP="00757CB4">
      <w:pPr>
        <w:spacing w:line="360" w:lineRule="auto"/>
        <w:jc w:val="both"/>
      </w:pPr>
    </w:p>
    <w:p w14:paraId="0BE9FD19" w14:textId="77777777" w:rsidR="00757CB4" w:rsidRPr="000C63A3" w:rsidRDefault="00757CB4" w:rsidP="00757CB4">
      <w:pPr>
        <w:spacing w:line="360" w:lineRule="auto"/>
        <w:jc w:val="both"/>
      </w:pPr>
    </w:p>
    <w:p w14:paraId="2A9F5A5C" w14:textId="77777777" w:rsidR="00757CB4" w:rsidRDefault="00757CB4" w:rsidP="00757CB4">
      <w:pPr>
        <w:spacing w:line="360" w:lineRule="auto"/>
        <w:jc w:val="both"/>
      </w:pPr>
    </w:p>
    <w:p w14:paraId="052657E0" w14:textId="77777777" w:rsidR="000C63A3" w:rsidRDefault="000C63A3" w:rsidP="00757CB4">
      <w:pPr>
        <w:spacing w:line="360" w:lineRule="auto"/>
        <w:jc w:val="both"/>
      </w:pPr>
    </w:p>
    <w:p w14:paraId="2B05DB0F" w14:textId="77777777" w:rsidR="000C63A3" w:rsidRDefault="000C63A3" w:rsidP="00757CB4">
      <w:pPr>
        <w:spacing w:line="360" w:lineRule="auto"/>
        <w:jc w:val="both"/>
      </w:pPr>
    </w:p>
    <w:p w14:paraId="1AB18826" w14:textId="77777777" w:rsidR="000C63A3" w:rsidRPr="000C63A3" w:rsidRDefault="000C63A3" w:rsidP="00757CB4">
      <w:pPr>
        <w:spacing w:line="360" w:lineRule="auto"/>
        <w:jc w:val="both"/>
      </w:pPr>
    </w:p>
    <w:p w14:paraId="3E5A50B1" w14:textId="77777777" w:rsidR="00757CB4" w:rsidRPr="000C63A3" w:rsidRDefault="00757CB4" w:rsidP="00757CB4">
      <w:pPr>
        <w:spacing w:line="360" w:lineRule="auto"/>
        <w:jc w:val="both"/>
      </w:pPr>
    </w:p>
    <w:p w14:paraId="29D664E7" w14:textId="77777777" w:rsidR="00757CB4" w:rsidRPr="00426A50" w:rsidRDefault="00757CB4" w:rsidP="00757CB4">
      <w:pPr>
        <w:spacing w:line="360" w:lineRule="auto"/>
        <w:jc w:val="both"/>
        <w:rPr>
          <w:b/>
          <w:u w:val="single"/>
        </w:rPr>
      </w:pPr>
      <w:r w:rsidRPr="00426A50">
        <w:rPr>
          <w:b/>
          <w:u w:val="single"/>
        </w:rPr>
        <w:t>Bibliography</w:t>
      </w:r>
    </w:p>
    <w:p w14:paraId="20E9BA27" w14:textId="77777777" w:rsidR="00757CB4" w:rsidRPr="00426A50" w:rsidRDefault="00757CB4" w:rsidP="00757CB4">
      <w:pPr>
        <w:pStyle w:val="NoSpacing"/>
        <w:numPr>
          <w:ilvl w:val="0"/>
          <w:numId w:val="27"/>
        </w:numPr>
        <w:spacing w:line="360" w:lineRule="auto"/>
        <w:rPr>
          <w:rFonts w:ascii="Times New Roman" w:hAnsi="Times New Roman"/>
          <w:lang w:val="en-US"/>
        </w:rPr>
      </w:pPr>
      <w:r w:rsidRPr="00426A50">
        <w:rPr>
          <w:rFonts w:ascii="Times New Roman" w:hAnsi="Times New Roman"/>
          <w:lang w:val="en-US"/>
        </w:rPr>
        <w:t xml:space="preserve"> </w:t>
      </w:r>
      <w:proofErr w:type="spellStart"/>
      <w:r w:rsidRPr="00426A50">
        <w:rPr>
          <w:rFonts w:ascii="Times New Roman" w:hAnsi="Times New Roman"/>
        </w:rPr>
        <w:t>Addey</w:t>
      </w:r>
      <w:proofErr w:type="spellEnd"/>
      <w:r w:rsidRPr="00426A50">
        <w:rPr>
          <w:rFonts w:ascii="Times New Roman" w:hAnsi="Times New Roman"/>
        </w:rPr>
        <w:t xml:space="preserve">, Chrystal, </w:t>
      </w:r>
      <w:r w:rsidRPr="00426A50">
        <w:rPr>
          <w:rFonts w:ascii="Times New Roman" w:hAnsi="Times New Roman"/>
          <w:i/>
        </w:rPr>
        <w:t xml:space="preserve">Divination and Theurgy in </w:t>
      </w:r>
      <w:proofErr w:type="spellStart"/>
      <w:r w:rsidRPr="00426A50">
        <w:rPr>
          <w:rFonts w:ascii="Times New Roman" w:hAnsi="Times New Roman"/>
          <w:i/>
        </w:rPr>
        <w:t>Neoplatonism</w:t>
      </w:r>
      <w:proofErr w:type="spellEnd"/>
      <w:r w:rsidRPr="00426A50">
        <w:rPr>
          <w:rFonts w:ascii="Times New Roman" w:hAnsi="Times New Roman"/>
          <w:i/>
        </w:rPr>
        <w:t>: Oracles of the gods</w:t>
      </w:r>
      <w:r w:rsidRPr="00426A50">
        <w:rPr>
          <w:rFonts w:ascii="Times New Roman" w:hAnsi="Times New Roman"/>
        </w:rPr>
        <w:t xml:space="preserve">, (Farnham: </w:t>
      </w:r>
      <w:proofErr w:type="spellStart"/>
      <w:r w:rsidRPr="00426A50">
        <w:rPr>
          <w:rFonts w:ascii="Times New Roman" w:hAnsi="Times New Roman"/>
        </w:rPr>
        <w:t>Ashgate</w:t>
      </w:r>
      <w:proofErr w:type="spellEnd"/>
      <w:r w:rsidRPr="00426A50">
        <w:rPr>
          <w:rFonts w:ascii="Times New Roman" w:hAnsi="Times New Roman"/>
        </w:rPr>
        <w:t xml:space="preserve">, 2014), </w:t>
      </w:r>
      <w:r w:rsidRPr="00426A50">
        <w:rPr>
          <w:rFonts w:ascii="Times New Roman" w:eastAsia="Times New Roman" w:hAnsi="Times New Roman"/>
        </w:rPr>
        <w:t>p. 3. &lt;</w:t>
      </w:r>
      <w:hyperlink r:id="rId10" w:history="1">
        <w:r w:rsidRPr="00426A50">
          <w:rPr>
            <w:rStyle w:val="Hyperlink"/>
            <w:rFonts w:ascii="Times New Roman" w:eastAsia="Times New Roman" w:hAnsi="Times New Roman"/>
            <w:color w:val="auto"/>
            <w:u w:val="none"/>
          </w:rPr>
          <w:t>https://www-dawsonera-com.ezproxy.uwtsd.ac.uk/readonline/9781409451532</w:t>
        </w:r>
      </w:hyperlink>
      <w:r w:rsidRPr="00426A50">
        <w:rPr>
          <w:rStyle w:val="Hyperlink"/>
          <w:rFonts w:ascii="Times New Roman" w:eastAsia="Times New Roman" w:hAnsi="Times New Roman"/>
          <w:color w:val="auto"/>
          <w:u w:val="none"/>
        </w:rPr>
        <w:t>&gt;</w:t>
      </w:r>
      <w:r w:rsidRPr="00426A50">
        <w:rPr>
          <w:rFonts w:ascii="Times New Roman" w:eastAsia="Times New Roman" w:hAnsi="Times New Roman"/>
        </w:rPr>
        <w:t xml:space="preserve"> [accessed 22nd June 2019]</w:t>
      </w:r>
    </w:p>
    <w:p w14:paraId="4197218A" w14:textId="77777777" w:rsidR="00757CB4" w:rsidRPr="00426A50" w:rsidRDefault="00757CB4" w:rsidP="00757CB4">
      <w:pPr>
        <w:pStyle w:val="NoSpacing"/>
        <w:numPr>
          <w:ilvl w:val="0"/>
          <w:numId w:val="27"/>
        </w:numPr>
        <w:spacing w:line="360" w:lineRule="auto"/>
        <w:rPr>
          <w:rFonts w:ascii="Times New Roman" w:hAnsi="Times New Roman"/>
        </w:rPr>
      </w:pPr>
      <w:proofErr w:type="spellStart"/>
      <w:r w:rsidRPr="00426A50">
        <w:rPr>
          <w:rFonts w:ascii="Times New Roman" w:hAnsi="Times New Roman"/>
        </w:rPr>
        <w:t>Athanassiadi</w:t>
      </w:r>
      <w:proofErr w:type="spellEnd"/>
      <w:r w:rsidRPr="00426A50">
        <w:rPr>
          <w:rFonts w:ascii="Times New Roman" w:hAnsi="Times New Roman"/>
        </w:rPr>
        <w:t xml:space="preserve">, </w:t>
      </w:r>
      <w:proofErr w:type="spellStart"/>
      <w:r w:rsidRPr="00426A50">
        <w:rPr>
          <w:rFonts w:ascii="Times New Roman" w:hAnsi="Times New Roman"/>
        </w:rPr>
        <w:t>Polymnia</w:t>
      </w:r>
      <w:proofErr w:type="spellEnd"/>
      <w:r w:rsidRPr="00426A50">
        <w:rPr>
          <w:rFonts w:ascii="Times New Roman" w:hAnsi="Times New Roman"/>
        </w:rPr>
        <w:t xml:space="preserve">, </w:t>
      </w:r>
      <w:r w:rsidRPr="00426A50">
        <w:rPr>
          <w:rFonts w:ascii="Times New Roman" w:hAnsi="Times New Roman"/>
          <w:i/>
        </w:rPr>
        <w:t>Dreams, Theurgy and Freelance Divination: The Testimony of Iamblichus</w:t>
      </w:r>
      <w:r w:rsidRPr="00426A50">
        <w:rPr>
          <w:rFonts w:ascii="Times New Roman" w:hAnsi="Times New Roman"/>
        </w:rPr>
        <w:t>, (The Journal of Roman Studies, Vol. 83, 1993, pp. 115-130), p. 116.</w:t>
      </w:r>
      <w:r w:rsidRPr="00426A50">
        <w:rPr>
          <w:rFonts w:ascii="Times New Roman" w:eastAsia="Times New Roman" w:hAnsi="Times New Roman"/>
        </w:rPr>
        <w:t xml:space="preserve"> &lt;</w:t>
      </w:r>
      <w:hyperlink r:id="rId11" w:history="1">
        <w:r w:rsidRPr="00426A50">
          <w:rPr>
            <w:rStyle w:val="Hyperlink"/>
            <w:rFonts w:ascii="Times New Roman" w:hAnsi="Times New Roman"/>
            <w:color w:val="auto"/>
            <w:u w:val="none"/>
            <w:lang w:val="en-US"/>
          </w:rPr>
          <w:t>https://www.jstor.org/stable/300982</w:t>
        </w:r>
      </w:hyperlink>
      <w:r w:rsidRPr="00426A50">
        <w:rPr>
          <w:rStyle w:val="Hyperlink"/>
          <w:rFonts w:ascii="Times New Roman" w:hAnsi="Times New Roman"/>
          <w:color w:val="auto"/>
          <w:u w:val="none"/>
          <w:lang w:val="en-US"/>
        </w:rPr>
        <w:t>&gt;</w:t>
      </w:r>
    </w:p>
    <w:p w14:paraId="5DEE8DE3" w14:textId="77777777" w:rsidR="00757CB4" w:rsidRPr="00426A50" w:rsidRDefault="00757CB4" w:rsidP="00757CB4">
      <w:pPr>
        <w:pStyle w:val="NoSpacing"/>
        <w:numPr>
          <w:ilvl w:val="0"/>
          <w:numId w:val="27"/>
        </w:numPr>
        <w:spacing w:line="360" w:lineRule="auto"/>
        <w:rPr>
          <w:rFonts w:ascii="Times New Roman" w:eastAsia="Times New Roman" w:hAnsi="Times New Roman"/>
        </w:rPr>
      </w:pPr>
      <w:r w:rsidRPr="00426A50">
        <w:rPr>
          <w:rFonts w:ascii="Times New Roman" w:hAnsi="Times New Roman"/>
        </w:rPr>
        <w:t xml:space="preserve">Betz, Hans Dieter, </w:t>
      </w:r>
      <w:r w:rsidRPr="00426A50">
        <w:rPr>
          <w:rFonts w:ascii="Times New Roman" w:eastAsia="Times New Roman" w:hAnsi="Times New Roman"/>
          <w:i/>
        </w:rPr>
        <w:t>The Greek Magical Papyri in Translation, Including the Demotic Spells</w:t>
      </w:r>
      <w:r w:rsidRPr="00426A50">
        <w:rPr>
          <w:rFonts w:ascii="Times New Roman" w:eastAsia="Times New Roman" w:hAnsi="Times New Roman"/>
        </w:rPr>
        <w:t>, (Chicago &amp; London: The University of Chicago Press, 1986).</w:t>
      </w:r>
    </w:p>
    <w:p w14:paraId="23C626BE" w14:textId="77777777" w:rsidR="00757CB4" w:rsidRPr="00426A50" w:rsidRDefault="00757CB4" w:rsidP="00757CB4">
      <w:pPr>
        <w:pStyle w:val="NoSpacing"/>
        <w:numPr>
          <w:ilvl w:val="0"/>
          <w:numId w:val="27"/>
        </w:numPr>
        <w:spacing w:line="360" w:lineRule="auto"/>
        <w:rPr>
          <w:rFonts w:ascii="Times New Roman" w:hAnsi="Times New Roman"/>
          <w:i/>
          <w:lang w:val="en-US"/>
        </w:rPr>
      </w:pPr>
      <w:proofErr w:type="spellStart"/>
      <w:r w:rsidRPr="00426A50">
        <w:rPr>
          <w:rFonts w:ascii="Times New Roman" w:hAnsi="Times New Roman"/>
          <w:lang w:val="en-US"/>
        </w:rPr>
        <w:t>Bremmer</w:t>
      </w:r>
      <w:proofErr w:type="spellEnd"/>
      <w:r w:rsidRPr="00426A50">
        <w:rPr>
          <w:rFonts w:ascii="Times New Roman" w:hAnsi="Times New Roman"/>
          <w:lang w:val="en-US"/>
        </w:rPr>
        <w:t>, Jan N., “The birth of the term ‘magic’”</w:t>
      </w:r>
      <w:r w:rsidRPr="00426A50">
        <w:rPr>
          <w:rFonts w:ascii="Times New Roman" w:hAnsi="Times New Roman"/>
          <w:i/>
          <w:lang w:val="en-US"/>
        </w:rPr>
        <w:t xml:space="preserve">, </w:t>
      </w:r>
      <w:proofErr w:type="spellStart"/>
      <w:r w:rsidRPr="00426A50">
        <w:rPr>
          <w:rFonts w:ascii="Times New Roman" w:hAnsi="Times New Roman"/>
          <w:i/>
          <w:lang w:val="en-US"/>
        </w:rPr>
        <w:t>Zeitschrift</w:t>
      </w:r>
      <w:proofErr w:type="spellEnd"/>
      <w:r w:rsidRPr="00426A50">
        <w:rPr>
          <w:rFonts w:ascii="Times New Roman" w:hAnsi="Times New Roman"/>
          <w:i/>
          <w:lang w:val="en-US"/>
        </w:rPr>
        <w:t xml:space="preserve"> fur </w:t>
      </w:r>
      <w:proofErr w:type="spellStart"/>
      <w:r w:rsidRPr="00426A50">
        <w:rPr>
          <w:rFonts w:ascii="Times New Roman" w:hAnsi="Times New Roman"/>
          <w:i/>
          <w:lang w:val="en-US"/>
        </w:rPr>
        <w:t>Papyrologie</w:t>
      </w:r>
      <w:proofErr w:type="spellEnd"/>
      <w:r w:rsidRPr="00426A50">
        <w:rPr>
          <w:rFonts w:ascii="Times New Roman" w:hAnsi="Times New Roman"/>
          <w:i/>
          <w:lang w:val="en-US"/>
        </w:rPr>
        <w:t xml:space="preserve"> und </w:t>
      </w:r>
      <w:proofErr w:type="spellStart"/>
      <w:r w:rsidRPr="00426A50">
        <w:rPr>
          <w:rFonts w:ascii="Times New Roman" w:hAnsi="Times New Roman"/>
          <w:i/>
          <w:lang w:val="en-US"/>
        </w:rPr>
        <w:t>Epigraphik</w:t>
      </w:r>
      <w:proofErr w:type="spellEnd"/>
      <w:r w:rsidRPr="00426A50">
        <w:rPr>
          <w:rFonts w:ascii="Times New Roman" w:hAnsi="Times New Roman"/>
          <w:i/>
          <w:lang w:val="en-US"/>
        </w:rPr>
        <w:t xml:space="preserve"> (ZPE) 126 (1999), pp. 1-12. </w:t>
      </w:r>
      <w:r w:rsidRPr="00426A50">
        <w:rPr>
          <w:rFonts w:ascii="Times New Roman" w:hAnsi="Times New Roman"/>
          <w:lang w:val="en-US"/>
        </w:rPr>
        <w:t>p. 10 &lt;</w:t>
      </w:r>
      <w:hyperlink r:id="rId12" w:history="1">
        <w:r w:rsidRPr="00426A50">
          <w:rPr>
            <w:rStyle w:val="Hyperlink"/>
            <w:rFonts w:ascii="Times New Roman" w:hAnsi="Times New Roman"/>
            <w:color w:val="auto"/>
            <w:u w:val="none"/>
            <w:lang w:val="en-US"/>
          </w:rPr>
          <w:t>http://uni-koeln.de/phil-fak/ifa/zpe/downloads/1999/126pdf/126001.pdf</w:t>
        </w:r>
      </w:hyperlink>
      <w:r w:rsidRPr="00426A50">
        <w:rPr>
          <w:rStyle w:val="Hyperlink"/>
          <w:rFonts w:ascii="Times New Roman" w:hAnsi="Times New Roman"/>
          <w:color w:val="auto"/>
          <w:u w:val="none"/>
          <w:lang w:val="en-US"/>
        </w:rPr>
        <w:t xml:space="preserve">&gt; </w:t>
      </w:r>
      <w:r w:rsidRPr="00426A50">
        <w:rPr>
          <w:rFonts w:ascii="Times New Roman" w:hAnsi="Times New Roman"/>
          <w:lang w:val="en-US"/>
        </w:rPr>
        <w:t xml:space="preserve">[20th June 2019] </w:t>
      </w:r>
    </w:p>
    <w:p w14:paraId="03C9025F" w14:textId="77777777" w:rsidR="00757CB4" w:rsidRPr="00426A50" w:rsidRDefault="00757CB4" w:rsidP="00757CB4">
      <w:pPr>
        <w:pStyle w:val="ListParagraph"/>
        <w:numPr>
          <w:ilvl w:val="0"/>
          <w:numId w:val="27"/>
        </w:numPr>
        <w:spacing w:line="360" w:lineRule="auto"/>
        <w:rPr>
          <w:rFonts w:ascii="Times New Roman" w:eastAsia="Times New Roman" w:hAnsi="Times New Roman"/>
        </w:rPr>
      </w:pPr>
      <w:proofErr w:type="spellStart"/>
      <w:r w:rsidRPr="00426A50">
        <w:rPr>
          <w:rFonts w:ascii="Times New Roman" w:eastAsia="Times New Roman" w:hAnsi="Times New Roman"/>
        </w:rPr>
        <w:t>Dickie</w:t>
      </w:r>
      <w:proofErr w:type="spellEnd"/>
      <w:r w:rsidRPr="00426A50">
        <w:rPr>
          <w:rFonts w:ascii="Times New Roman" w:eastAsia="Times New Roman" w:hAnsi="Times New Roman"/>
        </w:rPr>
        <w:t>,</w:t>
      </w:r>
      <w:r w:rsidRPr="00426A50">
        <w:rPr>
          <w:rFonts w:ascii="Times New Roman" w:hAnsi="Times New Roman"/>
        </w:rPr>
        <w:t xml:space="preserve"> Matthew W.</w:t>
      </w:r>
      <w:r w:rsidRPr="00426A50">
        <w:rPr>
          <w:rFonts w:ascii="Times New Roman" w:eastAsia="Times New Roman" w:hAnsi="Times New Roman"/>
        </w:rPr>
        <w:t xml:space="preserve">, </w:t>
      </w:r>
      <w:r w:rsidRPr="00426A50">
        <w:rPr>
          <w:rFonts w:ascii="Times New Roman" w:eastAsia="Times New Roman" w:hAnsi="Times New Roman"/>
          <w:i/>
        </w:rPr>
        <w:t xml:space="preserve">Magic and Magicians in the </w:t>
      </w:r>
      <w:proofErr w:type="spellStart"/>
      <w:r w:rsidRPr="00426A50">
        <w:rPr>
          <w:rFonts w:ascii="Times New Roman" w:eastAsia="Times New Roman" w:hAnsi="Times New Roman"/>
          <w:i/>
        </w:rPr>
        <w:t>Graeco</w:t>
      </w:r>
      <w:proofErr w:type="spellEnd"/>
      <w:r w:rsidRPr="00426A50">
        <w:rPr>
          <w:rFonts w:ascii="Times New Roman" w:eastAsia="Times New Roman" w:hAnsi="Times New Roman"/>
          <w:i/>
        </w:rPr>
        <w:t>-Roman World</w:t>
      </w:r>
      <w:r w:rsidRPr="00426A50">
        <w:rPr>
          <w:rFonts w:ascii="Times New Roman" w:eastAsia="Times New Roman" w:hAnsi="Times New Roman"/>
        </w:rPr>
        <w:t>, (London: Routledge, 2001)</w:t>
      </w:r>
      <w:proofErr w:type="gramStart"/>
      <w:r w:rsidRPr="00426A50">
        <w:rPr>
          <w:rFonts w:ascii="Times New Roman" w:eastAsia="Times New Roman" w:hAnsi="Times New Roman"/>
        </w:rPr>
        <w:t>,  p</w:t>
      </w:r>
      <w:proofErr w:type="gramEnd"/>
      <w:r w:rsidRPr="00426A50">
        <w:rPr>
          <w:rFonts w:ascii="Times New Roman" w:eastAsia="Times New Roman" w:hAnsi="Times New Roman"/>
        </w:rPr>
        <w:t>. 195.</w:t>
      </w:r>
    </w:p>
    <w:p w14:paraId="516CA498" w14:textId="77777777" w:rsidR="00757CB4" w:rsidRPr="00426A50" w:rsidRDefault="00757CB4" w:rsidP="00757CB4">
      <w:pPr>
        <w:pStyle w:val="NoSpacing"/>
        <w:numPr>
          <w:ilvl w:val="0"/>
          <w:numId w:val="27"/>
        </w:numPr>
        <w:spacing w:line="360" w:lineRule="auto"/>
        <w:rPr>
          <w:rFonts w:ascii="Times New Roman" w:hAnsi="Times New Roman"/>
          <w:lang w:val="en-US"/>
        </w:rPr>
      </w:pPr>
      <w:proofErr w:type="spellStart"/>
      <w:r w:rsidRPr="00426A50">
        <w:rPr>
          <w:rFonts w:ascii="Times New Roman" w:hAnsi="Times New Roman"/>
          <w:lang w:val="en-US"/>
        </w:rPr>
        <w:t>Faraone</w:t>
      </w:r>
      <w:proofErr w:type="spellEnd"/>
      <w:r w:rsidRPr="00426A50">
        <w:rPr>
          <w:rFonts w:ascii="Times New Roman" w:hAnsi="Times New Roman"/>
          <w:lang w:val="en-US"/>
        </w:rPr>
        <w:t>,</w:t>
      </w:r>
      <w:r w:rsidRPr="00426A50">
        <w:rPr>
          <w:rFonts w:ascii="Times New Roman" w:hAnsi="Times New Roman"/>
        </w:rPr>
        <w:t xml:space="preserve"> Christopher A.</w:t>
      </w:r>
      <w:r w:rsidRPr="00426A50">
        <w:rPr>
          <w:rFonts w:ascii="Times New Roman" w:hAnsi="Times New Roman"/>
          <w:lang w:val="en-US"/>
        </w:rPr>
        <w:t xml:space="preserve">, </w:t>
      </w:r>
      <w:r w:rsidRPr="00426A50">
        <w:rPr>
          <w:rFonts w:ascii="Times New Roman" w:hAnsi="Times New Roman"/>
          <w:i/>
          <w:lang w:val="en-US"/>
        </w:rPr>
        <w:t>Ancient Greek Love Magic</w:t>
      </w:r>
      <w:r w:rsidRPr="00426A50">
        <w:rPr>
          <w:rFonts w:ascii="Times New Roman" w:hAnsi="Times New Roman"/>
          <w:lang w:val="en-US"/>
        </w:rPr>
        <w:t>, (Cambridge: Harvard University Press, 2001), p. 114.</w:t>
      </w:r>
    </w:p>
    <w:p w14:paraId="4FF329E5" w14:textId="77777777" w:rsidR="00757CB4" w:rsidRPr="00426A50" w:rsidRDefault="00757CB4" w:rsidP="00757CB4">
      <w:pPr>
        <w:pStyle w:val="NoSpacing"/>
        <w:numPr>
          <w:ilvl w:val="0"/>
          <w:numId w:val="27"/>
        </w:numPr>
        <w:spacing w:line="360" w:lineRule="auto"/>
        <w:rPr>
          <w:rFonts w:ascii="Times New Roman" w:hAnsi="Times New Roman"/>
          <w:lang w:val="en-US"/>
        </w:rPr>
      </w:pPr>
      <w:r w:rsidRPr="00426A50">
        <w:rPr>
          <w:rFonts w:ascii="Times New Roman" w:hAnsi="Times New Roman"/>
          <w:lang w:val="en-US"/>
        </w:rPr>
        <w:t xml:space="preserve">Hammond, Dorothy, </w:t>
      </w:r>
      <w:r w:rsidRPr="00426A50">
        <w:rPr>
          <w:rFonts w:ascii="Times New Roman" w:hAnsi="Times New Roman"/>
          <w:i/>
          <w:lang w:val="en-US"/>
        </w:rPr>
        <w:t>Magic: A Problem in Semantics</w:t>
      </w:r>
      <w:r w:rsidRPr="00426A50">
        <w:rPr>
          <w:rFonts w:ascii="Times New Roman" w:hAnsi="Times New Roman"/>
          <w:lang w:val="en-US"/>
        </w:rPr>
        <w:t>, (American Anthropologist, New Series, Vol. 72, No. 6 (Dec., 1970), pp. 1349-1356), p. 1350. &lt;</w:t>
      </w:r>
      <w:hyperlink r:id="rId13" w:history="1">
        <w:r w:rsidRPr="00426A50">
          <w:rPr>
            <w:rStyle w:val="Hyperlink"/>
            <w:rFonts w:ascii="Times New Roman" w:hAnsi="Times New Roman"/>
            <w:color w:val="auto"/>
            <w:u w:val="none"/>
            <w:lang w:val="en-US"/>
          </w:rPr>
          <w:t>https://www.jstor.org/stable/672852</w:t>
        </w:r>
      </w:hyperlink>
      <w:r w:rsidRPr="00426A50">
        <w:rPr>
          <w:rStyle w:val="Hyperlink"/>
          <w:rFonts w:ascii="Times New Roman" w:hAnsi="Times New Roman"/>
          <w:color w:val="auto"/>
          <w:u w:val="none"/>
          <w:lang w:val="en-US"/>
        </w:rPr>
        <w:t>&gt;</w:t>
      </w:r>
      <w:r w:rsidRPr="00426A50">
        <w:rPr>
          <w:rFonts w:ascii="Times New Roman" w:hAnsi="Times New Roman"/>
          <w:lang w:val="en-US"/>
        </w:rPr>
        <w:t xml:space="preserve">  [accessed 29th June 2019]</w:t>
      </w:r>
    </w:p>
    <w:p w14:paraId="3E9B0564" w14:textId="77777777" w:rsidR="00757CB4" w:rsidRPr="00426A50" w:rsidRDefault="00757CB4" w:rsidP="00757CB4">
      <w:pPr>
        <w:pStyle w:val="NoSpacing"/>
        <w:numPr>
          <w:ilvl w:val="0"/>
          <w:numId w:val="27"/>
        </w:numPr>
        <w:spacing w:line="360" w:lineRule="auto"/>
        <w:rPr>
          <w:rFonts w:ascii="Times New Roman" w:hAnsi="Times New Roman"/>
          <w:lang w:val="en-US"/>
        </w:rPr>
      </w:pPr>
      <w:r w:rsidRPr="00426A50">
        <w:rPr>
          <w:rFonts w:ascii="Times New Roman" w:hAnsi="Times New Roman"/>
          <w:lang w:val="en-US"/>
        </w:rPr>
        <w:t xml:space="preserve">Iamblichus, </w:t>
      </w:r>
      <w:r w:rsidRPr="00426A50">
        <w:rPr>
          <w:rFonts w:ascii="Times New Roman" w:hAnsi="Times New Roman"/>
          <w:i/>
          <w:lang w:val="en-US"/>
        </w:rPr>
        <w:t xml:space="preserve">On the Mysteries (De </w:t>
      </w:r>
      <w:proofErr w:type="spellStart"/>
      <w:r w:rsidRPr="00426A50">
        <w:rPr>
          <w:rFonts w:ascii="Times New Roman" w:hAnsi="Times New Roman"/>
          <w:i/>
          <w:lang w:val="en-US"/>
        </w:rPr>
        <w:t>Mysteriis</w:t>
      </w:r>
      <w:proofErr w:type="spellEnd"/>
      <w:r w:rsidRPr="00426A50">
        <w:rPr>
          <w:rFonts w:ascii="Times New Roman" w:hAnsi="Times New Roman"/>
          <w:i/>
          <w:lang w:val="en-US"/>
        </w:rPr>
        <w:t>)</w:t>
      </w:r>
      <w:r w:rsidRPr="00426A50">
        <w:rPr>
          <w:rFonts w:ascii="Times New Roman" w:hAnsi="Times New Roman"/>
          <w:lang w:val="en-US"/>
        </w:rPr>
        <w:t xml:space="preserve">, Emma C. Clarke, John M. Dillon, and Jackson P. </w:t>
      </w:r>
      <w:proofErr w:type="spellStart"/>
      <w:r w:rsidRPr="00426A50">
        <w:rPr>
          <w:rFonts w:ascii="Times New Roman" w:hAnsi="Times New Roman"/>
          <w:lang w:val="en-US"/>
        </w:rPr>
        <w:t>Hershbell</w:t>
      </w:r>
      <w:proofErr w:type="spellEnd"/>
      <w:r w:rsidRPr="00426A50">
        <w:rPr>
          <w:rFonts w:ascii="Times New Roman" w:hAnsi="Times New Roman"/>
          <w:lang w:val="en-US"/>
        </w:rPr>
        <w:t xml:space="preserve"> (</w:t>
      </w:r>
      <w:proofErr w:type="spellStart"/>
      <w:r w:rsidRPr="00426A50">
        <w:rPr>
          <w:rFonts w:ascii="Times New Roman" w:hAnsi="Times New Roman"/>
          <w:lang w:val="en-US"/>
        </w:rPr>
        <w:t>eds</w:t>
      </w:r>
      <w:proofErr w:type="spellEnd"/>
      <w:r w:rsidRPr="00426A50">
        <w:rPr>
          <w:rFonts w:ascii="Times New Roman" w:hAnsi="Times New Roman"/>
          <w:lang w:val="en-US"/>
        </w:rPr>
        <w:t>), (Atlanta: Society of Biblical Literature, 2003), III.2.</w:t>
      </w:r>
    </w:p>
    <w:p w14:paraId="5C2AA6F1" w14:textId="77777777" w:rsidR="00757CB4" w:rsidRPr="00426A50" w:rsidRDefault="00757CB4" w:rsidP="00757CB4">
      <w:pPr>
        <w:pStyle w:val="NoSpacing"/>
        <w:numPr>
          <w:ilvl w:val="0"/>
          <w:numId w:val="27"/>
        </w:numPr>
        <w:spacing w:line="360" w:lineRule="auto"/>
        <w:rPr>
          <w:rFonts w:ascii="Times New Roman" w:eastAsia="Times New Roman" w:hAnsi="Times New Roman"/>
        </w:rPr>
      </w:pPr>
      <w:r w:rsidRPr="00426A50">
        <w:rPr>
          <w:rFonts w:ascii="Times New Roman" w:eastAsia="Times New Roman" w:hAnsi="Times New Roman"/>
        </w:rPr>
        <w:t xml:space="preserve">Johnston, Sarah Iles, </w:t>
      </w:r>
      <w:r w:rsidRPr="00426A50">
        <w:rPr>
          <w:rFonts w:ascii="Times New Roman" w:eastAsia="Times New Roman" w:hAnsi="Times New Roman"/>
          <w:i/>
        </w:rPr>
        <w:t>Ancient Greek Divination</w:t>
      </w:r>
      <w:r w:rsidRPr="00426A50">
        <w:rPr>
          <w:rFonts w:ascii="Times New Roman" w:eastAsia="Times New Roman" w:hAnsi="Times New Roman"/>
        </w:rPr>
        <w:t>, (West Sussex: John Wiley &amp; Sons, Incorporated, 2008), p. 166. &lt;</w:t>
      </w:r>
      <w:hyperlink r:id="rId14" w:history="1">
        <w:r w:rsidRPr="00426A50">
          <w:rPr>
            <w:rFonts w:ascii="Times New Roman" w:hAnsi="Times New Roman"/>
          </w:rPr>
          <w:t>https://ebookcentral-proquest-com.ezproxy.uwtsd.ac.uk/lib/trinity/reader.action?docID=437516#</w:t>
        </w:r>
      </w:hyperlink>
      <w:r w:rsidRPr="00426A50">
        <w:rPr>
          <w:rFonts w:ascii="Times New Roman" w:hAnsi="Times New Roman"/>
        </w:rPr>
        <w:t>&gt;</w:t>
      </w:r>
      <w:r w:rsidRPr="00426A50">
        <w:rPr>
          <w:rFonts w:ascii="Times New Roman" w:eastAsia="Times New Roman" w:hAnsi="Times New Roman"/>
        </w:rPr>
        <w:t xml:space="preserve"> </w:t>
      </w:r>
    </w:p>
    <w:p w14:paraId="6B534EAE" w14:textId="77777777" w:rsidR="00757CB4" w:rsidRPr="00426A50" w:rsidRDefault="00757CB4" w:rsidP="00757CB4">
      <w:pPr>
        <w:pStyle w:val="NoSpacing"/>
        <w:numPr>
          <w:ilvl w:val="0"/>
          <w:numId w:val="27"/>
        </w:numPr>
        <w:spacing w:line="360" w:lineRule="auto"/>
        <w:rPr>
          <w:rFonts w:ascii="Times New Roman" w:eastAsia="Times New Roman" w:hAnsi="Times New Roman"/>
        </w:rPr>
      </w:pPr>
      <w:proofErr w:type="spellStart"/>
      <w:r w:rsidRPr="00426A50">
        <w:rPr>
          <w:rFonts w:ascii="Times New Roman" w:hAnsi="Times New Roman"/>
        </w:rPr>
        <w:t>Julianus</w:t>
      </w:r>
      <w:proofErr w:type="spellEnd"/>
      <w:r w:rsidRPr="00426A50">
        <w:rPr>
          <w:rFonts w:ascii="Times New Roman" w:hAnsi="Times New Roman"/>
        </w:rPr>
        <w:t xml:space="preserve"> the Theurgist, </w:t>
      </w:r>
      <w:r w:rsidRPr="00426A50">
        <w:rPr>
          <w:rFonts w:ascii="Times New Roman" w:eastAsia="Times New Roman" w:hAnsi="Times New Roman"/>
          <w:i/>
        </w:rPr>
        <w:t>The Chaldean Oracles: Text, Translation, and Commentary</w:t>
      </w:r>
      <w:r w:rsidRPr="00426A50">
        <w:rPr>
          <w:rFonts w:ascii="Times New Roman" w:eastAsia="Times New Roman" w:hAnsi="Times New Roman"/>
        </w:rPr>
        <w:t xml:space="preserve">, transl. Ruth </w:t>
      </w:r>
      <w:proofErr w:type="spellStart"/>
      <w:r w:rsidRPr="00426A50">
        <w:rPr>
          <w:rFonts w:ascii="Times New Roman" w:eastAsia="Times New Roman" w:hAnsi="Times New Roman"/>
        </w:rPr>
        <w:t>Majercik</w:t>
      </w:r>
      <w:proofErr w:type="spellEnd"/>
      <w:r w:rsidRPr="00426A50">
        <w:rPr>
          <w:rFonts w:ascii="Times New Roman" w:eastAsia="Times New Roman" w:hAnsi="Times New Roman"/>
        </w:rPr>
        <w:t>, (Leiden: 1989), p. 2. &lt;</w:t>
      </w:r>
      <w:hyperlink r:id="rId15" w:anchor="v=onepage&amp;q=h.%20Lewy%20in%20Chaldaean%20Oracles%20and%20Theurgy&amp;f=false" w:history="1">
        <w:r w:rsidRPr="00426A50">
          <w:rPr>
            <w:rStyle w:val="Hyperlink"/>
            <w:rFonts w:ascii="Times New Roman" w:eastAsia="Times New Roman" w:hAnsi="Times New Roman"/>
            <w:color w:val="auto"/>
            <w:u w:val="none"/>
          </w:rPr>
          <w:t>https://books.google.at/books?id=Ow0VAAAAIAAJ&amp;pg=PA1&amp;dq=h.+Lewy+in+Chaldaean+Oracles+and+Theurgy&amp;hl=en&amp;sa=X&amp;ved=0ahUKEwiRk6ecmIDjAhUl-yoKHWokC78Q6AEIMjAB#v=onepage&amp;q=h.%20Lewy%20in%20Chaldaean%20Oracles%20and%20Theurgy&amp;f=false</w:t>
        </w:r>
      </w:hyperlink>
      <w:r w:rsidRPr="00426A50">
        <w:rPr>
          <w:rStyle w:val="Hyperlink"/>
          <w:rFonts w:ascii="Times New Roman" w:eastAsia="Times New Roman" w:hAnsi="Times New Roman"/>
          <w:color w:val="auto"/>
          <w:u w:val="none"/>
        </w:rPr>
        <w:t>&gt;</w:t>
      </w:r>
      <w:r w:rsidRPr="00426A50">
        <w:rPr>
          <w:rFonts w:ascii="Times New Roman" w:eastAsia="Times New Roman" w:hAnsi="Times New Roman"/>
        </w:rPr>
        <w:t xml:space="preserve"> [accessed 21</w:t>
      </w:r>
      <w:r w:rsidRPr="00426A50">
        <w:rPr>
          <w:rFonts w:ascii="Times New Roman" w:eastAsia="Times New Roman" w:hAnsi="Times New Roman"/>
          <w:vertAlign w:val="superscript"/>
        </w:rPr>
        <w:t>st</w:t>
      </w:r>
      <w:r w:rsidRPr="00426A50">
        <w:rPr>
          <w:rFonts w:ascii="Times New Roman" w:eastAsia="Times New Roman" w:hAnsi="Times New Roman"/>
        </w:rPr>
        <w:t xml:space="preserve"> July 2019]</w:t>
      </w:r>
    </w:p>
    <w:p w14:paraId="75FE4EF6" w14:textId="77777777" w:rsidR="00757CB4" w:rsidRPr="00426A50" w:rsidRDefault="00757CB4" w:rsidP="00757CB4">
      <w:pPr>
        <w:pStyle w:val="NoSpacing"/>
        <w:numPr>
          <w:ilvl w:val="0"/>
          <w:numId w:val="27"/>
        </w:numPr>
        <w:spacing w:line="360" w:lineRule="auto"/>
        <w:rPr>
          <w:rFonts w:ascii="Times New Roman" w:hAnsi="Times New Roman"/>
          <w:lang w:val="en-US"/>
        </w:rPr>
      </w:pPr>
      <w:r w:rsidRPr="00426A50">
        <w:rPr>
          <w:rFonts w:ascii="Times New Roman" w:hAnsi="Times New Roman"/>
          <w:lang w:val="en-US"/>
        </w:rPr>
        <w:lastRenderedPageBreak/>
        <w:t xml:space="preserve">Ogden, Daniel, </w:t>
      </w:r>
      <w:r w:rsidRPr="00426A50">
        <w:rPr>
          <w:rFonts w:ascii="Times New Roman" w:hAnsi="Times New Roman"/>
          <w:i/>
          <w:lang w:val="en-US"/>
        </w:rPr>
        <w:t>Magic, Witchcraft, and Ghosts in the Greek and Roman Worlds</w:t>
      </w:r>
      <w:r w:rsidRPr="00426A50">
        <w:rPr>
          <w:rFonts w:ascii="Times New Roman" w:hAnsi="Times New Roman"/>
          <w:lang w:val="en-US"/>
        </w:rPr>
        <w:t>, (New York: Oxford University Press, 2009), p. 161.</w:t>
      </w:r>
    </w:p>
    <w:p w14:paraId="382826FB" w14:textId="77777777" w:rsidR="00757CB4" w:rsidRPr="00426A50" w:rsidRDefault="00757CB4" w:rsidP="00757CB4">
      <w:pPr>
        <w:pStyle w:val="NoSpacing"/>
        <w:numPr>
          <w:ilvl w:val="0"/>
          <w:numId w:val="27"/>
        </w:numPr>
        <w:spacing w:line="360" w:lineRule="auto"/>
        <w:rPr>
          <w:rFonts w:ascii="Times New Roman" w:eastAsia="Times New Roman" w:hAnsi="Times New Roman"/>
        </w:rPr>
      </w:pPr>
      <w:r w:rsidRPr="00426A50">
        <w:rPr>
          <w:rFonts w:ascii="Times New Roman" w:hAnsi="Times New Roman"/>
        </w:rPr>
        <w:t xml:space="preserve">Potter, David, </w:t>
      </w:r>
      <w:r w:rsidRPr="00426A50">
        <w:rPr>
          <w:rFonts w:ascii="Times New Roman" w:hAnsi="Times New Roman"/>
          <w:i/>
        </w:rPr>
        <w:t xml:space="preserve">The Chaldean Oracles by R. </w:t>
      </w:r>
      <w:proofErr w:type="spellStart"/>
      <w:r w:rsidRPr="00426A50">
        <w:rPr>
          <w:rFonts w:ascii="Times New Roman" w:hAnsi="Times New Roman"/>
          <w:i/>
        </w:rPr>
        <w:t>Majercik</w:t>
      </w:r>
      <w:proofErr w:type="spellEnd"/>
      <w:r w:rsidRPr="00426A50">
        <w:rPr>
          <w:rFonts w:ascii="Times New Roman" w:hAnsi="Times New Roman"/>
        </w:rPr>
        <w:t xml:space="preserve"> , (The Journal of Roman Studies, Vol. 81, 1991, pp. 225-227), p. 225. </w:t>
      </w:r>
      <w:r w:rsidRPr="00426A50">
        <w:rPr>
          <w:rFonts w:ascii="Times New Roman" w:eastAsia="Times New Roman" w:hAnsi="Times New Roman"/>
        </w:rPr>
        <w:t>&lt;</w:t>
      </w:r>
      <w:hyperlink r:id="rId16" w:history="1">
        <w:r w:rsidRPr="00426A50">
          <w:rPr>
            <w:rFonts w:ascii="Times New Roman" w:eastAsia="Times New Roman" w:hAnsi="Times New Roman"/>
          </w:rPr>
          <w:t>https://www.jstor.org/stable/300540</w:t>
        </w:r>
      </w:hyperlink>
      <w:r w:rsidRPr="00426A50">
        <w:rPr>
          <w:rFonts w:ascii="Times New Roman" w:eastAsia="Times New Roman" w:hAnsi="Times New Roman"/>
        </w:rPr>
        <w:t>&gt;</w:t>
      </w:r>
    </w:p>
    <w:p w14:paraId="776C4F82" w14:textId="77777777" w:rsidR="00757CB4" w:rsidRPr="00426A50" w:rsidRDefault="00757CB4" w:rsidP="00757CB4">
      <w:pPr>
        <w:pStyle w:val="NoSpacing"/>
        <w:numPr>
          <w:ilvl w:val="0"/>
          <w:numId w:val="27"/>
        </w:numPr>
        <w:spacing w:line="360" w:lineRule="auto"/>
        <w:rPr>
          <w:rFonts w:ascii="Times New Roman" w:eastAsia="Times New Roman" w:hAnsi="Times New Roman"/>
        </w:rPr>
      </w:pPr>
      <w:r w:rsidRPr="00426A50">
        <w:rPr>
          <w:rFonts w:ascii="Times New Roman" w:hAnsi="Times New Roman"/>
        </w:rPr>
        <w:t xml:space="preserve">Sheppard, Anne, </w:t>
      </w:r>
      <w:r w:rsidRPr="00426A50">
        <w:rPr>
          <w:rFonts w:ascii="Times New Roman" w:hAnsi="Times New Roman"/>
          <w:i/>
        </w:rPr>
        <w:t>Proclus’ Attitude to Theurgy</w:t>
      </w:r>
      <w:r w:rsidRPr="00426A50">
        <w:rPr>
          <w:rFonts w:ascii="Times New Roman" w:hAnsi="Times New Roman"/>
        </w:rPr>
        <w:t>, (</w:t>
      </w:r>
      <w:r w:rsidRPr="00426A50">
        <w:rPr>
          <w:rFonts w:ascii="Times New Roman" w:eastAsia="Times New Roman" w:hAnsi="Times New Roman"/>
          <w:iCs/>
        </w:rPr>
        <w:t>The Classical Quarterly</w:t>
      </w:r>
      <w:r w:rsidRPr="00426A50">
        <w:rPr>
          <w:rFonts w:ascii="Times New Roman" w:eastAsia="Times New Roman" w:hAnsi="Times New Roman"/>
        </w:rPr>
        <w:t xml:space="preserve"> Vol. 32, No. 1 (1982), pp. 212-224),</w:t>
      </w:r>
      <w:r w:rsidRPr="00426A50">
        <w:rPr>
          <w:rFonts w:ascii="Times New Roman" w:hAnsi="Times New Roman"/>
        </w:rPr>
        <w:t xml:space="preserve"> p. 218. &lt;</w:t>
      </w:r>
      <w:hyperlink r:id="rId17" w:history="1">
        <w:r w:rsidRPr="00426A50">
          <w:rPr>
            <w:rStyle w:val="Hyperlink"/>
            <w:rFonts w:ascii="Times New Roman" w:hAnsi="Times New Roman"/>
            <w:color w:val="auto"/>
            <w:u w:val="none"/>
          </w:rPr>
          <w:t>https://www.jstor.org/stable/638759</w:t>
        </w:r>
      </w:hyperlink>
      <w:r w:rsidRPr="00426A50">
        <w:rPr>
          <w:rStyle w:val="Hyperlink"/>
          <w:rFonts w:ascii="Times New Roman" w:hAnsi="Times New Roman"/>
          <w:color w:val="auto"/>
          <w:u w:val="none"/>
        </w:rPr>
        <w:t>&gt;</w:t>
      </w:r>
      <w:r w:rsidRPr="00426A50">
        <w:rPr>
          <w:rFonts w:ascii="Times New Roman" w:hAnsi="Times New Roman"/>
        </w:rPr>
        <w:t xml:space="preserve"> [accessed 25th June 2019]</w:t>
      </w:r>
    </w:p>
    <w:p w14:paraId="113336C0" w14:textId="77777777" w:rsidR="00757CB4" w:rsidRPr="00426A50" w:rsidRDefault="00757CB4" w:rsidP="00757CB4">
      <w:pPr>
        <w:pStyle w:val="NoSpacing"/>
        <w:numPr>
          <w:ilvl w:val="0"/>
          <w:numId w:val="27"/>
        </w:numPr>
        <w:spacing w:line="360" w:lineRule="auto"/>
        <w:rPr>
          <w:rFonts w:ascii="Times New Roman" w:hAnsi="Times New Roman"/>
          <w:lang w:val="en-US"/>
        </w:rPr>
      </w:pPr>
      <w:proofErr w:type="spellStart"/>
      <w:r w:rsidRPr="00426A50">
        <w:rPr>
          <w:rFonts w:ascii="Times New Roman" w:hAnsi="Times New Roman"/>
          <w:lang w:val="en-US"/>
        </w:rPr>
        <w:t>Stang</w:t>
      </w:r>
      <w:proofErr w:type="spellEnd"/>
      <w:r w:rsidRPr="00426A50">
        <w:rPr>
          <w:rFonts w:ascii="Times New Roman" w:hAnsi="Times New Roman"/>
          <w:lang w:val="en-US"/>
        </w:rPr>
        <w:t xml:space="preserve">, Charles M., “From the </w:t>
      </w:r>
      <w:r w:rsidRPr="00426A50">
        <w:rPr>
          <w:rFonts w:ascii="Times New Roman" w:hAnsi="Times New Roman"/>
          <w:i/>
          <w:iCs/>
          <w:lang w:val="en-US"/>
        </w:rPr>
        <w:t xml:space="preserve">Chaldean Oracles </w:t>
      </w:r>
      <w:r w:rsidRPr="00426A50">
        <w:rPr>
          <w:rFonts w:ascii="Times New Roman" w:hAnsi="Times New Roman"/>
          <w:lang w:val="en-US"/>
        </w:rPr>
        <w:t xml:space="preserve">to the </w:t>
      </w:r>
      <w:r w:rsidRPr="00426A50">
        <w:rPr>
          <w:rFonts w:ascii="Times New Roman" w:hAnsi="Times New Roman"/>
          <w:i/>
          <w:iCs/>
          <w:lang w:val="en-US"/>
        </w:rPr>
        <w:t xml:space="preserve">Corpus </w:t>
      </w:r>
      <w:proofErr w:type="spellStart"/>
      <w:r w:rsidRPr="00426A50">
        <w:rPr>
          <w:rFonts w:ascii="Times New Roman" w:hAnsi="Times New Roman"/>
          <w:i/>
          <w:iCs/>
          <w:lang w:val="en-US"/>
        </w:rPr>
        <w:t>Dionysiacum</w:t>
      </w:r>
      <w:proofErr w:type="spellEnd"/>
      <w:r w:rsidRPr="00426A50">
        <w:rPr>
          <w:rFonts w:ascii="Times New Roman" w:hAnsi="Times New Roman"/>
          <w:lang w:val="en-US"/>
        </w:rPr>
        <w:t xml:space="preserve">: Theurgy between the third and sixth centuries”, </w:t>
      </w:r>
      <w:r w:rsidRPr="00426A50">
        <w:rPr>
          <w:rFonts w:ascii="Times New Roman" w:hAnsi="Times New Roman"/>
          <w:i/>
          <w:lang w:val="en-US"/>
        </w:rPr>
        <w:t xml:space="preserve">Journal for Late Antique Religion and Culture 5 </w:t>
      </w:r>
      <w:r w:rsidRPr="00426A50">
        <w:rPr>
          <w:rFonts w:ascii="Times New Roman" w:hAnsi="Times New Roman"/>
          <w:lang w:val="en-US"/>
        </w:rPr>
        <w:t>(2011) pp. 1-13, p. 7.</w:t>
      </w:r>
    </w:p>
    <w:p w14:paraId="74C8156D" w14:textId="77777777" w:rsidR="00757CB4" w:rsidRPr="00426A50" w:rsidRDefault="00757CB4" w:rsidP="00757CB4">
      <w:pPr>
        <w:pStyle w:val="NoSpacing"/>
        <w:numPr>
          <w:ilvl w:val="0"/>
          <w:numId w:val="27"/>
        </w:numPr>
        <w:spacing w:line="360" w:lineRule="auto"/>
        <w:rPr>
          <w:rFonts w:ascii="Times New Roman" w:eastAsia="Times New Roman" w:hAnsi="Times New Roman"/>
        </w:rPr>
      </w:pPr>
      <w:proofErr w:type="spellStart"/>
      <w:r w:rsidRPr="00426A50">
        <w:rPr>
          <w:rFonts w:ascii="Times New Roman" w:hAnsi="Times New Roman"/>
        </w:rPr>
        <w:t>Tanaseanu-Döbler</w:t>
      </w:r>
      <w:proofErr w:type="spellEnd"/>
      <w:r w:rsidRPr="00426A50">
        <w:rPr>
          <w:rFonts w:ascii="Times New Roman" w:hAnsi="Times New Roman"/>
        </w:rPr>
        <w:t xml:space="preserve">, </w:t>
      </w:r>
      <w:proofErr w:type="spellStart"/>
      <w:r w:rsidRPr="00426A50">
        <w:rPr>
          <w:rFonts w:ascii="Times New Roman" w:hAnsi="Times New Roman"/>
        </w:rPr>
        <w:t>Ilinca</w:t>
      </w:r>
      <w:proofErr w:type="spellEnd"/>
      <w:r w:rsidRPr="00426A50">
        <w:rPr>
          <w:rFonts w:ascii="Times New Roman" w:hAnsi="Times New Roman"/>
        </w:rPr>
        <w:t xml:space="preserve">, </w:t>
      </w:r>
      <w:r w:rsidRPr="00426A50">
        <w:rPr>
          <w:rFonts w:ascii="Times New Roman" w:hAnsi="Times New Roman"/>
          <w:i/>
        </w:rPr>
        <w:t>Theurgy in Late Antiquity: The Invention of a Ritual Tradition</w:t>
      </w:r>
      <w:r w:rsidRPr="00426A50">
        <w:rPr>
          <w:rFonts w:ascii="Times New Roman" w:hAnsi="Times New Roman"/>
        </w:rPr>
        <w:t>, (</w:t>
      </w:r>
      <w:proofErr w:type="spellStart"/>
      <w:r w:rsidRPr="00426A50">
        <w:rPr>
          <w:rFonts w:ascii="Times New Roman" w:hAnsi="Times New Roman"/>
        </w:rPr>
        <w:t>Göttingen</w:t>
      </w:r>
      <w:proofErr w:type="spellEnd"/>
      <w:r w:rsidRPr="00426A50">
        <w:rPr>
          <w:rFonts w:ascii="Times New Roman" w:hAnsi="Times New Roman"/>
        </w:rPr>
        <w:t xml:space="preserve">: </w:t>
      </w:r>
      <w:proofErr w:type="spellStart"/>
      <w:r w:rsidRPr="00426A50">
        <w:rPr>
          <w:rFonts w:ascii="Times New Roman" w:hAnsi="Times New Roman"/>
        </w:rPr>
        <w:t>Vandenhoeck</w:t>
      </w:r>
      <w:proofErr w:type="spellEnd"/>
      <w:r w:rsidRPr="00426A50">
        <w:rPr>
          <w:rFonts w:ascii="Times New Roman" w:hAnsi="Times New Roman"/>
        </w:rPr>
        <w:t xml:space="preserve"> &amp; </w:t>
      </w:r>
      <w:proofErr w:type="spellStart"/>
      <w:r w:rsidRPr="00426A50">
        <w:rPr>
          <w:rFonts w:ascii="Times New Roman" w:hAnsi="Times New Roman"/>
        </w:rPr>
        <w:t>Ruprecht</w:t>
      </w:r>
      <w:proofErr w:type="spellEnd"/>
      <w:r w:rsidRPr="00426A50">
        <w:rPr>
          <w:rFonts w:ascii="Times New Roman" w:hAnsi="Times New Roman"/>
        </w:rPr>
        <w:t>, 2013), p. 21. &lt;</w:t>
      </w:r>
      <w:hyperlink r:id="rId18" w:history="1">
        <w:r w:rsidRPr="00426A50">
          <w:rPr>
            <w:rFonts w:ascii="Times New Roman" w:eastAsia="Times New Roman" w:hAnsi="Times New Roman"/>
          </w:rPr>
          <w:t>https://www-dawsonera-com.ezproxy.uwtsd.ac.uk/readonline/9783647540207</w:t>
        </w:r>
      </w:hyperlink>
      <w:r w:rsidRPr="00426A50">
        <w:rPr>
          <w:rFonts w:ascii="Times New Roman" w:eastAsia="Times New Roman" w:hAnsi="Times New Roman"/>
        </w:rPr>
        <w:t>&gt; [accessed 12</w:t>
      </w:r>
      <w:r w:rsidRPr="00426A50">
        <w:rPr>
          <w:rFonts w:ascii="Times New Roman" w:eastAsia="Times New Roman" w:hAnsi="Times New Roman"/>
          <w:vertAlign w:val="superscript"/>
        </w:rPr>
        <w:t>th</w:t>
      </w:r>
      <w:r w:rsidRPr="00426A50">
        <w:rPr>
          <w:rFonts w:ascii="Times New Roman" w:eastAsia="Times New Roman" w:hAnsi="Times New Roman"/>
        </w:rPr>
        <w:t xml:space="preserve"> June 2019]</w:t>
      </w:r>
    </w:p>
    <w:p w14:paraId="3AEAE0D9" w14:textId="5A81A038" w:rsidR="00757CB4" w:rsidRPr="00426A50" w:rsidRDefault="00757CB4" w:rsidP="00757CB4">
      <w:pPr>
        <w:pStyle w:val="NoSpacing"/>
        <w:numPr>
          <w:ilvl w:val="0"/>
          <w:numId w:val="27"/>
        </w:numPr>
        <w:spacing w:line="360" w:lineRule="auto"/>
        <w:rPr>
          <w:rFonts w:ascii="Times New Roman" w:hAnsi="Times New Roman"/>
        </w:rPr>
      </w:pPr>
      <w:r w:rsidRPr="00426A50">
        <w:rPr>
          <w:rFonts w:ascii="Times New Roman" w:hAnsi="Times New Roman"/>
        </w:rPr>
        <w:t>Wax, Murray and Wax, Rosalie</w:t>
      </w:r>
      <w:r w:rsidRPr="00426A50">
        <w:rPr>
          <w:rFonts w:ascii="Times New Roman" w:hAnsi="Times New Roman"/>
          <w:i/>
        </w:rPr>
        <w:t xml:space="preserve">, The Notion of Magic, </w:t>
      </w:r>
      <w:r w:rsidRPr="00426A50">
        <w:rPr>
          <w:rFonts w:ascii="Times New Roman" w:hAnsi="Times New Roman"/>
        </w:rPr>
        <w:t xml:space="preserve">(Current </w:t>
      </w:r>
      <w:r w:rsidR="004E76CE" w:rsidRPr="00426A50">
        <w:rPr>
          <w:rFonts w:ascii="Times New Roman" w:hAnsi="Times New Roman"/>
        </w:rPr>
        <w:t>Anthropology</w:t>
      </w:r>
      <w:bookmarkStart w:id="6" w:name="_GoBack"/>
      <w:bookmarkEnd w:id="6"/>
      <w:r w:rsidRPr="00426A50">
        <w:rPr>
          <w:rFonts w:ascii="Times New Roman" w:hAnsi="Times New Roman"/>
        </w:rPr>
        <w:t xml:space="preserve">, </w:t>
      </w:r>
      <w:proofErr w:type="spellStart"/>
      <w:r w:rsidRPr="00426A50">
        <w:rPr>
          <w:rFonts w:ascii="Times New Roman" w:hAnsi="Times New Roman"/>
        </w:rPr>
        <w:t>Vol</w:t>
      </w:r>
      <w:proofErr w:type="spellEnd"/>
      <w:r w:rsidRPr="00426A50">
        <w:rPr>
          <w:rFonts w:ascii="Times New Roman" w:hAnsi="Times New Roman"/>
        </w:rPr>
        <w:t xml:space="preserve"> 4, No. 5 Dec., 1963, pp. 495-518),</w:t>
      </w:r>
      <w:r w:rsidRPr="00426A50">
        <w:rPr>
          <w:rFonts w:ascii="Times New Roman" w:hAnsi="Times New Roman"/>
          <w:i/>
        </w:rPr>
        <w:t xml:space="preserve"> </w:t>
      </w:r>
      <w:r w:rsidRPr="00426A50">
        <w:rPr>
          <w:rFonts w:ascii="Times New Roman" w:hAnsi="Times New Roman"/>
        </w:rPr>
        <w:t>p. 495</w:t>
      </w:r>
      <w:r w:rsidRPr="00426A50">
        <w:rPr>
          <w:rFonts w:ascii="Times New Roman" w:hAnsi="Times New Roman"/>
          <w:i/>
        </w:rPr>
        <w:t>.</w:t>
      </w:r>
      <w:r w:rsidRPr="00426A50">
        <w:rPr>
          <w:rFonts w:ascii="Times New Roman" w:hAnsi="Times New Roman"/>
        </w:rPr>
        <w:t xml:space="preserve"> &lt;</w:t>
      </w:r>
      <w:hyperlink r:id="rId19" w:history="1">
        <w:r w:rsidRPr="00426A50">
          <w:rPr>
            <w:rStyle w:val="Hyperlink"/>
            <w:rFonts w:ascii="Times New Roman" w:hAnsi="Times New Roman"/>
            <w:color w:val="auto"/>
            <w:u w:val="none"/>
          </w:rPr>
          <w:t>www.jstor.org/stable/2739651</w:t>
        </w:r>
      </w:hyperlink>
      <w:r w:rsidRPr="00426A50">
        <w:rPr>
          <w:rFonts w:ascii="Times New Roman" w:hAnsi="Times New Roman"/>
        </w:rPr>
        <w:t>&gt; [accessed 4th May 2019]</w:t>
      </w:r>
    </w:p>
    <w:p w14:paraId="5FC0AE2F" w14:textId="77777777" w:rsidR="00757CB4" w:rsidRPr="00426A50" w:rsidRDefault="00757CB4" w:rsidP="00757CB4">
      <w:pPr>
        <w:spacing w:line="360" w:lineRule="auto"/>
        <w:jc w:val="both"/>
        <w:rPr>
          <w:lang w:val="en-US"/>
        </w:rPr>
      </w:pPr>
    </w:p>
    <w:p w14:paraId="7DE73A9B" w14:textId="77777777" w:rsidR="00757CB4" w:rsidRPr="00426A50" w:rsidRDefault="00757CB4" w:rsidP="00FA07E9">
      <w:pPr>
        <w:pStyle w:val="NormalWeb"/>
        <w:spacing w:before="0" w:beforeAutospacing="0" w:after="0" w:afterAutospacing="0"/>
        <w:ind w:right="-334"/>
        <w:rPr>
          <w:rFonts w:ascii="Times New Roman" w:hAnsi="Times New Roman"/>
          <w:bCs/>
          <w:color w:val="auto"/>
          <w:sz w:val="24"/>
          <w:szCs w:val="24"/>
        </w:rPr>
      </w:pPr>
    </w:p>
    <w:sectPr w:rsidR="00757CB4" w:rsidRPr="00426A50" w:rsidSect="00B462B1">
      <w:footerReference w:type="default" r:id="rId2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C201AD" w14:textId="77777777" w:rsidR="00C90302" w:rsidRDefault="00C90302" w:rsidP="00AD5D5A">
      <w:r>
        <w:separator/>
      </w:r>
    </w:p>
  </w:endnote>
  <w:endnote w:type="continuationSeparator" w:id="0">
    <w:p w14:paraId="0C58A62C" w14:textId="77777777" w:rsidR="00C90302" w:rsidRDefault="00C9030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1D4D85"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16686D" w14:textId="77777777" w:rsidR="00C90302" w:rsidRDefault="00C90302" w:rsidP="00AD5D5A">
      <w:r>
        <w:separator/>
      </w:r>
    </w:p>
  </w:footnote>
  <w:footnote w:type="continuationSeparator" w:id="0">
    <w:p w14:paraId="0A1FB4B7" w14:textId="77777777" w:rsidR="00C90302" w:rsidRDefault="00C90302" w:rsidP="00AD5D5A">
      <w:r>
        <w:continuationSeparator/>
      </w:r>
    </w:p>
  </w:footnote>
  <w:footnote w:id="1">
    <w:p w14:paraId="2F1F3B10"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Chrystal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Oracles of the gods</w:t>
      </w:r>
      <w:r w:rsidRPr="00211323">
        <w:rPr>
          <w:sz w:val="20"/>
          <w:szCs w:val="20"/>
        </w:rPr>
        <w:t xml:space="preserve">, (Farnham: </w:t>
      </w:r>
      <w:proofErr w:type="spellStart"/>
      <w:r w:rsidRPr="00211323">
        <w:rPr>
          <w:sz w:val="20"/>
          <w:szCs w:val="20"/>
        </w:rPr>
        <w:t>Ashgate</w:t>
      </w:r>
      <w:proofErr w:type="spellEnd"/>
      <w:r w:rsidRPr="00211323">
        <w:rPr>
          <w:sz w:val="20"/>
          <w:szCs w:val="20"/>
        </w:rPr>
        <w:t xml:space="preserve">, 2014), </w:t>
      </w:r>
      <w:r w:rsidRPr="00211323">
        <w:rPr>
          <w:rFonts w:eastAsia="Times New Roman"/>
          <w:sz w:val="20"/>
          <w:szCs w:val="20"/>
        </w:rPr>
        <w:t>p. 3. &lt;</w:t>
      </w:r>
      <w:hyperlink r:id="rId1" w:history="1">
        <w:r w:rsidRPr="00211323">
          <w:rPr>
            <w:rStyle w:val="Hyperlink"/>
            <w:rFonts w:eastAsia="Times New Roman"/>
            <w:color w:val="auto"/>
            <w:sz w:val="20"/>
            <w:szCs w:val="20"/>
            <w:u w:val="none"/>
          </w:rPr>
          <w:t>https://www-dawsonera-com.ezproxy.uwtsd.ac.uk/readonline/9781409451532</w:t>
        </w:r>
      </w:hyperlink>
      <w:r w:rsidRPr="00211323">
        <w:rPr>
          <w:rStyle w:val="Hyperlink"/>
          <w:rFonts w:eastAsia="Times New Roman"/>
          <w:color w:val="auto"/>
          <w:sz w:val="20"/>
          <w:szCs w:val="20"/>
          <w:u w:val="none"/>
        </w:rPr>
        <w:t>&gt;</w:t>
      </w:r>
      <w:r w:rsidRPr="00211323">
        <w:rPr>
          <w:rFonts w:eastAsia="Times New Roman"/>
          <w:sz w:val="20"/>
          <w:szCs w:val="20"/>
        </w:rPr>
        <w:t xml:space="preserve"> [accessed 22nd June 2019]</w:t>
      </w:r>
    </w:p>
  </w:footnote>
  <w:footnote w:id="2">
    <w:p w14:paraId="5C29A343"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Oracles of the gods</w:t>
      </w:r>
      <w:r w:rsidRPr="00211323">
        <w:rPr>
          <w:sz w:val="20"/>
          <w:szCs w:val="20"/>
        </w:rPr>
        <w:t>,</w:t>
      </w:r>
      <w:r w:rsidRPr="00211323">
        <w:rPr>
          <w:rFonts w:eastAsia="Times New Roman"/>
          <w:sz w:val="20"/>
          <w:szCs w:val="20"/>
        </w:rPr>
        <w:t xml:space="preserve"> p. 3.</w:t>
      </w:r>
    </w:p>
  </w:footnote>
  <w:footnote w:id="3">
    <w:p w14:paraId="446921FF" w14:textId="77777777" w:rsidR="00757CB4" w:rsidRPr="00211323" w:rsidRDefault="00757CB4" w:rsidP="00757CB4">
      <w:pPr>
        <w:pStyle w:val="NoSpacing"/>
        <w:rPr>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Polymnia</w:t>
      </w:r>
      <w:proofErr w:type="spellEnd"/>
      <w:r w:rsidRPr="00211323">
        <w:rPr>
          <w:sz w:val="20"/>
          <w:szCs w:val="20"/>
        </w:rPr>
        <w:t xml:space="preserve"> </w:t>
      </w:r>
      <w:proofErr w:type="spellStart"/>
      <w:r w:rsidRPr="00211323">
        <w:rPr>
          <w:sz w:val="20"/>
          <w:szCs w:val="20"/>
        </w:rPr>
        <w:t>Athanassiadi</w:t>
      </w:r>
      <w:proofErr w:type="spellEnd"/>
      <w:r w:rsidRPr="00211323">
        <w:rPr>
          <w:sz w:val="20"/>
          <w:szCs w:val="20"/>
        </w:rPr>
        <w:t xml:space="preserve">, </w:t>
      </w:r>
      <w:r w:rsidRPr="00211323">
        <w:rPr>
          <w:i/>
          <w:sz w:val="20"/>
          <w:szCs w:val="20"/>
        </w:rPr>
        <w:t>Dreams, Theurgy and Freelance Divination: The Testimony of Iamblichus</w:t>
      </w:r>
      <w:r w:rsidRPr="00211323">
        <w:rPr>
          <w:sz w:val="20"/>
          <w:szCs w:val="20"/>
        </w:rPr>
        <w:t>, (The Journal of Roman Studies, Vol. 83, 1993, pp. 115-130), p. 116.</w:t>
      </w:r>
      <w:r w:rsidRPr="00211323">
        <w:rPr>
          <w:rFonts w:eastAsia="Times New Roman" w:cs="Arial"/>
          <w:sz w:val="20"/>
          <w:szCs w:val="20"/>
        </w:rPr>
        <w:t xml:space="preserve"> &lt;</w:t>
      </w:r>
      <w:hyperlink r:id="rId2" w:history="1">
        <w:r w:rsidRPr="00211323">
          <w:rPr>
            <w:rStyle w:val="Hyperlink"/>
            <w:rFonts w:cs="Times"/>
            <w:color w:val="auto"/>
            <w:sz w:val="20"/>
            <w:szCs w:val="20"/>
            <w:u w:val="none"/>
            <w:lang w:val="en-US"/>
          </w:rPr>
          <w:t>https://www.jstor.org/stable/300982</w:t>
        </w:r>
      </w:hyperlink>
      <w:r w:rsidRPr="00211323">
        <w:rPr>
          <w:rStyle w:val="Hyperlink"/>
          <w:rFonts w:cs="Times"/>
          <w:color w:val="auto"/>
          <w:sz w:val="20"/>
          <w:szCs w:val="20"/>
          <w:u w:val="none"/>
          <w:lang w:val="en-US"/>
        </w:rPr>
        <w:t>&gt;</w:t>
      </w:r>
    </w:p>
  </w:footnote>
  <w:footnote w:id="4">
    <w:p w14:paraId="104A199E"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proofErr w:type="spellStart"/>
      <w:r w:rsidRPr="00211323">
        <w:rPr>
          <w:sz w:val="20"/>
          <w:szCs w:val="20"/>
        </w:rPr>
        <w:t>Athanassiadi</w:t>
      </w:r>
      <w:proofErr w:type="spellEnd"/>
      <w:r w:rsidRPr="00211323">
        <w:rPr>
          <w:sz w:val="20"/>
          <w:szCs w:val="20"/>
        </w:rPr>
        <w:t xml:space="preserve">, </w:t>
      </w:r>
      <w:r w:rsidRPr="00211323">
        <w:rPr>
          <w:i/>
          <w:sz w:val="20"/>
          <w:szCs w:val="20"/>
        </w:rPr>
        <w:t>Dreams, Theurgy and Freelance Divination: The Testimony of Iamblichus</w:t>
      </w:r>
      <w:r w:rsidRPr="00211323">
        <w:rPr>
          <w:sz w:val="20"/>
          <w:szCs w:val="20"/>
        </w:rPr>
        <w:t xml:space="preserve">, </w:t>
      </w:r>
      <w:r w:rsidRPr="00211323">
        <w:rPr>
          <w:sz w:val="20"/>
          <w:szCs w:val="20"/>
          <w:lang w:val="en-US"/>
        </w:rPr>
        <w:t>p. 116.</w:t>
      </w:r>
    </w:p>
  </w:footnote>
  <w:footnote w:id="5">
    <w:p w14:paraId="05C57E0C" w14:textId="77777777" w:rsidR="00757CB4" w:rsidRPr="00211323" w:rsidRDefault="00757CB4" w:rsidP="00757CB4">
      <w:pPr>
        <w:pStyle w:val="NoSpacing"/>
        <w:rPr>
          <w:rFonts w:eastAsia="Times New Roman" w:cs="Arial"/>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Ilinca</w:t>
      </w:r>
      <w:proofErr w:type="spellEnd"/>
      <w:r w:rsidRPr="00211323">
        <w:rPr>
          <w:sz w:val="20"/>
          <w:szCs w:val="20"/>
        </w:rPr>
        <w:t xml:space="preserve"> </w:t>
      </w:r>
      <w:proofErr w:type="spellStart"/>
      <w:r w:rsidRPr="00211323">
        <w:rPr>
          <w:sz w:val="20"/>
          <w:szCs w:val="20"/>
        </w:rPr>
        <w:t>Tanaseanu-Döbler</w:t>
      </w:r>
      <w:proofErr w:type="spellEnd"/>
      <w:r w:rsidRPr="00211323">
        <w:rPr>
          <w:sz w:val="20"/>
          <w:szCs w:val="20"/>
        </w:rPr>
        <w:t xml:space="preserve">, </w:t>
      </w:r>
      <w:r w:rsidRPr="00211323">
        <w:rPr>
          <w:i/>
          <w:sz w:val="20"/>
          <w:szCs w:val="20"/>
        </w:rPr>
        <w:t>Theurgy in Late Antiquity: The Invention of a Ritual Tradition</w:t>
      </w:r>
      <w:r w:rsidRPr="00211323">
        <w:rPr>
          <w:sz w:val="20"/>
          <w:szCs w:val="20"/>
        </w:rPr>
        <w:t>, (</w:t>
      </w:r>
      <w:proofErr w:type="spellStart"/>
      <w:r w:rsidRPr="00211323">
        <w:rPr>
          <w:sz w:val="20"/>
          <w:szCs w:val="20"/>
        </w:rPr>
        <w:t>Göttingen</w:t>
      </w:r>
      <w:proofErr w:type="spellEnd"/>
      <w:r w:rsidRPr="00211323">
        <w:rPr>
          <w:sz w:val="20"/>
          <w:szCs w:val="20"/>
        </w:rPr>
        <w:t xml:space="preserve">: </w:t>
      </w:r>
      <w:proofErr w:type="spellStart"/>
      <w:r w:rsidRPr="00211323">
        <w:rPr>
          <w:sz w:val="20"/>
          <w:szCs w:val="20"/>
        </w:rPr>
        <w:t>Vandenhoeck</w:t>
      </w:r>
      <w:proofErr w:type="spellEnd"/>
      <w:r w:rsidRPr="00211323">
        <w:rPr>
          <w:sz w:val="20"/>
          <w:szCs w:val="20"/>
        </w:rPr>
        <w:t xml:space="preserve"> &amp; </w:t>
      </w:r>
      <w:proofErr w:type="spellStart"/>
      <w:r w:rsidRPr="00211323">
        <w:rPr>
          <w:sz w:val="20"/>
          <w:szCs w:val="20"/>
        </w:rPr>
        <w:t>Ruprecht</w:t>
      </w:r>
      <w:proofErr w:type="spellEnd"/>
      <w:r w:rsidRPr="00211323">
        <w:rPr>
          <w:sz w:val="20"/>
          <w:szCs w:val="20"/>
        </w:rPr>
        <w:t>, 2013), p. 21. &lt;</w:t>
      </w:r>
      <w:hyperlink r:id="rId3" w:history="1">
        <w:r w:rsidRPr="00211323">
          <w:rPr>
            <w:rFonts w:eastAsia="Times New Roman"/>
            <w:sz w:val="20"/>
            <w:szCs w:val="20"/>
          </w:rPr>
          <w:t>https://www-dawsonera-com.ezproxy.uwtsd.ac.uk/readonline/9783647540207</w:t>
        </w:r>
      </w:hyperlink>
      <w:r w:rsidRPr="00211323">
        <w:rPr>
          <w:rFonts w:eastAsia="Times New Roman"/>
          <w:sz w:val="20"/>
          <w:szCs w:val="20"/>
        </w:rPr>
        <w:t>&gt; [accessed 12</w:t>
      </w:r>
      <w:r w:rsidRPr="00211323">
        <w:rPr>
          <w:rFonts w:eastAsia="Times New Roman"/>
          <w:sz w:val="20"/>
          <w:szCs w:val="20"/>
          <w:vertAlign w:val="superscript"/>
        </w:rPr>
        <w:t>th</w:t>
      </w:r>
      <w:r w:rsidRPr="00211323">
        <w:rPr>
          <w:rFonts w:eastAsia="Times New Roman"/>
          <w:sz w:val="20"/>
          <w:szCs w:val="20"/>
        </w:rPr>
        <w:t xml:space="preserve"> June 2019]</w:t>
      </w:r>
    </w:p>
  </w:footnote>
  <w:footnote w:id="6">
    <w:p w14:paraId="048135F4"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proofErr w:type="gramStart"/>
      <w:r w:rsidRPr="00211323">
        <w:rPr>
          <w:sz w:val="20"/>
          <w:szCs w:val="20"/>
        </w:rPr>
        <w:t xml:space="preserve">David Potter, </w:t>
      </w:r>
      <w:r w:rsidRPr="00211323">
        <w:rPr>
          <w:i/>
          <w:sz w:val="20"/>
          <w:szCs w:val="20"/>
        </w:rPr>
        <w:t xml:space="preserve">The Chaldean Oracles by R. </w:t>
      </w:r>
      <w:proofErr w:type="spellStart"/>
      <w:r w:rsidRPr="00211323">
        <w:rPr>
          <w:i/>
          <w:sz w:val="20"/>
          <w:szCs w:val="20"/>
        </w:rPr>
        <w:t>Majercik</w:t>
      </w:r>
      <w:proofErr w:type="spellEnd"/>
      <w:r w:rsidRPr="00211323">
        <w:rPr>
          <w:sz w:val="20"/>
          <w:szCs w:val="20"/>
        </w:rPr>
        <w:t> , (The Journal of Roman Studies, Vol. 81, 1991, pp. 225-227), p. 225.</w:t>
      </w:r>
      <w:proofErr w:type="gramEnd"/>
      <w:r w:rsidRPr="00211323">
        <w:rPr>
          <w:sz w:val="20"/>
          <w:szCs w:val="20"/>
        </w:rPr>
        <w:t xml:space="preserve"> </w:t>
      </w:r>
      <w:r w:rsidRPr="00211323">
        <w:rPr>
          <w:rFonts w:eastAsia="Times New Roman"/>
          <w:sz w:val="20"/>
          <w:szCs w:val="20"/>
        </w:rPr>
        <w:t>&lt;</w:t>
      </w:r>
      <w:hyperlink r:id="rId4" w:history="1">
        <w:r w:rsidRPr="00211323">
          <w:rPr>
            <w:rFonts w:eastAsia="Times New Roman"/>
            <w:sz w:val="20"/>
            <w:szCs w:val="20"/>
          </w:rPr>
          <w:t>https://www.jstor.org/stable/300540</w:t>
        </w:r>
      </w:hyperlink>
      <w:r w:rsidRPr="00211323">
        <w:rPr>
          <w:rFonts w:eastAsia="Times New Roman"/>
          <w:sz w:val="20"/>
          <w:szCs w:val="20"/>
        </w:rPr>
        <w:t>&gt;</w:t>
      </w:r>
    </w:p>
  </w:footnote>
  <w:footnote w:id="7">
    <w:p w14:paraId="6BFF8FD4" w14:textId="77777777" w:rsidR="00757CB4" w:rsidRPr="00211323" w:rsidRDefault="00757CB4" w:rsidP="00757CB4">
      <w:pPr>
        <w:pStyle w:val="NoSpacing"/>
        <w:rPr>
          <w:rFonts w:eastAsia="Times New Roman" w:cs="Arial"/>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Julianus</w:t>
      </w:r>
      <w:proofErr w:type="spellEnd"/>
      <w:r w:rsidRPr="00211323">
        <w:rPr>
          <w:sz w:val="20"/>
          <w:szCs w:val="20"/>
        </w:rPr>
        <w:t xml:space="preserve"> the Theurgist, </w:t>
      </w:r>
      <w:r w:rsidRPr="00211323">
        <w:rPr>
          <w:rFonts w:eastAsia="Times New Roman" w:cs="Arial"/>
          <w:i/>
          <w:sz w:val="20"/>
          <w:szCs w:val="20"/>
        </w:rPr>
        <w:t>The Chaldean Oracles: Text, Translation, and Commentary</w:t>
      </w:r>
      <w:r w:rsidRPr="00211323">
        <w:rPr>
          <w:rFonts w:eastAsia="Times New Roman" w:cs="Arial"/>
          <w:sz w:val="20"/>
          <w:szCs w:val="20"/>
        </w:rPr>
        <w:t xml:space="preserve">, transl. Ruth </w:t>
      </w:r>
      <w:proofErr w:type="spellStart"/>
      <w:r w:rsidRPr="00211323">
        <w:rPr>
          <w:rFonts w:eastAsia="Times New Roman" w:cs="Arial"/>
          <w:sz w:val="20"/>
          <w:szCs w:val="20"/>
        </w:rPr>
        <w:t>Majercik</w:t>
      </w:r>
      <w:proofErr w:type="spellEnd"/>
      <w:r w:rsidRPr="00211323">
        <w:rPr>
          <w:rFonts w:eastAsia="Times New Roman" w:cs="Arial"/>
          <w:sz w:val="20"/>
          <w:szCs w:val="20"/>
        </w:rPr>
        <w:t>, (Leiden: 1989), p. 2. &lt;</w:t>
      </w:r>
      <w:hyperlink r:id="rId5" w:anchor="v=onepage&amp;q=h.%20Lewy%20in%20Chaldaean%20Oracles%20and%20Theurgy&amp;f=false" w:history="1">
        <w:r w:rsidRPr="00211323">
          <w:rPr>
            <w:rStyle w:val="Hyperlink"/>
            <w:rFonts w:eastAsia="Times New Roman"/>
            <w:color w:val="auto"/>
            <w:sz w:val="20"/>
            <w:szCs w:val="20"/>
            <w:u w:val="none"/>
          </w:rPr>
          <w:t>https://books.google.at/books?id=Ow0VAAAAIAAJ&amp;pg=PA1&amp;dq=h.+Lewy+in+Chaldaean+Oracles+and+Theurgy&amp;hl=en&amp;sa=X&amp;ved=0ahUKEwiRk6ecmIDjAhUl-yoKHWokC78Q6AEIMjAB#v=onepage&amp;q=h.%20Lewy%20in%20Chaldaean%20Oracles%20and%20Theurgy&amp;f=false</w:t>
        </w:r>
      </w:hyperlink>
      <w:r w:rsidRPr="00211323">
        <w:rPr>
          <w:rStyle w:val="Hyperlink"/>
          <w:rFonts w:eastAsia="Times New Roman"/>
          <w:color w:val="auto"/>
          <w:sz w:val="20"/>
          <w:szCs w:val="20"/>
          <w:u w:val="none"/>
        </w:rPr>
        <w:t>&gt;</w:t>
      </w:r>
      <w:r w:rsidRPr="00211323">
        <w:rPr>
          <w:rFonts w:eastAsia="Times New Roman"/>
          <w:sz w:val="20"/>
          <w:szCs w:val="20"/>
        </w:rPr>
        <w:t xml:space="preserve"> [accessed 21</w:t>
      </w:r>
      <w:r w:rsidRPr="00211323">
        <w:rPr>
          <w:rFonts w:eastAsia="Times New Roman"/>
          <w:sz w:val="20"/>
          <w:szCs w:val="20"/>
          <w:vertAlign w:val="superscript"/>
        </w:rPr>
        <w:t>st</w:t>
      </w:r>
      <w:r w:rsidRPr="00211323">
        <w:rPr>
          <w:rFonts w:eastAsia="Times New Roman"/>
          <w:sz w:val="20"/>
          <w:szCs w:val="20"/>
        </w:rPr>
        <w:t xml:space="preserve"> July 2019]</w:t>
      </w:r>
    </w:p>
  </w:footnote>
  <w:footnote w:id="8">
    <w:p w14:paraId="463DAF14" w14:textId="77777777" w:rsidR="00757CB4" w:rsidRPr="00211323" w:rsidRDefault="00757CB4" w:rsidP="00757CB4">
      <w:pPr>
        <w:pStyle w:val="NoSpacing"/>
        <w:rPr>
          <w:sz w:val="20"/>
          <w:szCs w:val="20"/>
        </w:rPr>
      </w:pPr>
      <w:r w:rsidRPr="00211323">
        <w:rPr>
          <w:rStyle w:val="FootnoteReference"/>
          <w:sz w:val="20"/>
          <w:szCs w:val="20"/>
        </w:rPr>
        <w:footnoteRef/>
      </w:r>
      <w:r w:rsidRPr="00211323">
        <w:rPr>
          <w:sz w:val="20"/>
          <w:szCs w:val="20"/>
        </w:rPr>
        <w:t xml:space="preserve"> Murray Wax and Rosalie Wax</w:t>
      </w:r>
      <w:r w:rsidRPr="00211323">
        <w:rPr>
          <w:i/>
          <w:sz w:val="20"/>
          <w:szCs w:val="20"/>
        </w:rPr>
        <w:t xml:space="preserve">, The Notion of Magic, </w:t>
      </w:r>
      <w:r w:rsidRPr="00211323">
        <w:rPr>
          <w:sz w:val="20"/>
          <w:szCs w:val="20"/>
        </w:rPr>
        <w:t xml:space="preserve">(Current </w:t>
      </w:r>
      <w:proofErr w:type="spellStart"/>
      <w:r w:rsidRPr="00211323">
        <w:rPr>
          <w:sz w:val="20"/>
          <w:szCs w:val="20"/>
        </w:rPr>
        <w:t>Antropology</w:t>
      </w:r>
      <w:proofErr w:type="spellEnd"/>
      <w:r w:rsidRPr="00211323">
        <w:rPr>
          <w:sz w:val="20"/>
          <w:szCs w:val="20"/>
        </w:rPr>
        <w:t xml:space="preserve">, </w:t>
      </w:r>
      <w:proofErr w:type="spellStart"/>
      <w:r w:rsidRPr="00211323">
        <w:rPr>
          <w:sz w:val="20"/>
          <w:szCs w:val="20"/>
        </w:rPr>
        <w:t>Vol</w:t>
      </w:r>
      <w:proofErr w:type="spellEnd"/>
      <w:r w:rsidRPr="00211323">
        <w:rPr>
          <w:sz w:val="20"/>
          <w:szCs w:val="20"/>
        </w:rPr>
        <w:t xml:space="preserve"> 4, No. 5 Dec., 1963, pp. 495-518),</w:t>
      </w:r>
      <w:r w:rsidRPr="00211323">
        <w:rPr>
          <w:i/>
          <w:sz w:val="20"/>
          <w:szCs w:val="20"/>
        </w:rPr>
        <w:t xml:space="preserve"> </w:t>
      </w:r>
      <w:r w:rsidRPr="00211323">
        <w:rPr>
          <w:sz w:val="20"/>
          <w:szCs w:val="20"/>
        </w:rPr>
        <w:t>p. 495</w:t>
      </w:r>
      <w:r w:rsidRPr="00211323">
        <w:rPr>
          <w:i/>
          <w:sz w:val="20"/>
          <w:szCs w:val="20"/>
        </w:rPr>
        <w:t>.</w:t>
      </w:r>
      <w:r w:rsidRPr="00211323">
        <w:rPr>
          <w:sz w:val="20"/>
          <w:szCs w:val="20"/>
        </w:rPr>
        <w:t xml:space="preserve"> &lt;</w:t>
      </w:r>
      <w:hyperlink r:id="rId6" w:history="1">
        <w:r w:rsidRPr="00211323">
          <w:rPr>
            <w:rStyle w:val="Hyperlink"/>
            <w:color w:val="auto"/>
            <w:sz w:val="20"/>
            <w:szCs w:val="20"/>
            <w:u w:val="none"/>
          </w:rPr>
          <w:t>www.jstor.org/stable/2739651</w:t>
        </w:r>
      </w:hyperlink>
      <w:r w:rsidRPr="00211323">
        <w:rPr>
          <w:sz w:val="20"/>
          <w:szCs w:val="20"/>
        </w:rPr>
        <w:t>&gt; [accessed 4th May 2019]</w:t>
      </w:r>
    </w:p>
  </w:footnote>
  <w:footnote w:id="9">
    <w:p w14:paraId="47725DDE" w14:textId="77777777" w:rsidR="00757CB4" w:rsidRPr="00211323" w:rsidRDefault="00757CB4" w:rsidP="00757CB4">
      <w:pPr>
        <w:pStyle w:val="NoSpacing"/>
        <w:rPr>
          <w:rFonts w:cs="Times"/>
          <w:i/>
          <w:sz w:val="20"/>
          <w:szCs w:val="20"/>
          <w:lang w:val="en-US"/>
        </w:rPr>
      </w:pPr>
      <w:r w:rsidRPr="00211323">
        <w:rPr>
          <w:rStyle w:val="FootnoteReference"/>
          <w:sz w:val="20"/>
          <w:szCs w:val="20"/>
        </w:rPr>
        <w:footnoteRef/>
      </w:r>
      <w:r w:rsidRPr="00211323">
        <w:rPr>
          <w:sz w:val="20"/>
          <w:szCs w:val="20"/>
        </w:rPr>
        <w:t xml:space="preserve"> </w:t>
      </w:r>
      <w:r w:rsidRPr="00211323">
        <w:rPr>
          <w:rFonts w:cs="Arial"/>
          <w:sz w:val="20"/>
          <w:szCs w:val="20"/>
          <w:lang w:val="en-US"/>
        </w:rPr>
        <w:t xml:space="preserve">Jan N. </w:t>
      </w:r>
      <w:proofErr w:type="spellStart"/>
      <w:r w:rsidRPr="00211323">
        <w:rPr>
          <w:rFonts w:cs="Arial"/>
          <w:sz w:val="20"/>
          <w:szCs w:val="20"/>
          <w:lang w:val="en-US"/>
        </w:rPr>
        <w:t>Bremmer</w:t>
      </w:r>
      <w:proofErr w:type="spellEnd"/>
      <w:r w:rsidRPr="00211323">
        <w:rPr>
          <w:rFonts w:cs="Arial"/>
          <w:sz w:val="20"/>
          <w:szCs w:val="20"/>
          <w:lang w:val="en-US"/>
        </w:rPr>
        <w:t>, “The birth of the term ‘magic’”</w:t>
      </w:r>
      <w:r w:rsidRPr="00211323">
        <w:rPr>
          <w:rFonts w:cs="Arial"/>
          <w:i/>
          <w:sz w:val="20"/>
          <w:szCs w:val="20"/>
          <w:lang w:val="en-US"/>
        </w:rPr>
        <w:t xml:space="preserve">, </w:t>
      </w:r>
      <w:proofErr w:type="spellStart"/>
      <w:r w:rsidRPr="00211323">
        <w:rPr>
          <w:rFonts w:cs="Times"/>
          <w:i/>
          <w:sz w:val="20"/>
          <w:szCs w:val="20"/>
          <w:lang w:val="en-US"/>
        </w:rPr>
        <w:t>Zeitschrift</w:t>
      </w:r>
      <w:proofErr w:type="spellEnd"/>
      <w:r w:rsidRPr="00211323">
        <w:rPr>
          <w:rFonts w:cs="Times"/>
          <w:i/>
          <w:sz w:val="20"/>
          <w:szCs w:val="20"/>
          <w:lang w:val="en-US"/>
        </w:rPr>
        <w:t xml:space="preserve"> fur </w:t>
      </w:r>
      <w:proofErr w:type="spellStart"/>
      <w:r w:rsidRPr="00211323">
        <w:rPr>
          <w:rFonts w:cs="Times"/>
          <w:i/>
          <w:sz w:val="20"/>
          <w:szCs w:val="20"/>
          <w:lang w:val="en-US"/>
        </w:rPr>
        <w:t>Papyrologie</w:t>
      </w:r>
      <w:proofErr w:type="spellEnd"/>
      <w:r w:rsidRPr="00211323">
        <w:rPr>
          <w:rFonts w:cs="Times"/>
          <w:i/>
          <w:sz w:val="20"/>
          <w:szCs w:val="20"/>
          <w:lang w:val="en-US"/>
        </w:rPr>
        <w:t xml:space="preserve"> und </w:t>
      </w:r>
      <w:proofErr w:type="spellStart"/>
      <w:r w:rsidRPr="00211323">
        <w:rPr>
          <w:rFonts w:cs="Times"/>
          <w:i/>
          <w:sz w:val="20"/>
          <w:szCs w:val="20"/>
          <w:lang w:val="en-US"/>
        </w:rPr>
        <w:t>Epigraphik</w:t>
      </w:r>
      <w:proofErr w:type="spellEnd"/>
      <w:r w:rsidRPr="00211323">
        <w:rPr>
          <w:rFonts w:cs="Times"/>
          <w:i/>
          <w:sz w:val="20"/>
          <w:szCs w:val="20"/>
          <w:lang w:val="en-US"/>
        </w:rPr>
        <w:t xml:space="preserve"> </w:t>
      </w:r>
      <w:r w:rsidRPr="00211323">
        <w:rPr>
          <w:rFonts w:cs="Arial"/>
          <w:i/>
          <w:sz w:val="20"/>
          <w:szCs w:val="20"/>
          <w:lang w:val="en-US"/>
        </w:rPr>
        <w:t>(</w:t>
      </w:r>
      <w:r w:rsidRPr="00211323">
        <w:rPr>
          <w:rFonts w:cs="Times"/>
          <w:i/>
          <w:sz w:val="20"/>
          <w:szCs w:val="20"/>
          <w:lang w:val="en-US"/>
        </w:rPr>
        <w:t>ZPE</w:t>
      </w:r>
      <w:r w:rsidRPr="00211323">
        <w:rPr>
          <w:rFonts w:cs="Arial"/>
          <w:i/>
          <w:sz w:val="20"/>
          <w:szCs w:val="20"/>
          <w:lang w:val="en-US"/>
        </w:rPr>
        <w:t xml:space="preserve">) 126 (1999), pp. 1-12. </w:t>
      </w:r>
      <w:r w:rsidRPr="00211323">
        <w:rPr>
          <w:rFonts w:cs="Arial"/>
          <w:sz w:val="20"/>
          <w:szCs w:val="20"/>
          <w:lang w:val="en-US"/>
        </w:rPr>
        <w:t>p. 10 &lt;</w:t>
      </w:r>
      <w:hyperlink r:id="rId7" w:history="1">
        <w:r w:rsidRPr="00211323">
          <w:rPr>
            <w:rStyle w:val="Hyperlink"/>
            <w:rFonts w:cs="Arial"/>
            <w:color w:val="auto"/>
            <w:sz w:val="20"/>
            <w:szCs w:val="20"/>
            <w:u w:val="none"/>
            <w:lang w:val="en-US"/>
          </w:rPr>
          <w:t>http://uni-koeln.de/phil-fak/ifa/zpe/downloads/1999/126pdf/126001.pdf</w:t>
        </w:r>
      </w:hyperlink>
      <w:r w:rsidRPr="00211323">
        <w:rPr>
          <w:rStyle w:val="Hyperlink"/>
          <w:rFonts w:cs="Arial"/>
          <w:color w:val="auto"/>
          <w:sz w:val="20"/>
          <w:szCs w:val="20"/>
          <w:u w:val="none"/>
          <w:lang w:val="en-US"/>
        </w:rPr>
        <w:t xml:space="preserve">&gt; </w:t>
      </w:r>
      <w:r w:rsidRPr="00211323">
        <w:rPr>
          <w:rFonts w:cs="Times"/>
          <w:sz w:val="20"/>
          <w:szCs w:val="20"/>
          <w:lang w:val="en-US"/>
        </w:rPr>
        <w:t xml:space="preserve">[20th June 2019] </w:t>
      </w:r>
    </w:p>
  </w:footnote>
  <w:footnote w:id="10">
    <w:p w14:paraId="0987F20E"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Wax and Wax</w:t>
      </w:r>
      <w:r w:rsidRPr="00211323">
        <w:rPr>
          <w:i/>
          <w:sz w:val="20"/>
          <w:szCs w:val="20"/>
        </w:rPr>
        <w:t>, The Notion of Magic,</w:t>
      </w:r>
      <w:r w:rsidRPr="00211323">
        <w:rPr>
          <w:sz w:val="20"/>
          <w:szCs w:val="20"/>
        </w:rPr>
        <w:t xml:space="preserve"> p. 495.</w:t>
      </w:r>
    </w:p>
  </w:footnote>
  <w:footnote w:id="11">
    <w:p w14:paraId="3F5DC5D9"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Wax and Wax</w:t>
      </w:r>
      <w:r w:rsidRPr="00211323">
        <w:rPr>
          <w:i/>
          <w:sz w:val="20"/>
          <w:szCs w:val="20"/>
        </w:rPr>
        <w:t xml:space="preserve">, The Notion of Magic, </w:t>
      </w:r>
      <w:r w:rsidRPr="00211323">
        <w:rPr>
          <w:sz w:val="20"/>
          <w:szCs w:val="20"/>
        </w:rPr>
        <w:t>p. 496.</w:t>
      </w:r>
    </w:p>
  </w:footnote>
  <w:footnote w:id="12">
    <w:p w14:paraId="0B7BE99B"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proofErr w:type="gramStart"/>
      <w:r w:rsidRPr="00211323">
        <w:rPr>
          <w:sz w:val="20"/>
          <w:szCs w:val="20"/>
          <w:lang w:val="en-US"/>
        </w:rPr>
        <w:t xml:space="preserve">Iamblichus, </w:t>
      </w:r>
      <w:r w:rsidRPr="00211323">
        <w:rPr>
          <w:i/>
          <w:sz w:val="20"/>
          <w:szCs w:val="20"/>
          <w:lang w:val="en-US"/>
        </w:rPr>
        <w:t xml:space="preserve">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xml:space="preserve">, Emma C. Clarke, John M. Dillon, and Jackson P. </w:t>
      </w:r>
      <w:proofErr w:type="spellStart"/>
      <w:r w:rsidRPr="00211323">
        <w:rPr>
          <w:sz w:val="20"/>
          <w:szCs w:val="20"/>
          <w:lang w:val="en-US"/>
        </w:rPr>
        <w:t>Hershbell</w:t>
      </w:r>
      <w:proofErr w:type="spellEnd"/>
      <w:r w:rsidRPr="00211323">
        <w:rPr>
          <w:sz w:val="20"/>
          <w:szCs w:val="20"/>
          <w:lang w:val="en-US"/>
        </w:rPr>
        <w:t xml:space="preserve"> (</w:t>
      </w:r>
      <w:proofErr w:type="spellStart"/>
      <w:r w:rsidRPr="00211323">
        <w:rPr>
          <w:sz w:val="20"/>
          <w:szCs w:val="20"/>
          <w:lang w:val="en-US"/>
        </w:rPr>
        <w:t>eds</w:t>
      </w:r>
      <w:proofErr w:type="spellEnd"/>
      <w:r w:rsidRPr="00211323">
        <w:rPr>
          <w:sz w:val="20"/>
          <w:szCs w:val="20"/>
          <w:lang w:val="en-US"/>
        </w:rPr>
        <w:t>), (Atlanta: Society of Biblical Literature, 2003), III.2.</w:t>
      </w:r>
      <w:proofErr w:type="gramEnd"/>
    </w:p>
  </w:footnote>
  <w:footnote w:id="13">
    <w:p w14:paraId="2BBD95A2"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Iamblichus, </w:t>
      </w:r>
      <w:r w:rsidRPr="00211323">
        <w:rPr>
          <w:i/>
          <w:sz w:val="20"/>
          <w:szCs w:val="20"/>
          <w:lang w:val="en-US"/>
        </w:rPr>
        <w:t xml:space="preserve">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xml:space="preserve"> III.2, p. 123.</w:t>
      </w:r>
    </w:p>
  </w:footnote>
  <w:footnote w:id="14">
    <w:p w14:paraId="232235C7"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Iamblichus, </w:t>
      </w:r>
      <w:r w:rsidRPr="00211323">
        <w:rPr>
          <w:i/>
          <w:sz w:val="20"/>
          <w:szCs w:val="20"/>
          <w:lang w:val="en-US"/>
        </w:rPr>
        <w:t xml:space="preserve">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xml:space="preserve"> III.11, p. 145</w:t>
      </w:r>
    </w:p>
  </w:footnote>
  <w:footnote w:id="15">
    <w:p w14:paraId="7275E988"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Iamblichus,</w:t>
      </w:r>
      <w:r w:rsidRPr="00211323">
        <w:rPr>
          <w:i/>
          <w:sz w:val="20"/>
          <w:szCs w:val="20"/>
          <w:lang w:val="en-US"/>
        </w:rPr>
        <w:t xml:space="preserve"> 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xml:space="preserve"> III.11 p. 145</w:t>
      </w:r>
    </w:p>
  </w:footnote>
  <w:footnote w:id="16">
    <w:p w14:paraId="308D093B"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Oracles of the Gods,</w:t>
      </w:r>
      <w:r w:rsidRPr="00211323">
        <w:rPr>
          <w:rFonts w:eastAsia="Times New Roman"/>
          <w:sz w:val="20"/>
          <w:szCs w:val="20"/>
        </w:rPr>
        <w:t xml:space="preserve"> p. 252.</w:t>
      </w:r>
    </w:p>
  </w:footnote>
  <w:footnote w:id="17">
    <w:p w14:paraId="2DA7FBF8"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r w:rsidRPr="00211323">
        <w:rPr>
          <w:rFonts w:eastAsia="Times New Roman"/>
          <w:sz w:val="20"/>
          <w:szCs w:val="20"/>
        </w:rPr>
        <w:t xml:space="preserve">Sarah Iles Johnston, </w:t>
      </w:r>
      <w:r w:rsidRPr="00211323">
        <w:rPr>
          <w:rFonts w:eastAsia="Times New Roman"/>
          <w:i/>
          <w:sz w:val="20"/>
          <w:szCs w:val="20"/>
        </w:rPr>
        <w:t>Ancient Greek Divination</w:t>
      </w:r>
      <w:r w:rsidRPr="00211323">
        <w:rPr>
          <w:rFonts w:eastAsia="Times New Roman"/>
          <w:sz w:val="20"/>
          <w:szCs w:val="20"/>
        </w:rPr>
        <w:t>, (West Sussex: John Wiley &amp; Sons, Incorporated, 2008), p. 166. &lt;</w:t>
      </w:r>
      <w:hyperlink r:id="rId8" w:history="1">
        <w:r w:rsidRPr="00211323">
          <w:rPr>
            <w:sz w:val="20"/>
            <w:szCs w:val="20"/>
          </w:rPr>
          <w:t>https://ebookcentral-proquest-com.ezproxy.uwtsd.ac.uk/lib/trinity/reader.action?docID=437516#</w:t>
        </w:r>
      </w:hyperlink>
      <w:r w:rsidRPr="00211323">
        <w:rPr>
          <w:sz w:val="20"/>
          <w:szCs w:val="20"/>
        </w:rPr>
        <w:t>&gt;</w:t>
      </w:r>
      <w:r w:rsidRPr="00211323">
        <w:rPr>
          <w:rFonts w:eastAsia="Times New Roman"/>
          <w:sz w:val="20"/>
          <w:szCs w:val="20"/>
        </w:rPr>
        <w:t xml:space="preserve"> </w:t>
      </w:r>
    </w:p>
  </w:footnote>
  <w:footnote w:id="18">
    <w:p w14:paraId="207A2346"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Johnston, </w:t>
      </w:r>
      <w:r w:rsidRPr="00211323">
        <w:rPr>
          <w:i/>
          <w:sz w:val="20"/>
          <w:szCs w:val="20"/>
        </w:rPr>
        <w:t>Ancient Greek Divination,</w:t>
      </w:r>
      <w:r w:rsidRPr="00211323">
        <w:rPr>
          <w:sz w:val="20"/>
          <w:szCs w:val="20"/>
        </w:rPr>
        <w:t xml:space="preserve"> p. 166. </w:t>
      </w:r>
    </w:p>
  </w:footnote>
  <w:footnote w:id="19">
    <w:p w14:paraId="08A80787"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Johnston, </w:t>
      </w:r>
      <w:r w:rsidRPr="00211323">
        <w:rPr>
          <w:i/>
          <w:sz w:val="20"/>
          <w:szCs w:val="20"/>
        </w:rPr>
        <w:t>Ancient Greek Divination,</w:t>
      </w:r>
      <w:r w:rsidRPr="00211323">
        <w:rPr>
          <w:rFonts w:eastAsia="Times New Roman"/>
          <w:sz w:val="20"/>
          <w:szCs w:val="20"/>
        </w:rPr>
        <w:t xml:space="preserve"> p. 167.</w:t>
      </w:r>
    </w:p>
  </w:footnote>
  <w:footnote w:id="20">
    <w:p w14:paraId="31358A61"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Johnston, </w:t>
      </w:r>
      <w:r w:rsidRPr="00211323">
        <w:rPr>
          <w:i/>
          <w:sz w:val="20"/>
          <w:szCs w:val="20"/>
        </w:rPr>
        <w:t>Ancient Greek Divination,</w:t>
      </w:r>
      <w:r w:rsidRPr="00211323">
        <w:rPr>
          <w:rFonts w:eastAsia="Times New Roman"/>
          <w:sz w:val="20"/>
          <w:szCs w:val="20"/>
        </w:rPr>
        <w:t xml:space="preserve"> p. 168.</w:t>
      </w:r>
    </w:p>
  </w:footnote>
  <w:footnote w:id="21">
    <w:p w14:paraId="6E0A77E3"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Johnston, </w:t>
      </w:r>
      <w:r w:rsidRPr="00211323">
        <w:rPr>
          <w:i/>
          <w:sz w:val="20"/>
          <w:szCs w:val="20"/>
        </w:rPr>
        <w:t>Ancient Greek Divination,</w:t>
      </w:r>
      <w:r w:rsidRPr="00211323">
        <w:rPr>
          <w:rFonts w:eastAsia="Times New Roman"/>
          <w:sz w:val="20"/>
          <w:szCs w:val="20"/>
        </w:rPr>
        <w:t xml:space="preserve"> p. 168.</w:t>
      </w:r>
    </w:p>
  </w:footnote>
  <w:footnote w:id="22">
    <w:p w14:paraId="22A638B3"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lang w:val="en-US"/>
        </w:rPr>
        <w:t xml:space="preserve"> Charles M. </w:t>
      </w:r>
      <w:proofErr w:type="spellStart"/>
      <w:r w:rsidRPr="00211323">
        <w:rPr>
          <w:sz w:val="20"/>
          <w:szCs w:val="20"/>
          <w:lang w:val="en-US"/>
        </w:rPr>
        <w:t>Stang</w:t>
      </w:r>
      <w:proofErr w:type="spellEnd"/>
      <w:r w:rsidRPr="00211323">
        <w:rPr>
          <w:sz w:val="20"/>
          <w:szCs w:val="20"/>
          <w:lang w:val="en-US"/>
        </w:rPr>
        <w:t xml:space="preserve">, “From the </w:t>
      </w:r>
      <w:r w:rsidRPr="00211323">
        <w:rPr>
          <w:rFonts w:cs="Times"/>
          <w:i/>
          <w:iCs/>
          <w:sz w:val="20"/>
          <w:szCs w:val="20"/>
          <w:lang w:val="en-US"/>
        </w:rPr>
        <w:t xml:space="preserve">Chaldean Oracles </w:t>
      </w:r>
      <w:r w:rsidRPr="00211323">
        <w:rPr>
          <w:sz w:val="20"/>
          <w:szCs w:val="20"/>
          <w:lang w:val="en-US"/>
        </w:rPr>
        <w:t xml:space="preserve">to the </w:t>
      </w:r>
      <w:r w:rsidRPr="00211323">
        <w:rPr>
          <w:rFonts w:cs="Times"/>
          <w:i/>
          <w:iCs/>
          <w:sz w:val="20"/>
          <w:szCs w:val="20"/>
          <w:lang w:val="en-US"/>
        </w:rPr>
        <w:t xml:space="preserve">Corpus </w:t>
      </w:r>
      <w:proofErr w:type="spellStart"/>
      <w:r w:rsidRPr="00211323">
        <w:rPr>
          <w:rFonts w:cs="Times"/>
          <w:i/>
          <w:iCs/>
          <w:sz w:val="20"/>
          <w:szCs w:val="20"/>
          <w:lang w:val="en-US"/>
        </w:rPr>
        <w:t>Dionysiacum</w:t>
      </w:r>
      <w:proofErr w:type="spellEnd"/>
      <w:r w:rsidRPr="00211323">
        <w:rPr>
          <w:sz w:val="20"/>
          <w:szCs w:val="20"/>
          <w:lang w:val="en-US"/>
        </w:rPr>
        <w:t xml:space="preserve">: Theurgy between the third and sixth centuries”, </w:t>
      </w:r>
      <w:r w:rsidRPr="00211323">
        <w:rPr>
          <w:i/>
          <w:sz w:val="20"/>
          <w:szCs w:val="20"/>
          <w:lang w:val="en-US"/>
        </w:rPr>
        <w:t xml:space="preserve">Journal for Late Antique Religion and Culture 5 </w:t>
      </w:r>
      <w:r w:rsidRPr="00211323">
        <w:rPr>
          <w:sz w:val="20"/>
          <w:szCs w:val="20"/>
          <w:lang w:val="en-US"/>
        </w:rPr>
        <w:t>(2011) pp. 1-13, p. 7.</w:t>
      </w:r>
    </w:p>
  </w:footnote>
  <w:footnote w:id="23">
    <w:p w14:paraId="5DDA00F8"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Oracles of the Gods,</w:t>
      </w:r>
      <w:r w:rsidRPr="00211323">
        <w:rPr>
          <w:sz w:val="20"/>
          <w:szCs w:val="20"/>
        </w:rPr>
        <w:t xml:space="preserve"> p</w:t>
      </w:r>
      <w:r w:rsidRPr="00211323">
        <w:rPr>
          <w:rFonts w:eastAsia="Times New Roman"/>
          <w:sz w:val="20"/>
          <w:szCs w:val="20"/>
        </w:rPr>
        <w:t>. 32.</w:t>
      </w:r>
    </w:p>
  </w:footnote>
  <w:footnote w:id="24">
    <w:p w14:paraId="0F64110C" w14:textId="77777777" w:rsidR="00757CB4" w:rsidRPr="00211323" w:rsidRDefault="00757CB4" w:rsidP="00757CB4">
      <w:pPr>
        <w:pStyle w:val="NoSpacing"/>
        <w:rPr>
          <w:rFonts w:eastAsia="Times New Roman" w:cs="Arial"/>
          <w:sz w:val="20"/>
          <w:szCs w:val="20"/>
        </w:rPr>
      </w:pPr>
      <w:r w:rsidRPr="00211323">
        <w:rPr>
          <w:rStyle w:val="FootnoteReference"/>
          <w:sz w:val="20"/>
          <w:szCs w:val="20"/>
        </w:rPr>
        <w:footnoteRef/>
      </w:r>
      <w:r w:rsidRPr="00211323">
        <w:rPr>
          <w:sz w:val="20"/>
          <w:szCs w:val="20"/>
        </w:rPr>
        <w:t xml:space="preserve"> </w:t>
      </w:r>
      <w:proofErr w:type="gramStart"/>
      <w:r w:rsidRPr="00211323">
        <w:rPr>
          <w:sz w:val="20"/>
          <w:szCs w:val="20"/>
        </w:rPr>
        <w:t xml:space="preserve">Hans Dieter Betz, </w:t>
      </w:r>
      <w:r w:rsidRPr="00211323">
        <w:rPr>
          <w:rFonts w:eastAsia="Times New Roman" w:cs="Arial"/>
          <w:i/>
          <w:sz w:val="20"/>
          <w:szCs w:val="20"/>
        </w:rPr>
        <w:t>The Greek Magical Papyri in Translation, Including the Demotic Spells</w:t>
      </w:r>
      <w:r w:rsidRPr="00211323">
        <w:rPr>
          <w:rFonts w:eastAsia="Times New Roman" w:cs="Arial"/>
          <w:sz w:val="20"/>
          <w:szCs w:val="20"/>
        </w:rPr>
        <w:t>, (Chicago &amp; London: The University of Chicago Press, 1986).</w:t>
      </w:r>
      <w:proofErr w:type="gramEnd"/>
    </w:p>
  </w:footnote>
  <w:footnote w:id="25">
    <w:p w14:paraId="0CEEC2DE"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Betz, </w:t>
      </w:r>
      <w:r w:rsidRPr="00211323">
        <w:rPr>
          <w:rFonts w:eastAsia="Times New Roman" w:cs="Arial"/>
          <w:i/>
          <w:sz w:val="20"/>
          <w:szCs w:val="20"/>
        </w:rPr>
        <w:t>The Greek Magical Papyri in Translation, Including the Demotic Spells,</w:t>
      </w:r>
      <w:r w:rsidRPr="00211323">
        <w:rPr>
          <w:sz w:val="20"/>
          <w:szCs w:val="20"/>
        </w:rPr>
        <w:t xml:space="preserve"> VII 703-26, </w:t>
      </w:r>
      <w:r w:rsidRPr="00211323">
        <w:rPr>
          <w:sz w:val="20"/>
          <w:szCs w:val="20"/>
          <w:lang w:val="en-US"/>
        </w:rPr>
        <w:t>p. 138.</w:t>
      </w:r>
    </w:p>
  </w:footnote>
  <w:footnote w:id="26">
    <w:p w14:paraId="3EB67965"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Daniel Ogden, </w:t>
      </w:r>
      <w:r w:rsidRPr="00211323">
        <w:rPr>
          <w:i/>
          <w:sz w:val="20"/>
          <w:szCs w:val="20"/>
          <w:lang w:val="en-US"/>
        </w:rPr>
        <w:t>Magic, Witchcraft, and Ghosts in the Greek and Roman Worlds</w:t>
      </w:r>
      <w:r w:rsidRPr="00211323">
        <w:rPr>
          <w:sz w:val="20"/>
          <w:szCs w:val="20"/>
          <w:lang w:val="en-US"/>
        </w:rPr>
        <w:t>, (New York: Oxford University Press, 2009), p. 161.</w:t>
      </w:r>
    </w:p>
  </w:footnote>
  <w:footnote w:id="27">
    <w:p w14:paraId="795BDAC0"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Ogden, </w:t>
      </w:r>
      <w:r w:rsidRPr="00211323">
        <w:rPr>
          <w:i/>
          <w:sz w:val="20"/>
          <w:szCs w:val="20"/>
          <w:lang w:val="en-US"/>
        </w:rPr>
        <w:t>Magic, Witchcraft, and Ghosts in the Greek and Roman Worlds</w:t>
      </w:r>
      <w:r w:rsidRPr="00211323">
        <w:rPr>
          <w:sz w:val="20"/>
          <w:szCs w:val="20"/>
          <w:lang w:val="en-US"/>
        </w:rPr>
        <w:t>, p. 269.</w:t>
      </w:r>
    </w:p>
  </w:footnote>
  <w:footnote w:id="28">
    <w:p w14:paraId="53E3E764"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Ogden, </w:t>
      </w:r>
      <w:r w:rsidRPr="00211323">
        <w:rPr>
          <w:i/>
          <w:sz w:val="20"/>
          <w:szCs w:val="20"/>
          <w:lang w:val="en-US"/>
        </w:rPr>
        <w:t>Magic, Witchcraft, and Ghosts in the Greek and Roman Worlds</w:t>
      </w:r>
      <w:r w:rsidRPr="00211323">
        <w:rPr>
          <w:sz w:val="20"/>
          <w:szCs w:val="20"/>
          <w:lang w:val="en-US"/>
        </w:rPr>
        <w:t>, p. 269.</w:t>
      </w:r>
    </w:p>
  </w:footnote>
  <w:footnote w:id="29">
    <w:p w14:paraId="6930DA0B"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Christopher A. </w:t>
      </w:r>
      <w:proofErr w:type="spellStart"/>
      <w:r w:rsidRPr="00211323">
        <w:rPr>
          <w:sz w:val="20"/>
          <w:szCs w:val="20"/>
          <w:lang w:val="en-US"/>
        </w:rPr>
        <w:t>Faraone</w:t>
      </w:r>
      <w:proofErr w:type="spellEnd"/>
      <w:r w:rsidRPr="00211323">
        <w:rPr>
          <w:sz w:val="20"/>
          <w:szCs w:val="20"/>
          <w:lang w:val="en-US"/>
        </w:rPr>
        <w:t xml:space="preserve">, </w:t>
      </w:r>
      <w:r w:rsidRPr="00211323">
        <w:rPr>
          <w:i/>
          <w:sz w:val="20"/>
          <w:szCs w:val="20"/>
          <w:lang w:val="en-US"/>
        </w:rPr>
        <w:t>Ancient Greek Love Magic</w:t>
      </w:r>
      <w:r w:rsidRPr="00211323">
        <w:rPr>
          <w:sz w:val="20"/>
          <w:szCs w:val="20"/>
          <w:lang w:val="en-US"/>
        </w:rPr>
        <w:t>, (Cambridge: Harvard University Press, 2001), p. 114.</w:t>
      </w:r>
    </w:p>
  </w:footnote>
  <w:footnote w:id="30">
    <w:p w14:paraId="1229B55C"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Ogden, </w:t>
      </w:r>
      <w:r w:rsidRPr="00211323">
        <w:rPr>
          <w:i/>
          <w:sz w:val="20"/>
          <w:szCs w:val="20"/>
          <w:lang w:val="en-US"/>
        </w:rPr>
        <w:t>Magic, Witchcraft, and Ghosts in the Greek and Roman Worlds,</w:t>
      </w:r>
      <w:r w:rsidRPr="00211323">
        <w:rPr>
          <w:sz w:val="20"/>
          <w:szCs w:val="20"/>
          <w:lang w:val="en-US"/>
        </w:rPr>
        <w:t xml:space="preserve"> p. 235. (212)</w:t>
      </w:r>
    </w:p>
  </w:footnote>
  <w:footnote w:id="31">
    <w:p w14:paraId="651F4A55"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Ogden, </w:t>
      </w:r>
      <w:r w:rsidRPr="00211323">
        <w:rPr>
          <w:i/>
          <w:sz w:val="20"/>
          <w:szCs w:val="20"/>
          <w:lang w:val="en-US"/>
        </w:rPr>
        <w:t>Magic, Witchcraft, and Ghosts in the Greek and Roman Worlds</w:t>
      </w:r>
      <w:r w:rsidRPr="00211323">
        <w:rPr>
          <w:sz w:val="20"/>
          <w:szCs w:val="20"/>
          <w:lang w:val="en-US"/>
        </w:rPr>
        <w:t>, p, 229. (202)</w:t>
      </w:r>
    </w:p>
  </w:footnote>
  <w:footnote w:id="32">
    <w:p w14:paraId="7C739CC1"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proofErr w:type="gramStart"/>
      <w:r w:rsidRPr="00211323">
        <w:rPr>
          <w:sz w:val="20"/>
          <w:szCs w:val="20"/>
          <w:lang w:val="en-US"/>
        </w:rPr>
        <w:t xml:space="preserve">Iamblichus, </w:t>
      </w:r>
      <w:r w:rsidRPr="00211323">
        <w:rPr>
          <w:i/>
          <w:sz w:val="20"/>
          <w:szCs w:val="20"/>
          <w:lang w:val="en-US"/>
        </w:rPr>
        <w:t xml:space="preserve">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III.13, p.151.</w:t>
      </w:r>
      <w:proofErr w:type="gramEnd"/>
    </w:p>
  </w:footnote>
  <w:footnote w:id="33">
    <w:p w14:paraId="7A519E4E"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proofErr w:type="gramStart"/>
      <w:r w:rsidRPr="00211323">
        <w:rPr>
          <w:sz w:val="20"/>
          <w:szCs w:val="20"/>
          <w:lang w:val="en-US"/>
        </w:rPr>
        <w:t xml:space="preserve">Iamblichus, </w:t>
      </w:r>
      <w:r w:rsidRPr="00211323">
        <w:rPr>
          <w:i/>
          <w:sz w:val="20"/>
          <w:szCs w:val="20"/>
          <w:lang w:val="en-US"/>
        </w:rPr>
        <w:t xml:space="preserve">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III.13, p.153.</w:t>
      </w:r>
      <w:proofErr w:type="gramEnd"/>
    </w:p>
  </w:footnote>
  <w:footnote w:id="34">
    <w:p w14:paraId="283322D4"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Iamblichus, </w:t>
      </w:r>
      <w:r w:rsidRPr="00211323">
        <w:rPr>
          <w:i/>
          <w:sz w:val="20"/>
          <w:szCs w:val="20"/>
          <w:lang w:val="en-US"/>
        </w:rPr>
        <w:t xml:space="preserve">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III.28, p. 189.</w:t>
      </w:r>
    </w:p>
  </w:footnote>
  <w:footnote w:id="35">
    <w:p w14:paraId="4CCBE8AB"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Iamblichus, </w:t>
      </w:r>
      <w:r w:rsidRPr="00211323">
        <w:rPr>
          <w:i/>
          <w:sz w:val="20"/>
          <w:szCs w:val="20"/>
          <w:lang w:val="en-US"/>
        </w:rPr>
        <w:t xml:space="preserve">On the Mysteries (De </w:t>
      </w:r>
      <w:proofErr w:type="spellStart"/>
      <w:r w:rsidRPr="00211323">
        <w:rPr>
          <w:i/>
          <w:sz w:val="20"/>
          <w:szCs w:val="20"/>
          <w:lang w:val="en-US"/>
        </w:rPr>
        <w:t>Mysteriis</w:t>
      </w:r>
      <w:proofErr w:type="spellEnd"/>
      <w:r w:rsidRPr="00211323">
        <w:rPr>
          <w:i/>
          <w:sz w:val="20"/>
          <w:szCs w:val="20"/>
          <w:lang w:val="en-US"/>
        </w:rPr>
        <w:t>)</w:t>
      </w:r>
      <w:r w:rsidRPr="00211323">
        <w:rPr>
          <w:sz w:val="20"/>
          <w:szCs w:val="20"/>
          <w:lang w:val="en-US"/>
        </w:rPr>
        <w:t>, III.28, p. 191.</w:t>
      </w:r>
    </w:p>
  </w:footnote>
  <w:footnote w:id="36">
    <w:p w14:paraId="45A9D72A" w14:textId="77777777" w:rsidR="00757CB4" w:rsidRPr="00211323" w:rsidRDefault="00757CB4" w:rsidP="00757CB4">
      <w:pPr>
        <w:rPr>
          <w:rFonts w:eastAsia="Times New Roman"/>
          <w:sz w:val="20"/>
          <w:szCs w:val="20"/>
        </w:rPr>
      </w:pPr>
      <w:r w:rsidRPr="00211323">
        <w:rPr>
          <w:rStyle w:val="FootnoteReference"/>
          <w:sz w:val="20"/>
          <w:szCs w:val="20"/>
        </w:rPr>
        <w:footnoteRef/>
      </w:r>
      <w:r w:rsidRPr="00211323">
        <w:rPr>
          <w:sz w:val="20"/>
          <w:szCs w:val="20"/>
        </w:rPr>
        <w:t xml:space="preserve"> Matthew W. </w:t>
      </w:r>
      <w:proofErr w:type="spellStart"/>
      <w:r w:rsidRPr="00211323">
        <w:rPr>
          <w:rFonts w:eastAsia="Times New Roman"/>
          <w:sz w:val="20"/>
          <w:szCs w:val="20"/>
        </w:rPr>
        <w:t>Dickie</w:t>
      </w:r>
      <w:proofErr w:type="spellEnd"/>
      <w:r w:rsidRPr="00211323">
        <w:rPr>
          <w:rFonts w:eastAsia="Times New Roman"/>
          <w:sz w:val="20"/>
          <w:szCs w:val="20"/>
        </w:rPr>
        <w:t xml:space="preserve">, </w:t>
      </w:r>
      <w:r w:rsidRPr="00211323">
        <w:rPr>
          <w:rFonts w:eastAsia="Times New Roman"/>
          <w:i/>
          <w:sz w:val="20"/>
          <w:szCs w:val="20"/>
        </w:rPr>
        <w:t xml:space="preserve">Magic and Magicians in the </w:t>
      </w:r>
      <w:proofErr w:type="spellStart"/>
      <w:r w:rsidRPr="00211323">
        <w:rPr>
          <w:rFonts w:eastAsia="Times New Roman"/>
          <w:i/>
          <w:sz w:val="20"/>
          <w:szCs w:val="20"/>
        </w:rPr>
        <w:t>Graeco</w:t>
      </w:r>
      <w:proofErr w:type="spellEnd"/>
      <w:r w:rsidRPr="00211323">
        <w:rPr>
          <w:rFonts w:eastAsia="Times New Roman"/>
          <w:i/>
          <w:sz w:val="20"/>
          <w:szCs w:val="20"/>
        </w:rPr>
        <w:t>-Roman World</w:t>
      </w:r>
      <w:r w:rsidRPr="00211323">
        <w:rPr>
          <w:rFonts w:eastAsia="Times New Roman"/>
          <w:sz w:val="20"/>
          <w:szCs w:val="20"/>
        </w:rPr>
        <w:t>, (London: Routledge, 2001)</w:t>
      </w:r>
      <w:proofErr w:type="gramStart"/>
      <w:r w:rsidRPr="00211323">
        <w:rPr>
          <w:rFonts w:eastAsia="Times New Roman"/>
          <w:sz w:val="20"/>
          <w:szCs w:val="20"/>
        </w:rPr>
        <w:t>,  p</w:t>
      </w:r>
      <w:proofErr w:type="gramEnd"/>
      <w:r w:rsidRPr="00211323">
        <w:rPr>
          <w:rFonts w:eastAsia="Times New Roman"/>
          <w:sz w:val="20"/>
          <w:szCs w:val="20"/>
        </w:rPr>
        <w:t>. 195.</w:t>
      </w:r>
    </w:p>
  </w:footnote>
  <w:footnote w:id="37">
    <w:p w14:paraId="1FB04771"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xml:space="preserve">: Oracles of the Gods, </w:t>
      </w:r>
      <w:r w:rsidRPr="00211323">
        <w:rPr>
          <w:rFonts w:eastAsia="Times New Roman"/>
          <w:sz w:val="20"/>
          <w:szCs w:val="20"/>
        </w:rPr>
        <w:t>p. 34.</w:t>
      </w:r>
    </w:p>
  </w:footnote>
  <w:footnote w:id="38">
    <w:p w14:paraId="48B18414"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xml:space="preserve">: Oracles of the Gods, </w:t>
      </w:r>
      <w:r w:rsidRPr="00211323">
        <w:rPr>
          <w:rFonts w:eastAsia="Times New Roman"/>
          <w:sz w:val="20"/>
          <w:szCs w:val="20"/>
        </w:rPr>
        <w:t>p. 34.</w:t>
      </w:r>
    </w:p>
  </w:footnote>
  <w:footnote w:id="39">
    <w:p w14:paraId="5D24DEC9" w14:textId="77777777" w:rsidR="00757CB4" w:rsidRPr="00211323" w:rsidRDefault="00757CB4" w:rsidP="00757CB4">
      <w:pPr>
        <w:pStyle w:val="FootnoteText"/>
        <w:rPr>
          <w:sz w:val="20"/>
          <w:szCs w:val="20"/>
          <w:lang w:val="en-US"/>
        </w:rPr>
      </w:pPr>
      <w:r w:rsidRPr="00211323">
        <w:rPr>
          <w:rStyle w:val="FootnoteReference"/>
          <w:sz w:val="20"/>
          <w:szCs w:val="20"/>
        </w:rPr>
        <w:footnoteRef/>
      </w:r>
      <w:r w:rsidRPr="00211323">
        <w:rPr>
          <w:sz w:val="20"/>
          <w:szCs w:val="20"/>
        </w:rPr>
        <w:t xml:space="preserve"> </w:t>
      </w:r>
      <w:proofErr w:type="spellStart"/>
      <w:r w:rsidRPr="00211323">
        <w:rPr>
          <w:sz w:val="20"/>
          <w:szCs w:val="20"/>
          <w:lang w:val="en-US"/>
        </w:rPr>
        <w:t>Dickie</w:t>
      </w:r>
      <w:proofErr w:type="spellEnd"/>
      <w:r w:rsidRPr="00211323">
        <w:rPr>
          <w:sz w:val="20"/>
          <w:szCs w:val="20"/>
          <w:lang w:val="en-US"/>
        </w:rPr>
        <w:t xml:space="preserve">, </w:t>
      </w:r>
      <w:r w:rsidRPr="00211323">
        <w:rPr>
          <w:rFonts w:eastAsia="Times New Roman"/>
          <w:i/>
          <w:sz w:val="20"/>
          <w:szCs w:val="20"/>
        </w:rPr>
        <w:t xml:space="preserve">Magic and Magicians in the </w:t>
      </w:r>
      <w:proofErr w:type="spellStart"/>
      <w:r w:rsidRPr="00211323">
        <w:rPr>
          <w:rFonts w:eastAsia="Times New Roman"/>
          <w:i/>
          <w:sz w:val="20"/>
          <w:szCs w:val="20"/>
        </w:rPr>
        <w:t>Graeco</w:t>
      </w:r>
      <w:proofErr w:type="spellEnd"/>
      <w:r w:rsidRPr="00211323">
        <w:rPr>
          <w:rFonts w:eastAsia="Times New Roman"/>
          <w:i/>
          <w:sz w:val="20"/>
          <w:szCs w:val="20"/>
        </w:rPr>
        <w:t>-Roman World,</w:t>
      </w:r>
      <w:r w:rsidRPr="00211323">
        <w:rPr>
          <w:sz w:val="20"/>
          <w:szCs w:val="20"/>
          <w:lang w:val="en-US"/>
        </w:rPr>
        <w:t xml:space="preserve"> p. 199.</w:t>
      </w:r>
    </w:p>
  </w:footnote>
  <w:footnote w:id="40">
    <w:p w14:paraId="6A83B7F5" w14:textId="77777777" w:rsidR="00757CB4" w:rsidRPr="00211323" w:rsidRDefault="00757CB4" w:rsidP="00757CB4">
      <w:pPr>
        <w:pStyle w:val="NoSpacing"/>
        <w:rPr>
          <w:rFonts w:cs="Times"/>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Dorothy Hammond, </w:t>
      </w:r>
      <w:r w:rsidRPr="00211323">
        <w:rPr>
          <w:i/>
          <w:sz w:val="20"/>
          <w:szCs w:val="20"/>
          <w:lang w:val="en-US"/>
        </w:rPr>
        <w:t>Magic: A Problem in Semantics</w:t>
      </w:r>
      <w:r w:rsidRPr="00211323">
        <w:rPr>
          <w:sz w:val="20"/>
          <w:szCs w:val="20"/>
          <w:lang w:val="en-US"/>
        </w:rPr>
        <w:t>, (American Anthropologist, New Series, Vol. 72, No. 6 (Dec., 1970), pp. 1349-1356), p. 1350. &lt;</w:t>
      </w:r>
      <w:hyperlink r:id="rId9" w:history="1">
        <w:r w:rsidRPr="00211323">
          <w:rPr>
            <w:rStyle w:val="Hyperlink"/>
            <w:color w:val="auto"/>
            <w:sz w:val="20"/>
            <w:szCs w:val="20"/>
            <w:u w:val="none"/>
            <w:lang w:val="en-US"/>
          </w:rPr>
          <w:t>https://www.jstor.org/stable/672852</w:t>
        </w:r>
      </w:hyperlink>
      <w:r w:rsidRPr="00211323">
        <w:rPr>
          <w:rStyle w:val="Hyperlink"/>
          <w:color w:val="auto"/>
          <w:sz w:val="20"/>
          <w:szCs w:val="20"/>
          <w:u w:val="none"/>
          <w:lang w:val="en-US"/>
        </w:rPr>
        <w:t>&gt;</w:t>
      </w:r>
      <w:r w:rsidRPr="00211323">
        <w:rPr>
          <w:sz w:val="20"/>
          <w:szCs w:val="20"/>
          <w:lang w:val="en-US"/>
        </w:rPr>
        <w:t xml:space="preserve">  [accessed 29th June 2019]</w:t>
      </w:r>
    </w:p>
  </w:footnote>
  <w:footnote w:id="41">
    <w:p w14:paraId="5A352445"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Hammond, </w:t>
      </w:r>
      <w:r w:rsidRPr="00211323">
        <w:rPr>
          <w:i/>
          <w:sz w:val="20"/>
          <w:szCs w:val="20"/>
          <w:lang w:val="en-US"/>
        </w:rPr>
        <w:t>Magic: A Problem in Semantics</w:t>
      </w:r>
      <w:r w:rsidRPr="00211323">
        <w:rPr>
          <w:sz w:val="20"/>
          <w:szCs w:val="20"/>
          <w:lang w:val="en-US"/>
        </w:rPr>
        <w:t>, p. 1350.</w:t>
      </w:r>
    </w:p>
  </w:footnote>
  <w:footnote w:id="42">
    <w:p w14:paraId="43BD44FB" w14:textId="77777777" w:rsidR="00757CB4" w:rsidRPr="00211323" w:rsidRDefault="00757CB4" w:rsidP="00757CB4">
      <w:pPr>
        <w:pStyle w:val="NoSpacing"/>
        <w:rPr>
          <w:rFonts w:eastAsia="Times New Roman" w:cs="Arial"/>
          <w:sz w:val="20"/>
          <w:szCs w:val="20"/>
        </w:rPr>
      </w:pPr>
      <w:r w:rsidRPr="00211323">
        <w:rPr>
          <w:rStyle w:val="FootnoteReference"/>
          <w:sz w:val="20"/>
          <w:szCs w:val="20"/>
        </w:rPr>
        <w:footnoteRef/>
      </w:r>
      <w:r w:rsidRPr="00211323">
        <w:rPr>
          <w:sz w:val="20"/>
          <w:szCs w:val="20"/>
        </w:rPr>
        <w:t xml:space="preserve"> Anne Sheppard, </w:t>
      </w:r>
      <w:r w:rsidRPr="00211323">
        <w:rPr>
          <w:i/>
          <w:sz w:val="20"/>
          <w:szCs w:val="20"/>
        </w:rPr>
        <w:t>Proclus’ Attitude to Theurgy</w:t>
      </w:r>
      <w:r w:rsidRPr="00211323">
        <w:rPr>
          <w:sz w:val="20"/>
          <w:szCs w:val="20"/>
        </w:rPr>
        <w:t>, (</w:t>
      </w:r>
      <w:r w:rsidRPr="00211323">
        <w:rPr>
          <w:rFonts w:eastAsia="Times New Roman" w:cs="Arial"/>
          <w:iCs/>
          <w:sz w:val="20"/>
          <w:szCs w:val="20"/>
        </w:rPr>
        <w:t>The Classical Quarterly</w:t>
      </w:r>
    </w:p>
    <w:p w14:paraId="4F0C29D3" w14:textId="77777777" w:rsidR="00757CB4" w:rsidRPr="00211323" w:rsidRDefault="00757CB4" w:rsidP="00757CB4">
      <w:pPr>
        <w:pStyle w:val="NoSpacing"/>
        <w:rPr>
          <w:rFonts w:eastAsia="Times New Roman" w:cs="Arial"/>
          <w:sz w:val="20"/>
          <w:szCs w:val="20"/>
        </w:rPr>
      </w:pPr>
      <w:r w:rsidRPr="00211323">
        <w:rPr>
          <w:rFonts w:eastAsia="Times New Roman" w:cs="Arial"/>
          <w:sz w:val="20"/>
          <w:szCs w:val="20"/>
        </w:rPr>
        <w:t>Vol. 32, No. 1 (1982), pp. 212-224),</w:t>
      </w:r>
      <w:r w:rsidRPr="00211323">
        <w:rPr>
          <w:sz w:val="20"/>
          <w:szCs w:val="20"/>
        </w:rPr>
        <w:t xml:space="preserve"> p. 218. &lt;</w:t>
      </w:r>
      <w:hyperlink r:id="rId10" w:history="1">
        <w:r w:rsidRPr="00211323">
          <w:rPr>
            <w:rStyle w:val="Hyperlink"/>
            <w:color w:val="auto"/>
            <w:sz w:val="20"/>
            <w:szCs w:val="20"/>
            <w:u w:val="none"/>
          </w:rPr>
          <w:t>https://www.jstor.org/stable/638759</w:t>
        </w:r>
      </w:hyperlink>
      <w:r w:rsidRPr="00211323">
        <w:rPr>
          <w:rStyle w:val="Hyperlink"/>
          <w:color w:val="auto"/>
          <w:sz w:val="20"/>
          <w:szCs w:val="20"/>
          <w:u w:val="none"/>
        </w:rPr>
        <w:t>&gt;</w:t>
      </w:r>
      <w:r w:rsidRPr="00211323">
        <w:rPr>
          <w:sz w:val="20"/>
          <w:szCs w:val="20"/>
        </w:rPr>
        <w:t xml:space="preserve"> [accessed 25th June 2019]</w:t>
      </w:r>
    </w:p>
  </w:footnote>
  <w:footnote w:id="43">
    <w:p w14:paraId="20AD58EC"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Dorothy Hammond, </w:t>
      </w:r>
      <w:r w:rsidRPr="00211323">
        <w:rPr>
          <w:i/>
          <w:sz w:val="20"/>
          <w:szCs w:val="20"/>
          <w:lang w:val="en-US"/>
        </w:rPr>
        <w:t>Magic: A Problem in Semantics</w:t>
      </w:r>
      <w:r w:rsidRPr="00211323">
        <w:rPr>
          <w:sz w:val="20"/>
          <w:szCs w:val="20"/>
          <w:lang w:val="en-US"/>
        </w:rPr>
        <w:t>, p. 1351.</w:t>
      </w:r>
    </w:p>
  </w:footnote>
  <w:footnote w:id="44">
    <w:p w14:paraId="35392456"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r w:rsidRPr="00211323">
        <w:rPr>
          <w:sz w:val="20"/>
          <w:szCs w:val="20"/>
          <w:lang w:val="en-US"/>
        </w:rPr>
        <w:t xml:space="preserve">Dorothy Hammond, </w:t>
      </w:r>
      <w:r w:rsidRPr="00211323">
        <w:rPr>
          <w:i/>
          <w:sz w:val="20"/>
          <w:szCs w:val="20"/>
          <w:lang w:val="en-US"/>
        </w:rPr>
        <w:t>Magic: A Problem in Semantics</w:t>
      </w:r>
      <w:r w:rsidRPr="00211323">
        <w:rPr>
          <w:sz w:val="20"/>
          <w:szCs w:val="20"/>
          <w:lang w:val="en-US"/>
        </w:rPr>
        <w:t>, p. 1355.</w:t>
      </w:r>
    </w:p>
  </w:footnote>
  <w:footnote w:id="45">
    <w:p w14:paraId="6C33BF78"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Oracles of the Gods,</w:t>
      </w:r>
      <w:r w:rsidRPr="00211323">
        <w:rPr>
          <w:rFonts w:eastAsia="Times New Roman"/>
          <w:sz w:val="20"/>
          <w:szCs w:val="20"/>
        </w:rPr>
        <w:t xml:space="preserve"> p. 33.</w:t>
      </w:r>
    </w:p>
  </w:footnote>
  <w:footnote w:id="46">
    <w:p w14:paraId="184562B2"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lang w:val="en-US"/>
        </w:rPr>
        <w:t xml:space="preserve"> </w:t>
      </w:r>
      <w:proofErr w:type="spellStart"/>
      <w:r w:rsidRPr="00211323">
        <w:rPr>
          <w:sz w:val="20"/>
          <w:szCs w:val="20"/>
          <w:lang w:val="en-US"/>
        </w:rPr>
        <w:t>Stang</w:t>
      </w:r>
      <w:proofErr w:type="spellEnd"/>
      <w:r w:rsidRPr="00211323">
        <w:rPr>
          <w:sz w:val="20"/>
          <w:szCs w:val="20"/>
          <w:lang w:val="en-US"/>
        </w:rPr>
        <w:t xml:space="preserve">, “From the </w:t>
      </w:r>
      <w:r w:rsidRPr="00211323">
        <w:rPr>
          <w:rFonts w:cs="Times"/>
          <w:i/>
          <w:iCs/>
          <w:sz w:val="20"/>
          <w:szCs w:val="20"/>
          <w:lang w:val="en-US"/>
        </w:rPr>
        <w:t xml:space="preserve">Chaldean Oracles </w:t>
      </w:r>
      <w:r w:rsidRPr="00211323">
        <w:rPr>
          <w:sz w:val="20"/>
          <w:szCs w:val="20"/>
          <w:lang w:val="en-US"/>
        </w:rPr>
        <w:t xml:space="preserve">to the </w:t>
      </w:r>
      <w:r w:rsidRPr="00211323">
        <w:rPr>
          <w:rFonts w:cs="Times"/>
          <w:i/>
          <w:iCs/>
          <w:sz w:val="20"/>
          <w:szCs w:val="20"/>
          <w:lang w:val="en-US"/>
        </w:rPr>
        <w:t xml:space="preserve">Corpus </w:t>
      </w:r>
      <w:proofErr w:type="spellStart"/>
      <w:r w:rsidRPr="00211323">
        <w:rPr>
          <w:rFonts w:cs="Times"/>
          <w:i/>
          <w:iCs/>
          <w:sz w:val="20"/>
          <w:szCs w:val="20"/>
          <w:lang w:val="en-US"/>
        </w:rPr>
        <w:t>Dionysiacum</w:t>
      </w:r>
      <w:proofErr w:type="spellEnd"/>
      <w:r w:rsidRPr="00211323">
        <w:rPr>
          <w:sz w:val="20"/>
          <w:szCs w:val="20"/>
          <w:lang w:val="en-US"/>
        </w:rPr>
        <w:t xml:space="preserve">: Theurgy between the third and sixth centuries”, p. 3. </w:t>
      </w:r>
    </w:p>
  </w:footnote>
  <w:footnote w:id="47">
    <w:p w14:paraId="38E80322"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proofErr w:type="spellStart"/>
      <w:r w:rsidRPr="00211323">
        <w:rPr>
          <w:sz w:val="20"/>
          <w:szCs w:val="20"/>
          <w:lang w:val="en-US"/>
        </w:rPr>
        <w:t>Stang</w:t>
      </w:r>
      <w:proofErr w:type="spellEnd"/>
      <w:r w:rsidRPr="00211323">
        <w:rPr>
          <w:sz w:val="20"/>
          <w:szCs w:val="20"/>
          <w:lang w:val="en-US"/>
        </w:rPr>
        <w:t xml:space="preserve">, “From the </w:t>
      </w:r>
      <w:r w:rsidRPr="00211323">
        <w:rPr>
          <w:rFonts w:cs="Times"/>
          <w:i/>
          <w:iCs/>
          <w:sz w:val="20"/>
          <w:szCs w:val="20"/>
          <w:lang w:val="en-US"/>
        </w:rPr>
        <w:t xml:space="preserve">Chaldean Oracles </w:t>
      </w:r>
      <w:r w:rsidRPr="00211323">
        <w:rPr>
          <w:sz w:val="20"/>
          <w:szCs w:val="20"/>
          <w:lang w:val="en-US"/>
        </w:rPr>
        <w:t xml:space="preserve">to the </w:t>
      </w:r>
      <w:r w:rsidRPr="00211323">
        <w:rPr>
          <w:rFonts w:cs="Times"/>
          <w:i/>
          <w:iCs/>
          <w:sz w:val="20"/>
          <w:szCs w:val="20"/>
          <w:lang w:val="en-US"/>
        </w:rPr>
        <w:t xml:space="preserve">Corpus </w:t>
      </w:r>
      <w:proofErr w:type="spellStart"/>
      <w:r w:rsidRPr="00211323">
        <w:rPr>
          <w:rFonts w:cs="Times"/>
          <w:i/>
          <w:iCs/>
          <w:sz w:val="20"/>
          <w:szCs w:val="20"/>
          <w:lang w:val="en-US"/>
        </w:rPr>
        <w:t>Dionysiacum</w:t>
      </w:r>
      <w:proofErr w:type="spellEnd"/>
      <w:r w:rsidRPr="00211323">
        <w:rPr>
          <w:sz w:val="20"/>
          <w:szCs w:val="20"/>
          <w:lang w:val="en-US"/>
        </w:rPr>
        <w:t>: Theurgy between the third and sixth centuries”, p. 4.</w:t>
      </w:r>
      <w:proofErr w:type="gramStart"/>
      <w:r w:rsidRPr="00211323">
        <w:rPr>
          <w:sz w:val="20"/>
          <w:szCs w:val="20"/>
          <w:lang w:val="en-US"/>
        </w:rPr>
        <w:t>;</w:t>
      </w:r>
      <w:proofErr w:type="gramEnd"/>
      <w:r w:rsidRPr="00211323">
        <w:rPr>
          <w:sz w:val="20"/>
          <w:szCs w:val="20"/>
          <w:lang w:val="en-US"/>
        </w:rPr>
        <w:t xml:space="preserve"> </w:t>
      </w:r>
      <w:r w:rsidRPr="00211323">
        <w:rPr>
          <w:rFonts w:eastAsia="Times New Roman"/>
          <w:sz w:val="20"/>
          <w:szCs w:val="20"/>
        </w:rPr>
        <w:t xml:space="preserve">Iamblichus, </w:t>
      </w:r>
      <w:r w:rsidRPr="00211323">
        <w:rPr>
          <w:rFonts w:eastAsia="Times New Roman"/>
          <w:i/>
          <w:sz w:val="20"/>
          <w:szCs w:val="20"/>
        </w:rPr>
        <w:t xml:space="preserve">On the Mysteries (De </w:t>
      </w:r>
      <w:proofErr w:type="spellStart"/>
      <w:r w:rsidRPr="00211323">
        <w:rPr>
          <w:rFonts w:eastAsia="Times New Roman"/>
          <w:i/>
          <w:sz w:val="20"/>
          <w:szCs w:val="20"/>
        </w:rPr>
        <w:t>Mysteriis</w:t>
      </w:r>
      <w:proofErr w:type="spellEnd"/>
      <w:r w:rsidRPr="00211323">
        <w:rPr>
          <w:rFonts w:eastAsia="Times New Roman"/>
          <w:i/>
          <w:sz w:val="20"/>
          <w:szCs w:val="20"/>
        </w:rPr>
        <w:t>),</w:t>
      </w:r>
      <w:r w:rsidRPr="00211323">
        <w:rPr>
          <w:rFonts w:eastAsia="Times New Roman"/>
          <w:sz w:val="20"/>
          <w:szCs w:val="20"/>
        </w:rPr>
        <w:t xml:space="preserve"> I.12.</w:t>
      </w:r>
    </w:p>
  </w:footnote>
  <w:footnote w:id="48">
    <w:p w14:paraId="37CCF93B" w14:textId="77777777" w:rsidR="00757CB4" w:rsidRPr="00211323" w:rsidRDefault="00757CB4" w:rsidP="00757CB4">
      <w:pPr>
        <w:pStyle w:val="NoSpacing"/>
        <w:rPr>
          <w:sz w:val="20"/>
          <w:szCs w:val="20"/>
          <w:lang w:val="en-US"/>
        </w:rPr>
      </w:pPr>
      <w:r w:rsidRPr="00211323">
        <w:rPr>
          <w:rStyle w:val="FootnoteReference"/>
          <w:sz w:val="20"/>
          <w:szCs w:val="20"/>
        </w:rPr>
        <w:footnoteRef/>
      </w:r>
      <w:r w:rsidRPr="00211323">
        <w:rPr>
          <w:sz w:val="20"/>
          <w:szCs w:val="20"/>
        </w:rPr>
        <w:t xml:space="preserve"> </w:t>
      </w:r>
      <w:proofErr w:type="spellStart"/>
      <w:r w:rsidRPr="00211323">
        <w:rPr>
          <w:sz w:val="20"/>
          <w:szCs w:val="20"/>
          <w:lang w:val="en-US"/>
        </w:rPr>
        <w:t>Stang</w:t>
      </w:r>
      <w:proofErr w:type="spellEnd"/>
      <w:r w:rsidRPr="00211323">
        <w:rPr>
          <w:sz w:val="20"/>
          <w:szCs w:val="20"/>
          <w:lang w:val="en-US"/>
        </w:rPr>
        <w:t xml:space="preserve">, “From the </w:t>
      </w:r>
      <w:r w:rsidRPr="00211323">
        <w:rPr>
          <w:rFonts w:cs="Times"/>
          <w:i/>
          <w:iCs/>
          <w:sz w:val="20"/>
          <w:szCs w:val="20"/>
          <w:lang w:val="en-US"/>
        </w:rPr>
        <w:t xml:space="preserve">Chaldean Oracles </w:t>
      </w:r>
      <w:r w:rsidRPr="00211323">
        <w:rPr>
          <w:sz w:val="20"/>
          <w:szCs w:val="20"/>
          <w:lang w:val="en-US"/>
        </w:rPr>
        <w:t xml:space="preserve">to the </w:t>
      </w:r>
      <w:r w:rsidRPr="00211323">
        <w:rPr>
          <w:rFonts w:cs="Times"/>
          <w:i/>
          <w:iCs/>
          <w:sz w:val="20"/>
          <w:szCs w:val="20"/>
          <w:lang w:val="en-US"/>
        </w:rPr>
        <w:t xml:space="preserve">Corpus </w:t>
      </w:r>
      <w:proofErr w:type="spellStart"/>
      <w:r w:rsidRPr="00211323">
        <w:rPr>
          <w:rFonts w:cs="Times"/>
          <w:i/>
          <w:iCs/>
          <w:sz w:val="20"/>
          <w:szCs w:val="20"/>
          <w:lang w:val="en-US"/>
        </w:rPr>
        <w:t>Dionysiacum</w:t>
      </w:r>
      <w:proofErr w:type="spellEnd"/>
      <w:r w:rsidRPr="00211323">
        <w:rPr>
          <w:sz w:val="20"/>
          <w:szCs w:val="20"/>
          <w:lang w:val="en-US"/>
        </w:rPr>
        <w:t xml:space="preserve">: Theurgy between the third and sixth centuries”, p. 4. </w:t>
      </w:r>
    </w:p>
  </w:footnote>
  <w:footnote w:id="49">
    <w:p w14:paraId="4D822A05" w14:textId="77777777" w:rsidR="00757CB4" w:rsidRPr="00211323" w:rsidRDefault="00757CB4" w:rsidP="00757CB4">
      <w:pPr>
        <w:pStyle w:val="NoSpacing"/>
        <w:rPr>
          <w:rFonts w:eastAsia="Times New Roman"/>
          <w:sz w:val="20"/>
          <w:szCs w:val="20"/>
        </w:rPr>
      </w:pPr>
      <w:r w:rsidRPr="00211323">
        <w:rPr>
          <w:rStyle w:val="FootnoteReference"/>
          <w:sz w:val="20"/>
          <w:szCs w:val="20"/>
        </w:rPr>
        <w:footnoteRef/>
      </w:r>
      <w:r w:rsidRPr="00211323">
        <w:rPr>
          <w:sz w:val="20"/>
          <w:szCs w:val="20"/>
        </w:rPr>
        <w:t xml:space="preserve"> </w:t>
      </w:r>
      <w:proofErr w:type="spellStart"/>
      <w:r w:rsidRPr="00211323">
        <w:rPr>
          <w:sz w:val="20"/>
          <w:szCs w:val="20"/>
        </w:rPr>
        <w:t>Addey</w:t>
      </w:r>
      <w:proofErr w:type="spellEnd"/>
      <w:r w:rsidRPr="00211323">
        <w:rPr>
          <w:sz w:val="20"/>
          <w:szCs w:val="20"/>
        </w:rPr>
        <w:t xml:space="preserve">, </w:t>
      </w:r>
      <w:r w:rsidRPr="00211323">
        <w:rPr>
          <w:i/>
          <w:sz w:val="20"/>
          <w:szCs w:val="20"/>
        </w:rPr>
        <w:t xml:space="preserve">Divination and Theurgy in </w:t>
      </w:r>
      <w:proofErr w:type="spellStart"/>
      <w:r w:rsidRPr="00211323">
        <w:rPr>
          <w:i/>
          <w:sz w:val="20"/>
          <w:szCs w:val="20"/>
        </w:rPr>
        <w:t>Neoplatonism</w:t>
      </w:r>
      <w:proofErr w:type="spellEnd"/>
      <w:r w:rsidRPr="00211323">
        <w:rPr>
          <w:i/>
          <w:sz w:val="20"/>
          <w:szCs w:val="20"/>
        </w:rPr>
        <w:t xml:space="preserve">: Oracles of the Gods, </w:t>
      </w:r>
      <w:r w:rsidRPr="00211323">
        <w:rPr>
          <w:rFonts w:eastAsia="Times New Roman"/>
          <w:sz w:val="20"/>
          <w:szCs w:val="20"/>
        </w:rPr>
        <w:t>p. 32.</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3D6790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nsid w:val="7D337137"/>
    <w:multiLevelType w:val="hybridMultilevel"/>
    <w:tmpl w:val="2236B48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7"/>
  </w:num>
  <w:num w:numId="5">
    <w:abstractNumId w:val="3"/>
  </w:num>
  <w:num w:numId="6">
    <w:abstractNumId w:val="5"/>
  </w:num>
  <w:num w:numId="7">
    <w:abstractNumId w:val="14"/>
  </w:num>
  <w:num w:numId="8">
    <w:abstractNumId w:val="22"/>
  </w:num>
  <w:num w:numId="9">
    <w:abstractNumId w:val="25"/>
  </w:num>
  <w:num w:numId="10">
    <w:abstractNumId w:val="6"/>
  </w:num>
  <w:num w:numId="11">
    <w:abstractNumId w:val="20"/>
  </w:num>
  <w:num w:numId="12">
    <w:abstractNumId w:val="23"/>
  </w:num>
  <w:num w:numId="13">
    <w:abstractNumId w:val="12"/>
  </w:num>
  <w:num w:numId="14">
    <w:abstractNumId w:val="15"/>
  </w:num>
  <w:num w:numId="15">
    <w:abstractNumId w:val="17"/>
  </w:num>
  <w:num w:numId="16">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4"/>
  </w:num>
  <w:num w:numId="22">
    <w:abstractNumId w:val="8"/>
  </w:num>
  <w:num w:numId="23">
    <w:abstractNumId w:val="16"/>
  </w:num>
  <w:num w:numId="24">
    <w:abstractNumId w:val="9"/>
  </w:num>
  <w:num w:numId="25">
    <w:abstractNumId w:val="2"/>
  </w:num>
  <w:num w:numId="26">
    <w:abstractNumId w:val="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85F"/>
    <w:rsid w:val="00001C3B"/>
    <w:rsid w:val="00013545"/>
    <w:rsid w:val="00022345"/>
    <w:rsid w:val="00026363"/>
    <w:rsid w:val="000275E2"/>
    <w:rsid w:val="00043549"/>
    <w:rsid w:val="00046A16"/>
    <w:rsid w:val="00047074"/>
    <w:rsid w:val="00076A0B"/>
    <w:rsid w:val="000854DF"/>
    <w:rsid w:val="000A6D49"/>
    <w:rsid w:val="000C63A3"/>
    <w:rsid w:val="000E3682"/>
    <w:rsid w:val="000E3751"/>
    <w:rsid w:val="000E6A3A"/>
    <w:rsid w:val="000F1DE6"/>
    <w:rsid w:val="0010199D"/>
    <w:rsid w:val="001070F2"/>
    <w:rsid w:val="00111283"/>
    <w:rsid w:val="0011161A"/>
    <w:rsid w:val="00165047"/>
    <w:rsid w:val="00172497"/>
    <w:rsid w:val="001C0B52"/>
    <w:rsid w:val="001C4B2D"/>
    <w:rsid w:val="001E0E06"/>
    <w:rsid w:val="001F4CE1"/>
    <w:rsid w:val="00211323"/>
    <w:rsid w:val="002132DC"/>
    <w:rsid w:val="00216211"/>
    <w:rsid w:val="00222984"/>
    <w:rsid w:val="0022446F"/>
    <w:rsid w:val="00224B95"/>
    <w:rsid w:val="00230F35"/>
    <w:rsid w:val="0025530E"/>
    <w:rsid w:val="002715FA"/>
    <w:rsid w:val="00276002"/>
    <w:rsid w:val="00277421"/>
    <w:rsid w:val="00290783"/>
    <w:rsid w:val="002A4954"/>
    <w:rsid w:val="002C1630"/>
    <w:rsid w:val="002C34DE"/>
    <w:rsid w:val="002C55E9"/>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26A50"/>
    <w:rsid w:val="0043758C"/>
    <w:rsid w:val="0044129B"/>
    <w:rsid w:val="00447497"/>
    <w:rsid w:val="00460A5C"/>
    <w:rsid w:val="004627BA"/>
    <w:rsid w:val="00470E35"/>
    <w:rsid w:val="004724D6"/>
    <w:rsid w:val="00475C78"/>
    <w:rsid w:val="004A024B"/>
    <w:rsid w:val="004B73BA"/>
    <w:rsid w:val="004C79CE"/>
    <w:rsid w:val="004E76CE"/>
    <w:rsid w:val="00521E0F"/>
    <w:rsid w:val="00530A76"/>
    <w:rsid w:val="00531109"/>
    <w:rsid w:val="00537B4C"/>
    <w:rsid w:val="005429EF"/>
    <w:rsid w:val="005627D4"/>
    <w:rsid w:val="0058726A"/>
    <w:rsid w:val="00590E9A"/>
    <w:rsid w:val="005942E9"/>
    <w:rsid w:val="005C6560"/>
    <w:rsid w:val="00610318"/>
    <w:rsid w:val="00632937"/>
    <w:rsid w:val="006367FD"/>
    <w:rsid w:val="0064350C"/>
    <w:rsid w:val="0065654E"/>
    <w:rsid w:val="00662A40"/>
    <w:rsid w:val="00665C65"/>
    <w:rsid w:val="006805EC"/>
    <w:rsid w:val="00691819"/>
    <w:rsid w:val="00693C4D"/>
    <w:rsid w:val="006A205D"/>
    <w:rsid w:val="006A65E9"/>
    <w:rsid w:val="006C0A3A"/>
    <w:rsid w:val="006C5E96"/>
    <w:rsid w:val="006E4F24"/>
    <w:rsid w:val="00730908"/>
    <w:rsid w:val="00751BE2"/>
    <w:rsid w:val="00757CB4"/>
    <w:rsid w:val="00762134"/>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64E6A"/>
    <w:rsid w:val="0089447F"/>
    <w:rsid w:val="008A4DCC"/>
    <w:rsid w:val="008B3A97"/>
    <w:rsid w:val="008D03F0"/>
    <w:rsid w:val="008D674F"/>
    <w:rsid w:val="008E525C"/>
    <w:rsid w:val="00901157"/>
    <w:rsid w:val="00914769"/>
    <w:rsid w:val="00963B31"/>
    <w:rsid w:val="00973B44"/>
    <w:rsid w:val="00975FCD"/>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0D3C"/>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90302"/>
    <w:rsid w:val="00C93CD4"/>
    <w:rsid w:val="00CB5E37"/>
    <w:rsid w:val="00CC52A3"/>
    <w:rsid w:val="00CE3B79"/>
    <w:rsid w:val="00D00BDC"/>
    <w:rsid w:val="00D0754F"/>
    <w:rsid w:val="00D328AB"/>
    <w:rsid w:val="00D429CC"/>
    <w:rsid w:val="00D459DC"/>
    <w:rsid w:val="00D5466C"/>
    <w:rsid w:val="00D56EFA"/>
    <w:rsid w:val="00D67BF8"/>
    <w:rsid w:val="00DA3217"/>
    <w:rsid w:val="00DA3E0F"/>
    <w:rsid w:val="00DB185F"/>
    <w:rsid w:val="00DB43BB"/>
    <w:rsid w:val="00DD363B"/>
    <w:rsid w:val="00DE54B1"/>
    <w:rsid w:val="00DF01BE"/>
    <w:rsid w:val="00E14D2E"/>
    <w:rsid w:val="00E3766D"/>
    <w:rsid w:val="00E502BA"/>
    <w:rsid w:val="00E57529"/>
    <w:rsid w:val="00E67719"/>
    <w:rsid w:val="00E84F5D"/>
    <w:rsid w:val="00EC7546"/>
    <w:rsid w:val="00F1661E"/>
    <w:rsid w:val="00F2453C"/>
    <w:rsid w:val="00F346BE"/>
    <w:rsid w:val="00F73533"/>
    <w:rsid w:val="00F75EB5"/>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0038551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FootnoteText">
    <w:name w:val="footnote text"/>
    <w:basedOn w:val="Normal"/>
    <w:link w:val="FootnoteTextChar"/>
    <w:uiPriority w:val="99"/>
    <w:unhideWhenUsed/>
    <w:rsid w:val="00757CB4"/>
    <w:rPr>
      <w:rFonts w:ascii="Cambria" w:eastAsia="ＭＳ 明朝" w:hAnsi="Cambria"/>
      <w:lang w:eastAsia="en-US"/>
    </w:rPr>
  </w:style>
  <w:style w:type="character" w:customStyle="1" w:styleId="FootnoteTextChar">
    <w:name w:val="Footnote Text Char"/>
    <w:basedOn w:val="DefaultParagraphFont"/>
    <w:link w:val="FootnoteText"/>
    <w:uiPriority w:val="99"/>
    <w:rsid w:val="00757CB4"/>
    <w:rPr>
      <w:rFonts w:ascii="Cambria" w:eastAsia="ＭＳ 明朝" w:hAnsi="Cambria"/>
      <w:sz w:val="24"/>
      <w:szCs w:val="24"/>
    </w:rPr>
  </w:style>
  <w:style w:type="character" w:styleId="FootnoteReference">
    <w:name w:val="footnote reference"/>
    <w:uiPriority w:val="99"/>
    <w:unhideWhenUsed/>
    <w:rsid w:val="00757CB4"/>
    <w:rPr>
      <w:vertAlign w:val="superscript"/>
    </w:rPr>
  </w:style>
  <w:style w:type="character" w:styleId="Hyperlink">
    <w:name w:val="Hyperlink"/>
    <w:uiPriority w:val="99"/>
    <w:unhideWhenUsed/>
    <w:rsid w:val="00757CB4"/>
    <w:rPr>
      <w:color w:val="0000FF"/>
      <w:u w:val="single"/>
    </w:rPr>
  </w:style>
  <w:style w:type="paragraph" w:styleId="NoSpacing">
    <w:name w:val="No Spacing"/>
    <w:uiPriority w:val="1"/>
    <w:qFormat/>
    <w:rsid w:val="00757CB4"/>
    <w:rPr>
      <w:rFonts w:ascii="Cambria" w:eastAsia="ＭＳ 明朝" w:hAnsi="Cambria"/>
      <w:sz w:val="24"/>
      <w:szCs w:val="24"/>
    </w:rPr>
  </w:style>
  <w:style w:type="paragraph" w:styleId="ListParagraph">
    <w:name w:val="List Paragraph"/>
    <w:basedOn w:val="Normal"/>
    <w:uiPriority w:val="34"/>
    <w:qFormat/>
    <w:rsid w:val="00757CB4"/>
    <w:pPr>
      <w:ind w:left="720"/>
      <w:contextualSpacing/>
    </w:pPr>
    <w:rPr>
      <w:rFonts w:ascii="Cambria" w:eastAsia="ＭＳ 明朝" w:hAnsi="Cambria"/>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FootnoteText">
    <w:name w:val="footnote text"/>
    <w:basedOn w:val="Normal"/>
    <w:link w:val="FootnoteTextChar"/>
    <w:uiPriority w:val="99"/>
    <w:unhideWhenUsed/>
    <w:rsid w:val="00757CB4"/>
    <w:rPr>
      <w:rFonts w:ascii="Cambria" w:eastAsia="ＭＳ 明朝" w:hAnsi="Cambria"/>
      <w:lang w:eastAsia="en-US"/>
    </w:rPr>
  </w:style>
  <w:style w:type="character" w:customStyle="1" w:styleId="FootnoteTextChar">
    <w:name w:val="Footnote Text Char"/>
    <w:basedOn w:val="DefaultParagraphFont"/>
    <w:link w:val="FootnoteText"/>
    <w:uiPriority w:val="99"/>
    <w:rsid w:val="00757CB4"/>
    <w:rPr>
      <w:rFonts w:ascii="Cambria" w:eastAsia="ＭＳ 明朝" w:hAnsi="Cambria"/>
      <w:sz w:val="24"/>
      <w:szCs w:val="24"/>
    </w:rPr>
  </w:style>
  <w:style w:type="character" w:styleId="FootnoteReference">
    <w:name w:val="footnote reference"/>
    <w:uiPriority w:val="99"/>
    <w:unhideWhenUsed/>
    <w:rsid w:val="00757CB4"/>
    <w:rPr>
      <w:vertAlign w:val="superscript"/>
    </w:rPr>
  </w:style>
  <w:style w:type="character" w:styleId="Hyperlink">
    <w:name w:val="Hyperlink"/>
    <w:uiPriority w:val="99"/>
    <w:unhideWhenUsed/>
    <w:rsid w:val="00757CB4"/>
    <w:rPr>
      <w:color w:val="0000FF"/>
      <w:u w:val="single"/>
    </w:rPr>
  </w:style>
  <w:style w:type="paragraph" w:styleId="NoSpacing">
    <w:name w:val="No Spacing"/>
    <w:uiPriority w:val="1"/>
    <w:qFormat/>
    <w:rsid w:val="00757CB4"/>
    <w:rPr>
      <w:rFonts w:ascii="Cambria" w:eastAsia="ＭＳ 明朝" w:hAnsi="Cambria"/>
      <w:sz w:val="24"/>
      <w:szCs w:val="24"/>
    </w:rPr>
  </w:style>
  <w:style w:type="paragraph" w:styleId="ListParagraph">
    <w:name w:val="List Paragraph"/>
    <w:basedOn w:val="Normal"/>
    <w:uiPriority w:val="34"/>
    <w:qFormat/>
    <w:rsid w:val="00757CB4"/>
    <w:pPr>
      <w:ind w:left="720"/>
      <w:contextualSpacing/>
    </w:pPr>
    <w:rPr>
      <w:rFonts w:ascii="Cambria" w:eastAsia="ＭＳ 明朝" w:hAnsi="Cambria"/>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www-dawsonera-com.ezproxy.uwtsd.ac.uk/readonline/9781409451532" TargetMode="External"/><Relationship Id="rId11" Type="http://schemas.openxmlformats.org/officeDocument/2006/relationships/hyperlink" Target="https://www.jstor.org/stable/300982" TargetMode="External"/><Relationship Id="rId12" Type="http://schemas.openxmlformats.org/officeDocument/2006/relationships/hyperlink" Target="http://uni-koeln.de/phil-fak/ifa/zpe/downloads/1999/126pdf/126001.pdf" TargetMode="External"/><Relationship Id="rId13" Type="http://schemas.openxmlformats.org/officeDocument/2006/relationships/hyperlink" Target="https://www.jstor.org/stable/672852" TargetMode="External"/><Relationship Id="rId14" Type="http://schemas.openxmlformats.org/officeDocument/2006/relationships/hyperlink" Target="https://ebookcentral-proquest-com.ezproxy.uwtsd.ac.uk/lib/trinity/reader.action?docID=437516" TargetMode="External"/><Relationship Id="rId15" Type="http://schemas.openxmlformats.org/officeDocument/2006/relationships/hyperlink" Target="https://books.google.at/books?id=Ow0VAAAAIAAJ&amp;pg=PA1&amp;dq=h.+Lewy+in+Chaldaean+Oracles+and+Theurgy&amp;hl=en&amp;sa=X&amp;ved=0ahUKEwiRk6ecmIDjAhUl-yoKHWokC78Q6AEIMjAB" TargetMode="External"/><Relationship Id="rId16" Type="http://schemas.openxmlformats.org/officeDocument/2006/relationships/hyperlink" Target="https://www.jstor.org/stable/300540" TargetMode="External"/><Relationship Id="rId17" Type="http://schemas.openxmlformats.org/officeDocument/2006/relationships/hyperlink" Target="https://www.jstor.org/stable/638759" TargetMode="External"/><Relationship Id="rId18" Type="http://schemas.openxmlformats.org/officeDocument/2006/relationships/hyperlink" Target="https://www-dawsonera-com.ezproxy.uwtsd.ac.uk/readonline/9783647540207" TargetMode="External"/><Relationship Id="rId19" Type="http://schemas.openxmlformats.org/officeDocument/2006/relationships/hyperlink" Target="http://www.jstor.org/stable/273965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dawsonera-com.ezproxy.uwtsd.ac.uk/readonline/9783647540207" TargetMode="External"/><Relationship Id="rId4" Type="http://schemas.openxmlformats.org/officeDocument/2006/relationships/hyperlink" Target="https://www.jstor.org/stable/300540" TargetMode="External"/><Relationship Id="rId5" Type="http://schemas.openxmlformats.org/officeDocument/2006/relationships/hyperlink" Target="https://books.google.at/books?id=Ow0VAAAAIAAJ&amp;pg=PA1&amp;dq=h.+Lewy+in+Chaldaean+Oracles+and+Theurgy&amp;hl=en&amp;sa=X&amp;ved=0ahUKEwiRk6ecmIDjAhUl-yoKHWokC78Q6AEIMjAB" TargetMode="External"/><Relationship Id="rId6" Type="http://schemas.openxmlformats.org/officeDocument/2006/relationships/hyperlink" Target="http://www.jstor.org/stable/2739651" TargetMode="External"/><Relationship Id="rId7" Type="http://schemas.openxmlformats.org/officeDocument/2006/relationships/hyperlink" Target="http://uni-koeln.de/phil-fak/ifa/zpe/downloads/1999/126pdf/126001.pdf" TargetMode="External"/><Relationship Id="rId8" Type="http://schemas.openxmlformats.org/officeDocument/2006/relationships/hyperlink" Target="https://ebookcentral-proquest-com.ezproxy.uwtsd.ac.uk/lib/trinity/reader.action?docID=437516" TargetMode="External"/><Relationship Id="rId9" Type="http://schemas.openxmlformats.org/officeDocument/2006/relationships/hyperlink" Target="https://www.jstor.org/stable/672852" TargetMode="External"/><Relationship Id="rId10" Type="http://schemas.openxmlformats.org/officeDocument/2006/relationships/hyperlink" Target="https://www.jstor.org/stable/638759" TargetMode="External"/><Relationship Id="rId1" Type="http://schemas.openxmlformats.org/officeDocument/2006/relationships/hyperlink" Target="https://www-dawsonera-com.ezproxy.uwtsd.ac.uk/readonline/9781409451532" TargetMode="External"/><Relationship Id="rId2" Type="http://schemas.openxmlformats.org/officeDocument/2006/relationships/hyperlink" Target="https://www.jstor.org/stable/3009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763AB4-35DD-B84A-B21E-D7117E6CB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3620</Words>
  <Characters>20640</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24212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Megan John</cp:lastModifiedBy>
  <cp:revision>3</cp:revision>
  <cp:lastPrinted>2011-03-31T13:57:00Z</cp:lastPrinted>
  <dcterms:created xsi:type="dcterms:W3CDTF">2019-07-21T16:00:00Z</dcterms:created>
  <dcterms:modified xsi:type="dcterms:W3CDTF">2019-07-21T16:00:00Z</dcterms:modified>
</cp:coreProperties>
</file>