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4602" w:rsidRPr="0092176A" w:rsidRDefault="002E4602" w:rsidP="002E4602">
      <w:pPr>
        <w:pStyle w:val="StandardWeb"/>
        <w:spacing w:before="0" w:beforeAutospacing="0" w:after="0" w:afterAutospacing="0"/>
        <w:ind w:left="-180" w:right="-334"/>
      </w:pPr>
      <w:r w:rsidRPr="0092176A">
        <w:rPr>
          <w:noProof/>
        </w:rPr>
        <w:drawing>
          <wp:inline distT="0" distB="0" distL="0" distR="0" wp14:anchorId="3926D3AE" wp14:editId="21938DAF">
            <wp:extent cx="1906270" cy="631190"/>
            <wp:effectExtent l="25400" t="25400" r="11430" b="1651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1190"/>
                    </a:xfrm>
                    <a:prstGeom prst="rect">
                      <a:avLst/>
                    </a:prstGeom>
                    <a:noFill/>
                    <a:ln w="19050" cmpd="sng">
                      <a:solidFill>
                        <a:srgbClr val="000000"/>
                      </a:solidFill>
                      <a:miter lim="800000"/>
                      <a:headEnd/>
                      <a:tailEnd/>
                    </a:ln>
                    <a:effectLst/>
                  </pic:spPr>
                </pic:pic>
              </a:graphicData>
            </a:graphic>
          </wp:inline>
        </w:drawing>
      </w: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 xml:space="preserve">Postgraduate/Distance Learning </w:t>
      </w: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Assignment coversheet &amp; feedback form</w:t>
      </w:r>
    </w:p>
    <w:p w:rsidR="002E4602" w:rsidRPr="0092176A" w:rsidRDefault="002E4602" w:rsidP="002E4602">
      <w:pPr>
        <w:rPr>
          <w:rFonts w:ascii="Arial" w:hAnsi="Arial" w:cs="Arial"/>
          <w:sz w:val="28"/>
          <w:szCs w:val="28"/>
          <w:lang w:val="en-GB"/>
        </w:rPr>
      </w:pPr>
    </w:p>
    <w:p w:rsidR="002E4602" w:rsidRPr="0092176A" w:rsidRDefault="002E4602" w:rsidP="002E4602">
      <w:pPr>
        <w:pStyle w:val="berschrift3"/>
        <w:jc w:val="center"/>
      </w:pPr>
      <w:r w:rsidRPr="0092176A">
        <w:t>THIS SHEET MUST BE THE FIRST PAGE OF THE ASSIGNMENT YOU ARE SUBMITTING  (DO NOT SEND AS A SEPARATE FILE)</w:t>
      </w:r>
    </w:p>
    <w:p w:rsidR="002E4602" w:rsidRPr="0092176A" w:rsidRDefault="002E4602" w:rsidP="002E4602">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E4602" w:rsidRPr="00601435" w:rsidTr="001525E2">
        <w:trPr>
          <w:trHeight w:val="614"/>
        </w:trPr>
        <w:tc>
          <w:tcPr>
            <w:tcW w:w="8856" w:type="dxa"/>
            <w:gridSpan w:val="5"/>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b/>
                <w:sz w:val="22"/>
                <w:szCs w:val="22"/>
              </w:rPr>
              <w:t>For completion by the student</w:t>
            </w:r>
            <w:r w:rsidRPr="0092176A">
              <w:rPr>
                <w:rFonts w:ascii="Arial" w:hAnsi="Arial" w:cs="Arial"/>
                <w:sz w:val="22"/>
                <w:szCs w:val="22"/>
              </w:rPr>
              <w:t>:</w:t>
            </w:r>
          </w:p>
        </w:tc>
      </w:tr>
      <w:tr w:rsidR="002E4602" w:rsidRPr="00601435" w:rsidTr="001525E2">
        <w:trPr>
          <w:trHeight w:val="718"/>
        </w:trPr>
        <w:tc>
          <w:tcPr>
            <w:tcW w:w="8856" w:type="dxa"/>
            <w:gridSpan w:val="5"/>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Name: Fabio Nagele</w:t>
            </w:r>
          </w:p>
          <w:p w:rsidR="002E4602" w:rsidRPr="0092176A" w:rsidRDefault="002E4602" w:rsidP="001525E2">
            <w:pPr>
              <w:pStyle w:val="StandardWeb"/>
              <w:spacing w:before="0" w:beforeAutospacing="0" w:after="0" w:afterAutospacing="0"/>
              <w:ind w:right="34"/>
              <w:rPr>
                <w:rFonts w:ascii="Arial" w:hAnsi="Arial" w:cs="Arial"/>
                <w:sz w:val="22"/>
                <w:szCs w:val="22"/>
              </w:rPr>
            </w:pP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 xml:space="preserve">Student </w:t>
            </w:r>
            <w:r w:rsidRPr="0092176A">
              <w:rPr>
                <w:rFonts w:ascii="Arial" w:hAnsi="Arial" w:cs="Arial"/>
                <w:b/>
                <w:bCs/>
                <w:sz w:val="22"/>
                <w:szCs w:val="22"/>
                <w:u w:val="single"/>
              </w:rPr>
              <w:t>University</w:t>
            </w:r>
            <w:r w:rsidRPr="0092176A">
              <w:rPr>
                <w:rFonts w:ascii="Arial" w:hAnsi="Arial" w:cs="Arial"/>
                <w:sz w:val="22"/>
                <w:szCs w:val="22"/>
                <w:u w:val="single"/>
              </w:rPr>
              <w:t xml:space="preserve"> </w:t>
            </w:r>
            <w:r w:rsidRPr="0092176A">
              <w:rPr>
                <w:rFonts w:ascii="Arial" w:hAnsi="Arial" w:cs="Arial"/>
                <w:sz w:val="22"/>
                <w:szCs w:val="22"/>
              </w:rPr>
              <w:t xml:space="preserve">Email: </w:t>
            </w:r>
            <w:r w:rsidR="00A13190" w:rsidRPr="0092176A">
              <w:rPr>
                <w:rFonts w:ascii="Arial" w:hAnsi="Arial" w:cs="Arial"/>
                <w:sz w:val="22"/>
                <w:szCs w:val="22"/>
              </w:rPr>
              <w:t>1806911@student.uwtsd.ac.uk</w:t>
            </w:r>
          </w:p>
        </w:tc>
      </w:tr>
      <w:tr w:rsidR="002E4602" w:rsidRPr="0092176A" w:rsidTr="001525E2">
        <w:trPr>
          <w:trHeight w:val="849"/>
        </w:trPr>
        <w:tc>
          <w:tcPr>
            <w:tcW w:w="4788" w:type="dxa"/>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code:</w:t>
            </w:r>
            <w:r w:rsidR="00A13190" w:rsidRPr="0092176A">
              <w:rPr>
                <w:rFonts w:ascii="Arial" w:hAnsi="Arial" w:cs="Arial"/>
                <w:sz w:val="22"/>
                <w:szCs w:val="22"/>
              </w:rPr>
              <w:t xml:space="preserve"> HPCA7001</w:t>
            </w:r>
          </w:p>
          <w:p w:rsidR="002E4602" w:rsidRPr="0092176A" w:rsidRDefault="002E4602" w:rsidP="001525E2">
            <w:pPr>
              <w:pStyle w:val="StandardWeb"/>
              <w:spacing w:before="0" w:beforeAutospacing="0" w:after="0" w:afterAutospacing="0"/>
              <w:ind w:right="34"/>
              <w:rPr>
                <w:rFonts w:ascii="Arial" w:hAnsi="Arial" w:cs="Arial"/>
                <w:sz w:val="22"/>
                <w:szCs w:val="22"/>
              </w:rPr>
            </w:pP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title:</w:t>
            </w:r>
            <w:r w:rsidR="00A13190" w:rsidRPr="0092176A">
              <w:rPr>
                <w:rFonts w:ascii="Arial" w:hAnsi="Arial" w:cs="Arial"/>
                <w:sz w:val="22"/>
                <w:szCs w:val="22"/>
              </w:rPr>
              <w:t xml:space="preserve"> Foundations in Cultural Astronomy and Astrology</w:t>
            </w:r>
          </w:p>
          <w:p w:rsidR="002E4602" w:rsidRPr="0092176A" w:rsidRDefault="002E4602" w:rsidP="001525E2">
            <w:pPr>
              <w:pStyle w:val="StandardWeb"/>
              <w:spacing w:before="0" w:beforeAutospacing="0" w:after="0" w:afterAutospacing="0"/>
              <w:ind w:right="34"/>
              <w:rPr>
                <w:rFonts w:ascii="Arial" w:hAnsi="Arial" w:cs="Arial"/>
                <w:sz w:val="22"/>
                <w:szCs w:val="22"/>
              </w:rPr>
            </w:pPr>
          </w:p>
        </w:tc>
        <w:tc>
          <w:tcPr>
            <w:tcW w:w="2266" w:type="dxa"/>
            <w:gridSpan w:val="3"/>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ID number:</w:t>
            </w:r>
          </w:p>
          <w:p w:rsidR="00A13190" w:rsidRPr="0092176A" w:rsidRDefault="00A13190" w:rsidP="001525E2">
            <w:pPr>
              <w:pStyle w:val="StandardWeb"/>
              <w:spacing w:before="0" w:beforeAutospacing="0" w:after="0" w:afterAutospacing="0"/>
              <w:ind w:right="34"/>
              <w:rPr>
                <w:rFonts w:ascii="Arial" w:hAnsi="Arial" w:cs="Arial"/>
                <w:sz w:val="22"/>
                <w:szCs w:val="22"/>
              </w:rPr>
            </w:pPr>
          </w:p>
          <w:p w:rsidR="00A13190" w:rsidRPr="0092176A" w:rsidRDefault="00A13190"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1806911</w:t>
            </w:r>
          </w:p>
        </w:tc>
        <w:tc>
          <w:tcPr>
            <w:tcW w:w="1802" w:type="dxa"/>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Educational support needs:</w:t>
            </w: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No</w:t>
            </w:r>
          </w:p>
        </w:tc>
      </w:tr>
      <w:tr w:rsidR="002E4602" w:rsidRPr="00601435" w:rsidTr="001525E2">
        <w:trPr>
          <w:trHeight w:val="1139"/>
        </w:trPr>
        <w:tc>
          <w:tcPr>
            <w:tcW w:w="8856" w:type="dxa"/>
            <w:gridSpan w:val="5"/>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Assignment title:</w:t>
            </w:r>
            <w:r w:rsidR="00A13190" w:rsidRPr="0092176A">
              <w:rPr>
                <w:rFonts w:ascii="Arial" w:hAnsi="Arial" w:cs="Arial"/>
                <w:sz w:val="22"/>
                <w:szCs w:val="22"/>
              </w:rPr>
              <w:t xml:space="preserve"> </w:t>
            </w:r>
            <w:r w:rsidR="004C38BC" w:rsidRPr="0092176A">
              <w:rPr>
                <w:rFonts w:ascii="Arial" w:hAnsi="Arial" w:cs="Arial"/>
                <w:sz w:val="22"/>
                <w:szCs w:val="22"/>
              </w:rPr>
              <w:t>A Critical Comparison of Two JSTOR Papers</w:t>
            </w:r>
          </w:p>
          <w:p w:rsidR="002E4602" w:rsidRPr="0092176A" w:rsidRDefault="002E4602" w:rsidP="001525E2">
            <w:pPr>
              <w:pStyle w:val="StandardWeb"/>
              <w:spacing w:before="0" w:beforeAutospacing="0" w:after="0" w:afterAutospacing="0"/>
              <w:ind w:right="34"/>
              <w:rPr>
                <w:rFonts w:ascii="Arial" w:hAnsi="Arial" w:cs="Arial"/>
                <w:sz w:val="22"/>
                <w:szCs w:val="22"/>
              </w:rPr>
            </w:pPr>
          </w:p>
          <w:p w:rsidR="002E4602" w:rsidRPr="0092176A" w:rsidRDefault="002E4602" w:rsidP="001525E2">
            <w:pPr>
              <w:pStyle w:val="StandardWeb"/>
              <w:spacing w:before="0" w:beforeAutospacing="0" w:after="0" w:afterAutospacing="0"/>
              <w:ind w:right="34"/>
              <w:rPr>
                <w:rFonts w:ascii="Arial" w:hAnsi="Arial" w:cs="Arial"/>
                <w:sz w:val="22"/>
                <w:szCs w:val="22"/>
              </w:rPr>
            </w:pP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Assignment due date:</w:t>
            </w:r>
            <w:r w:rsidR="004C38BC" w:rsidRPr="0092176A">
              <w:rPr>
                <w:rFonts w:ascii="Arial" w:hAnsi="Arial" w:cs="Arial"/>
                <w:sz w:val="22"/>
                <w:szCs w:val="22"/>
              </w:rPr>
              <w:t xml:space="preserve"> 1</w:t>
            </w:r>
            <w:r w:rsidR="00410478">
              <w:rPr>
                <w:rFonts w:ascii="Arial" w:hAnsi="Arial" w:cs="Arial"/>
                <w:sz w:val="22"/>
                <w:szCs w:val="22"/>
              </w:rPr>
              <w:t>7</w:t>
            </w:r>
            <w:r w:rsidR="004C38BC" w:rsidRPr="0092176A">
              <w:rPr>
                <w:rFonts w:ascii="Arial" w:hAnsi="Arial" w:cs="Arial"/>
                <w:sz w:val="22"/>
                <w:szCs w:val="22"/>
                <w:vertAlign w:val="superscript"/>
              </w:rPr>
              <w:t>th</w:t>
            </w:r>
            <w:r w:rsidR="004C38BC" w:rsidRPr="0092176A">
              <w:rPr>
                <w:rFonts w:ascii="Arial" w:hAnsi="Arial" w:cs="Arial"/>
                <w:sz w:val="22"/>
                <w:szCs w:val="22"/>
              </w:rPr>
              <w:t xml:space="preserve"> of </w:t>
            </w:r>
            <w:r w:rsidR="00410478">
              <w:rPr>
                <w:rFonts w:ascii="Arial" w:hAnsi="Arial" w:cs="Arial"/>
                <w:sz w:val="22"/>
                <w:szCs w:val="22"/>
              </w:rPr>
              <w:t>December</w:t>
            </w:r>
            <w:r w:rsidR="004C38BC" w:rsidRPr="0092176A">
              <w:rPr>
                <w:rFonts w:ascii="Arial" w:hAnsi="Arial" w:cs="Arial"/>
                <w:sz w:val="22"/>
                <w:szCs w:val="22"/>
              </w:rPr>
              <w:t xml:space="preserve"> 2018</w:t>
            </w:r>
          </w:p>
        </w:tc>
      </w:tr>
      <w:tr w:rsidR="002E4602" w:rsidRPr="00601435" w:rsidTr="001525E2">
        <w:trPr>
          <w:trHeight w:val="978"/>
        </w:trPr>
        <w:tc>
          <w:tcPr>
            <w:tcW w:w="8856" w:type="dxa"/>
            <w:gridSpan w:val="5"/>
            <w:tcBorders>
              <w:bottom w:val="single" w:sz="4" w:space="0" w:color="000000"/>
            </w:tcBorders>
          </w:tcPr>
          <w:p w:rsidR="002E4602" w:rsidRPr="0092176A" w:rsidRDefault="002E4602" w:rsidP="001525E2">
            <w:pPr>
              <w:rPr>
                <w:rFonts w:ascii="Arial" w:hAnsi="Arial" w:cs="Arial"/>
                <w:sz w:val="22"/>
                <w:szCs w:val="22"/>
                <w:lang w:val="en-GB"/>
              </w:rPr>
            </w:pPr>
            <w:r w:rsidRPr="0092176A">
              <w:rPr>
                <w:rFonts w:ascii="Arial" w:hAnsi="Arial" w:cs="Arial"/>
                <w:sz w:val="22"/>
                <w:szCs w:val="22"/>
                <w:lang w:val="en-GB"/>
              </w:rPr>
              <w:t>This assignment is for the       1</w:t>
            </w:r>
            <w:r w:rsidRPr="0092176A">
              <w:rPr>
                <w:rFonts w:ascii="Arial" w:hAnsi="Arial" w:cs="Arial"/>
                <w:sz w:val="22"/>
                <w:szCs w:val="22"/>
                <w:vertAlign w:val="superscript"/>
                <w:lang w:val="en-GB"/>
              </w:rPr>
              <w:t xml:space="preserve">st </w:t>
            </w:r>
            <w:r w:rsidR="004C38BC" w:rsidRPr="0092176A">
              <w:rPr>
                <w:rFonts w:ascii="Arial" w:hAnsi="Arial" w:cs="Arial"/>
                <w:sz w:val="22"/>
                <w:szCs w:val="22"/>
                <w:lang w:val="en-GB"/>
              </w:rPr>
              <w:fldChar w:fldCharType="begin">
                <w:ffData>
                  <w:name w:val="Check13"/>
                  <w:enabled/>
                  <w:calcOnExit w:val="0"/>
                  <w:checkBox>
                    <w:sizeAuto/>
                    <w:default w:val="1"/>
                  </w:checkBox>
                </w:ffData>
              </w:fldChar>
            </w:r>
            <w:bookmarkStart w:id="0" w:name="Check13"/>
            <w:r w:rsidR="004C38BC" w:rsidRPr="0092176A">
              <w:rPr>
                <w:rFonts w:ascii="Arial" w:hAnsi="Arial" w:cs="Arial"/>
                <w:sz w:val="22"/>
                <w:szCs w:val="22"/>
                <w:lang w:val="en-GB"/>
              </w:rPr>
              <w:instrText xml:space="preserve"> FORMCHECKBOX </w:instrText>
            </w:r>
            <w:r w:rsidR="008F5569">
              <w:rPr>
                <w:rFonts w:ascii="Arial" w:hAnsi="Arial" w:cs="Arial"/>
                <w:sz w:val="22"/>
                <w:szCs w:val="22"/>
                <w:lang w:val="en-GB"/>
              </w:rPr>
            </w:r>
            <w:r w:rsidR="008F5569">
              <w:rPr>
                <w:rFonts w:ascii="Arial" w:hAnsi="Arial" w:cs="Arial"/>
                <w:sz w:val="22"/>
                <w:szCs w:val="22"/>
                <w:lang w:val="en-GB"/>
              </w:rPr>
              <w:fldChar w:fldCharType="separate"/>
            </w:r>
            <w:r w:rsidR="004C38BC" w:rsidRPr="0092176A">
              <w:rPr>
                <w:rFonts w:ascii="Arial" w:hAnsi="Arial" w:cs="Arial"/>
                <w:sz w:val="22"/>
                <w:szCs w:val="22"/>
                <w:lang w:val="en-GB"/>
              </w:rPr>
              <w:fldChar w:fldCharType="end"/>
            </w:r>
            <w:bookmarkEnd w:id="0"/>
            <w:r w:rsidRPr="0092176A">
              <w:rPr>
                <w:rFonts w:ascii="Arial" w:hAnsi="Arial" w:cs="Arial"/>
                <w:sz w:val="22"/>
                <w:szCs w:val="22"/>
                <w:lang w:val="en-GB"/>
              </w:rPr>
              <w:t xml:space="preserve">    2</w:t>
            </w:r>
            <w:r w:rsidRPr="0092176A">
              <w:rPr>
                <w:rFonts w:ascii="Arial" w:hAnsi="Arial" w:cs="Arial"/>
                <w:sz w:val="22"/>
                <w:szCs w:val="22"/>
                <w:vertAlign w:val="superscript"/>
                <w:lang w:val="en-GB"/>
              </w:rPr>
              <w:t>nd</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92176A">
              <w:rPr>
                <w:rFonts w:ascii="Arial" w:hAnsi="Arial" w:cs="Arial"/>
                <w:sz w:val="22"/>
                <w:szCs w:val="22"/>
                <w:lang w:val="en-GB"/>
              </w:rPr>
              <w:instrText xml:space="preserve"> FORMCHECKBOX </w:instrText>
            </w:r>
            <w:r w:rsidR="008F5569">
              <w:rPr>
                <w:rFonts w:ascii="Arial" w:hAnsi="Arial" w:cs="Arial"/>
                <w:sz w:val="22"/>
                <w:szCs w:val="22"/>
                <w:lang w:val="en-GB"/>
              </w:rPr>
            </w:r>
            <w:r w:rsidR="008F5569">
              <w:rPr>
                <w:rFonts w:ascii="Arial" w:hAnsi="Arial" w:cs="Arial"/>
                <w:sz w:val="22"/>
                <w:szCs w:val="22"/>
                <w:lang w:val="en-GB"/>
              </w:rPr>
              <w:fldChar w:fldCharType="separate"/>
            </w:r>
            <w:r w:rsidRPr="0092176A">
              <w:rPr>
                <w:rFonts w:ascii="Arial" w:hAnsi="Arial" w:cs="Arial"/>
                <w:sz w:val="22"/>
                <w:szCs w:val="22"/>
                <w:lang w:val="en-GB"/>
              </w:rPr>
              <w:fldChar w:fldCharType="end"/>
            </w:r>
            <w:bookmarkEnd w:id="1"/>
            <w:r w:rsidRPr="0092176A">
              <w:rPr>
                <w:rFonts w:ascii="Arial" w:hAnsi="Arial" w:cs="Arial"/>
                <w:sz w:val="22"/>
                <w:szCs w:val="22"/>
                <w:lang w:val="en-GB"/>
              </w:rPr>
              <w:t xml:space="preserve">     3</w:t>
            </w:r>
            <w:r w:rsidRPr="0092176A">
              <w:rPr>
                <w:rFonts w:ascii="Arial" w:hAnsi="Arial" w:cs="Arial"/>
                <w:sz w:val="22"/>
                <w:szCs w:val="22"/>
                <w:vertAlign w:val="superscript"/>
                <w:lang w:val="en-GB"/>
              </w:rPr>
              <w:t>rd</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92176A">
              <w:rPr>
                <w:rFonts w:ascii="Arial" w:hAnsi="Arial" w:cs="Arial"/>
                <w:sz w:val="22"/>
                <w:szCs w:val="22"/>
                <w:lang w:val="en-GB"/>
              </w:rPr>
              <w:instrText xml:space="preserve"> FORMCHECKBOX </w:instrText>
            </w:r>
            <w:r w:rsidR="008F5569">
              <w:rPr>
                <w:rFonts w:ascii="Arial" w:hAnsi="Arial" w:cs="Arial"/>
                <w:sz w:val="22"/>
                <w:szCs w:val="22"/>
                <w:lang w:val="en-GB"/>
              </w:rPr>
            </w:r>
            <w:r w:rsidR="008F5569">
              <w:rPr>
                <w:rFonts w:ascii="Arial" w:hAnsi="Arial" w:cs="Arial"/>
                <w:sz w:val="22"/>
                <w:szCs w:val="22"/>
                <w:lang w:val="en-GB"/>
              </w:rPr>
              <w:fldChar w:fldCharType="separate"/>
            </w:r>
            <w:r w:rsidRPr="0092176A">
              <w:rPr>
                <w:rFonts w:ascii="Arial" w:hAnsi="Arial" w:cs="Arial"/>
                <w:sz w:val="22"/>
                <w:szCs w:val="22"/>
                <w:lang w:val="en-GB"/>
              </w:rPr>
              <w:fldChar w:fldCharType="end"/>
            </w:r>
            <w:bookmarkEnd w:id="2"/>
            <w:r w:rsidRPr="0092176A">
              <w:rPr>
                <w:rFonts w:ascii="Arial" w:hAnsi="Arial" w:cs="Arial"/>
                <w:sz w:val="22"/>
                <w:szCs w:val="22"/>
                <w:lang w:val="en-GB"/>
              </w:rPr>
              <w:t xml:space="preserve">      4</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92176A">
              <w:rPr>
                <w:rFonts w:ascii="Arial" w:hAnsi="Arial" w:cs="Arial"/>
                <w:sz w:val="22"/>
                <w:szCs w:val="22"/>
                <w:lang w:val="en-GB"/>
              </w:rPr>
              <w:instrText xml:space="preserve"> FORMCHECKBOX </w:instrText>
            </w:r>
            <w:r w:rsidR="008F5569">
              <w:rPr>
                <w:rFonts w:ascii="Arial" w:hAnsi="Arial" w:cs="Arial"/>
                <w:sz w:val="22"/>
                <w:szCs w:val="22"/>
                <w:lang w:val="en-GB"/>
              </w:rPr>
            </w:r>
            <w:r w:rsidR="008F5569">
              <w:rPr>
                <w:rFonts w:ascii="Arial" w:hAnsi="Arial" w:cs="Arial"/>
                <w:sz w:val="22"/>
                <w:szCs w:val="22"/>
                <w:lang w:val="en-GB"/>
              </w:rPr>
              <w:fldChar w:fldCharType="separate"/>
            </w:r>
            <w:r w:rsidRPr="0092176A">
              <w:rPr>
                <w:rFonts w:ascii="Arial" w:hAnsi="Arial" w:cs="Arial"/>
                <w:sz w:val="22"/>
                <w:szCs w:val="22"/>
                <w:lang w:val="en-GB"/>
              </w:rPr>
              <w:fldChar w:fldCharType="end"/>
            </w:r>
            <w:bookmarkEnd w:id="3"/>
            <w:r w:rsidRPr="0092176A">
              <w:rPr>
                <w:rFonts w:ascii="Arial" w:hAnsi="Arial" w:cs="Arial"/>
                <w:sz w:val="22"/>
                <w:szCs w:val="22"/>
                <w:lang w:val="en-GB"/>
              </w:rPr>
              <w:t xml:space="preserve">      5</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92176A">
              <w:rPr>
                <w:rFonts w:ascii="Arial" w:hAnsi="Arial" w:cs="Arial"/>
                <w:sz w:val="22"/>
                <w:szCs w:val="22"/>
                <w:lang w:val="en-GB"/>
              </w:rPr>
              <w:instrText xml:space="preserve"> FORMCHECKBOX </w:instrText>
            </w:r>
            <w:r w:rsidR="008F5569">
              <w:rPr>
                <w:rFonts w:ascii="Arial" w:hAnsi="Arial" w:cs="Arial"/>
                <w:sz w:val="22"/>
                <w:szCs w:val="22"/>
                <w:lang w:val="en-GB"/>
              </w:rPr>
            </w:r>
            <w:r w:rsidR="008F5569">
              <w:rPr>
                <w:rFonts w:ascii="Arial" w:hAnsi="Arial" w:cs="Arial"/>
                <w:sz w:val="22"/>
                <w:szCs w:val="22"/>
                <w:lang w:val="en-GB"/>
              </w:rPr>
              <w:fldChar w:fldCharType="separate"/>
            </w:r>
            <w:r w:rsidRPr="0092176A">
              <w:rPr>
                <w:rFonts w:ascii="Arial" w:hAnsi="Arial" w:cs="Arial"/>
                <w:sz w:val="22"/>
                <w:szCs w:val="22"/>
                <w:lang w:val="en-GB"/>
              </w:rPr>
              <w:fldChar w:fldCharType="end"/>
            </w:r>
            <w:bookmarkEnd w:id="4"/>
            <w:r w:rsidRPr="0092176A">
              <w:rPr>
                <w:rFonts w:ascii="Arial" w:hAnsi="Arial" w:cs="Arial"/>
                <w:sz w:val="22"/>
                <w:szCs w:val="22"/>
                <w:lang w:val="en-GB"/>
              </w:rPr>
              <w:t xml:space="preserve">      6</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92176A">
              <w:rPr>
                <w:rFonts w:ascii="Arial" w:hAnsi="Arial" w:cs="Arial"/>
                <w:sz w:val="22"/>
                <w:szCs w:val="22"/>
                <w:lang w:val="en-GB"/>
              </w:rPr>
              <w:instrText xml:space="preserve"> FORMCHECKBOX </w:instrText>
            </w:r>
            <w:r w:rsidR="008F5569">
              <w:rPr>
                <w:rFonts w:ascii="Arial" w:hAnsi="Arial" w:cs="Arial"/>
                <w:sz w:val="22"/>
                <w:szCs w:val="22"/>
                <w:lang w:val="en-GB"/>
              </w:rPr>
            </w:r>
            <w:r w:rsidR="008F5569">
              <w:rPr>
                <w:rFonts w:ascii="Arial" w:hAnsi="Arial" w:cs="Arial"/>
                <w:sz w:val="22"/>
                <w:szCs w:val="22"/>
                <w:lang w:val="en-GB"/>
              </w:rPr>
              <w:fldChar w:fldCharType="separate"/>
            </w:r>
            <w:r w:rsidRPr="0092176A">
              <w:rPr>
                <w:rFonts w:ascii="Arial" w:hAnsi="Arial" w:cs="Arial"/>
                <w:sz w:val="22"/>
                <w:szCs w:val="22"/>
                <w:lang w:val="en-GB"/>
              </w:rPr>
              <w:fldChar w:fldCharType="end"/>
            </w:r>
            <w:bookmarkEnd w:id="5"/>
            <w:r w:rsidRPr="0092176A">
              <w:rPr>
                <w:rFonts w:ascii="Arial" w:hAnsi="Arial" w:cs="Arial"/>
                <w:b/>
                <w:sz w:val="22"/>
                <w:szCs w:val="22"/>
                <w:lang w:val="en-GB"/>
              </w:rPr>
              <w:t xml:space="preserve">   </w:t>
            </w:r>
            <w:r w:rsidRPr="0092176A">
              <w:rPr>
                <w:rFonts w:ascii="Arial" w:hAnsi="Arial" w:cs="Arial"/>
                <w:sz w:val="22"/>
                <w:szCs w:val="22"/>
                <w:lang w:val="en-GB"/>
              </w:rPr>
              <w:t>module of the degree</w:t>
            </w:r>
          </w:p>
        </w:tc>
      </w:tr>
      <w:tr w:rsidR="002E4602" w:rsidRPr="00601435" w:rsidTr="001525E2">
        <w:trPr>
          <w:trHeight w:val="978"/>
        </w:trPr>
        <w:tc>
          <w:tcPr>
            <w:tcW w:w="8856" w:type="dxa"/>
            <w:gridSpan w:val="5"/>
            <w:shd w:val="clear" w:color="auto" w:fill="D9D9D9"/>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I confirm that this is my original work and that I have adhered to the University policy on plagiarism.</w:t>
            </w: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Signed ……………………………………………………………</w:t>
            </w:r>
          </w:p>
          <w:p w:rsidR="002E4602" w:rsidRPr="0092176A" w:rsidRDefault="002E4602" w:rsidP="001525E2">
            <w:pPr>
              <w:pStyle w:val="StandardWeb"/>
              <w:spacing w:before="0" w:beforeAutospacing="0" w:after="0" w:afterAutospacing="0"/>
              <w:ind w:right="34"/>
              <w:rPr>
                <w:rFonts w:ascii="Calibri" w:hAnsi="Calibri" w:cs="Calibri"/>
                <w:b/>
                <w:sz w:val="44"/>
                <w:szCs w:val="44"/>
              </w:rPr>
            </w:pPr>
            <w:r w:rsidRPr="0092176A">
              <w:rPr>
                <w:rFonts w:ascii="Calibri" w:hAnsi="Calibri" w:cs="Tahoma"/>
                <w:b/>
                <w:sz w:val="24"/>
                <w:szCs w:val="24"/>
              </w:rPr>
              <w:t xml:space="preserve">Email submission:if you are submitting this form via email, please tick this box </w:t>
            </w:r>
            <w:r w:rsidR="004C38BC" w:rsidRPr="0092176A">
              <w:rPr>
                <w:rFonts w:ascii="Arial" w:hAnsi="Arial" w:cs="Arial"/>
                <w:sz w:val="22"/>
                <w:szCs w:val="22"/>
              </w:rPr>
              <w:fldChar w:fldCharType="begin">
                <w:ffData>
                  <w:name w:val="Check13"/>
                  <w:enabled/>
                  <w:calcOnExit w:val="0"/>
                  <w:checkBox>
                    <w:sizeAuto/>
                    <w:default w:val="1"/>
                  </w:checkBox>
                </w:ffData>
              </w:fldChar>
            </w:r>
            <w:r w:rsidR="004C38BC" w:rsidRPr="0092176A">
              <w:rPr>
                <w:rFonts w:ascii="Arial" w:hAnsi="Arial" w:cs="Arial"/>
                <w:sz w:val="22"/>
                <w:szCs w:val="22"/>
              </w:rPr>
              <w:instrText xml:space="preserve"> FORMCHECKBOX </w:instrText>
            </w:r>
            <w:r w:rsidR="008F5569">
              <w:rPr>
                <w:rFonts w:ascii="Arial" w:hAnsi="Arial" w:cs="Arial"/>
                <w:sz w:val="22"/>
                <w:szCs w:val="22"/>
              </w:rPr>
            </w:r>
            <w:r w:rsidR="008F5569">
              <w:rPr>
                <w:rFonts w:ascii="Arial" w:hAnsi="Arial" w:cs="Arial"/>
                <w:sz w:val="22"/>
                <w:szCs w:val="22"/>
              </w:rPr>
              <w:fldChar w:fldCharType="separate"/>
            </w:r>
            <w:r w:rsidR="004C38BC" w:rsidRPr="0092176A">
              <w:rPr>
                <w:rFonts w:ascii="Arial" w:hAnsi="Arial" w:cs="Arial"/>
                <w:sz w:val="22"/>
                <w:szCs w:val="22"/>
              </w:rPr>
              <w:fldChar w:fldCharType="end"/>
            </w: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Calibri" w:hAnsi="Calibri" w:cs="Tahoma"/>
                <w:b/>
                <w:sz w:val="24"/>
                <w:szCs w:val="24"/>
              </w:rPr>
              <w:t>(as a substitute for your signature) to confirm that you agree to the above declaration.</w:t>
            </w:r>
          </w:p>
        </w:tc>
      </w:tr>
      <w:tr w:rsidR="002E4602" w:rsidRPr="00601435" w:rsidTr="001525E2">
        <w:trPr>
          <w:trHeight w:val="3972"/>
        </w:trPr>
        <w:tc>
          <w:tcPr>
            <w:tcW w:w="8856" w:type="dxa"/>
            <w:gridSpan w:val="5"/>
          </w:tcPr>
          <w:p w:rsidR="002E4602" w:rsidRPr="0092176A" w:rsidRDefault="002E4602" w:rsidP="001525E2">
            <w:pPr>
              <w:rPr>
                <w:rFonts w:ascii="Arial" w:hAnsi="Arial"/>
                <w:b/>
                <w:lang w:val="en-GB"/>
              </w:rPr>
            </w:pPr>
          </w:p>
          <w:p w:rsidR="002E4602" w:rsidRPr="0092176A" w:rsidRDefault="002E4602" w:rsidP="001525E2">
            <w:pPr>
              <w:rPr>
                <w:rFonts w:ascii="Arial" w:hAnsi="Arial"/>
                <w:lang w:val="en-GB"/>
              </w:rPr>
            </w:pPr>
            <w:r w:rsidRPr="0092176A">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E4602" w:rsidRPr="0092176A" w:rsidTr="001525E2">
              <w:tc>
                <w:tcPr>
                  <w:tcW w:w="6970" w:type="dxa"/>
                </w:tcPr>
                <w:p w:rsidR="002E4602" w:rsidRPr="0092176A" w:rsidRDefault="002E4602" w:rsidP="001525E2">
                  <w:pPr>
                    <w:rPr>
                      <w:rFonts w:ascii="Arial" w:hAnsi="Arial"/>
                      <w:sz w:val="20"/>
                      <w:szCs w:val="20"/>
                      <w:lang w:val="en-GB"/>
                    </w:rPr>
                  </w:pPr>
                </w:p>
                <w:p w:rsidR="002E4602" w:rsidRPr="0092176A" w:rsidRDefault="002E4602" w:rsidP="001525E2">
                  <w:pPr>
                    <w:rPr>
                      <w:rFonts w:ascii="Arial" w:hAnsi="Arial"/>
                      <w:sz w:val="20"/>
                      <w:szCs w:val="20"/>
                      <w:lang w:val="en-GB"/>
                    </w:rPr>
                  </w:pPr>
                  <w:r w:rsidRPr="0092176A">
                    <w:rPr>
                      <w:rFonts w:ascii="Arial" w:hAnsi="Arial"/>
                      <w:sz w:val="20"/>
                      <w:szCs w:val="20"/>
                      <w:lang w:val="en-GB"/>
                    </w:rPr>
                    <w:t>1</w:t>
                  </w:r>
                  <w:r w:rsidRPr="0092176A">
                    <w:rPr>
                      <w:rFonts w:ascii="Arial" w:hAnsi="Arial"/>
                      <w:sz w:val="20"/>
                      <w:szCs w:val="20"/>
                      <w:vertAlign w:val="superscript"/>
                      <w:lang w:val="en-GB"/>
                    </w:rPr>
                    <w:t>st</w:t>
                  </w:r>
                  <w:r w:rsidRPr="0092176A">
                    <w:rPr>
                      <w:rFonts w:ascii="Arial" w:hAnsi="Arial"/>
                      <w:sz w:val="20"/>
                      <w:szCs w:val="20"/>
                      <w:lang w:val="en-GB"/>
                    </w:rPr>
                    <w:t xml:space="preserve"> Marker’s Provisional mark</w:t>
                  </w:r>
                </w:p>
              </w:tc>
              <w:tc>
                <w:tcPr>
                  <w:tcW w:w="1660" w:type="dxa"/>
                </w:tcPr>
                <w:p w:rsidR="002E4602" w:rsidRPr="0092176A" w:rsidRDefault="002E4602" w:rsidP="001525E2">
                  <w:pPr>
                    <w:rPr>
                      <w:rFonts w:ascii="Arial" w:hAnsi="Arial"/>
                      <w:sz w:val="20"/>
                      <w:szCs w:val="20"/>
                      <w:lang w:val="en-GB"/>
                    </w:rPr>
                  </w:pPr>
                </w:p>
              </w:tc>
            </w:tr>
            <w:tr w:rsidR="002E4602" w:rsidRPr="0092176A" w:rsidTr="001525E2">
              <w:tc>
                <w:tcPr>
                  <w:tcW w:w="6970" w:type="dxa"/>
                </w:tcPr>
                <w:p w:rsidR="002E4602" w:rsidRPr="0092176A" w:rsidRDefault="002E4602" w:rsidP="001525E2">
                  <w:pPr>
                    <w:rPr>
                      <w:rFonts w:ascii="Arial" w:hAnsi="Arial"/>
                      <w:sz w:val="20"/>
                      <w:szCs w:val="20"/>
                      <w:lang w:val="en-GB"/>
                    </w:rPr>
                  </w:pPr>
                </w:p>
                <w:p w:rsidR="002E4602" w:rsidRPr="0092176A" w:rsidRDefault="002E4602" w:rsidP="001525E2">
                  <w:pPr>
                    <w:rPr>
                      <w:rFonts w:ascii="Arial" w:hAnsi="Arial"/>
                      <w:sz w:val="20"/>
                      <w:szCs w:val="20"/>
                      <w:lang w:val="en-GB"/>
                    </w:rPr>
                  </w:pPr>
                  <w:r w:rsidRPr="0092176A">
                    <w:rPr>
                      <w:rFonts w:ascii="Arial" w:hAnsi="Arial"/>
                      <w:sz w:val="20"/>
                      <w:szCs w:val="20"/>
                      <w:lang w:val="en-GB"/>
                    </w:rPr>
                    <w:t>2</w:t>
                  </w:r>
                  <w:r w:rsidRPr="0092176A">
                    <w:rPr>
                      <w:rFonts w:ascii="Arial" w:hAnsi="Arial"/>
                      <w:sz w:val="20"/>
                      <w:szCs w:val="20"/>
                      <w:vertAlign w:val="superscript"/>
                      <w:lang w:val="en-GB"/>
                    </w:rPr>
                    <w:t>nd</w:t>
                  </w:r>
                  <w:r w:rsidRPr="0092176A">
                    <w:rPr>
                      <w:rFonts w:ascii="Arial" w:hAnsi="Arial"/>
                      <w:sz w:val="20"/>
                      <w:szCs w:val="20"/>
                      <w:lang w:val="en-GB"/>
                    </w:rPr>
                    <w:t xml:space="preserve"> Marker’s/Moderator’s provisional mark</w:t>
                  </w:r>
                </w:p>
              </w:tc>
              <w:tc>
                <w:tcPr>
                  <w:tcW w:w="1660" w:type="dxa"/>
                </w:tcPr>
                <w:p w:rsidR="002E4602" w:rsidRPr="0092176A" w:rsidRDefault="002E4602" w:rsidP="001525E2">
                  <w:pPr>
                    <w:rPr>
                      <w:rFonts w:ascii="Arial" w:hAnsi="Arial"/>
                      <w:sz w:val="20"/>
                      <w:szCs w:val="20"/>
                      <w:lang w:val="en-GB"/>
                    </w:rPr>
                  </w:pPr>
                </w:p>
              </w:tc>
            </w:tr>
            <w:tr w:rsidR="002E4602" w:rsidRPr="00601435" w:rsidTr="001525E2">
              <w:tc>
                <w:tcPr>
                  <w:tcW w:w="6970" w:type="dxa"/>
                </w:tcPr>
                <w:p w:rsidR="002E4602" w:rsidRPr="0092176A" w:rsidRDefault="002E4602" w:rsidP="001525E2">
                  <w:pPr>
                    <w:rPr>
                      <w:rFonts w:ascii="Arial" w:hAnsi="Arial"/>
                      <w:sz w:val="20"/>
                      <w:szCs w:val="20"/>
                      <w:lang w:val="en-GB"/>
                    </w:rPr>
                  </w:pPr>
                </w:p>
                <w:p w:rsidR="002E4602" w:rsidRPr="0092176A" w:rsidRDefault="002E4602" w:rsidP="001525E2">
                  <w:pPr>
                    <w:rPr>
                      <w:rFonts w:ascii="Arial" w:hAnsi="Arial"/>
                      <w:sz w:val="20"/>
                      <w:szCs w:val="20"/>
                      <w:lang w:val="en-GB"/>
                    </w:rPr>
                  </w:pPr>
                  <w:r w:rsidRPr="0092176A">
                    <w:rPr>
                      <w:rFonts w:ascii="Arial" w:hAnsi="Arial"/>
                      <w:sz w:val="20"/>
                      <w:szCs w:val="20"/>
                      <w:lang w:val="en-GB"/>
                    </w:rPr>
                    <w:t>External Examiner’s mark (if relevant)</w:t>
                  </w:r>
                </w:p>
              </w:tc>
              <w:tc>
                <w:tcPr>
                  <w:tcW w:w="1660" w:type="dxa"/>
                </w:tcPr>
                <w:p w:rsidR="002E4602" w:rsidRPr="0092176A" w:rsidRDefault="002E4602" w:rsidP="001525E2">
                  <w:pPr>
                    <w:rPr>
                      <w:rFonts w:ascii="Arial" w:hAnsi="Arial"/>
                      <w:sz w:val="20"/>
                      <w:szCs w:val="20"/>
                      <w:lang w:val="en-GB"/>
                    </w:rPr>
                  </w:pPr>
                </w:p>
              </w:tc>
            </w:tr>
            <w:tr w:rsidR="002E4602" w:rsidRPr="00601435" w:rsidTr="001525E2">
              <w:tc>
                <w:tcPr>
                  <w:tcW w:w="6970" w:type="dxa"/>
                </w:tcPr>
                <w:p w:rsidR="002E4602" w:rsidRPr="0092176A" w:rsidRDefault="002E4602" w:rsidP="001525E2">
                  <w:pPr>
                    <w:rPr>
                      <w:rFonts w:ascii="Arial" w:hAnsi="Arial"/>
                      <w:sz w:val="20"/>
                      <w:szCs w:val="20"/>
                      <w:lang w:val="en-GB"/>
                    </w:rPr>
                  </w:pPr>
                </w:p>
                <w:p w:rsidR="002E4602" w:rsidRPr="0092176A" w:rsidRDefault="002E4602" w:rsidP="001525E2">
                  <w:pPr>
                    <w:rPr>
                      <w:rFonts w:ascii="Arial" w:hAnsi="Arial"/>
                      <w:b/>
                      <w:sz w:val="20"/>
                      <w:szCs w:val="20"/>
                      <w:lang w:val="en-GB"/>
                    </w:rPr>
                  </w:pPr>
                  <w:r w:rsidRPr="0092176A">
                    <w:rPr>
                      <w:rFonts w:ascii="Arial" w:hAnsi="Arial"/>
                      <w:b/>
                      <w:sz w:val="20"/>
                      <w:szCs w:val="20"/>
                      <w:lang w:val="en-GB"/>
                    </w:rPr>
                    <w:t>Final Mark</w:t>
                  </w:r>
                </w:p>
                <w:p w:rsidR="002E4602" w:rsidRPr="0092176A" w:rsidRDefault="002E4602" w:rsidP="001525E2">
                  <w:pPr>
                    <w:rPr>
                      <w:rFonts w:ascii="Arial" w:hAnsi="Arial"/>
                      <w:sz w:val="20"/>
                      <w:szCs w:val="20"/>
                      <w:lang w:val="en-GB"/>
                    </w:rPr>
                  </w:pPr>
                </w:p>
              </w:tc>
              <w:tc>
                <w:tcPr>
                  <w:tcW w:w="1660" w:type="dxa"/>
                </w:tcPr>
                <w:p w:rsidR="002E4602" w:rsidRPr="0092176A" w:rsidRDefault="002E4602" w:rsidP="001525E2">
                  <w:pPr>
                    <w:rPr>
                      <w:rFonts w:ascii="Arial" w:hAnsi="Arial"/>
                      <w:sz w:val="20"/>
                      <w:szCs w:val="20"/>
                      <w:lang w:val="en-GB"/>
                    </w:rPr>
                  </w:pPr>
                </w:p>
              </w:tc>
            </w:tr>
          </w:tbl>
          <w:p w:rsidR="002E4602" w:rsidRPr="0092176A" w:rsidRDefault="002E4602" w:rsidP="001525E2">
            <w:pPr>
              <w:pStyle w:val="StandardWeb"/>
              <w:spacing w:before="0" w:beforeAutospacing="0" w:after="0" w:afterAutospacing="0"/>
              <w:ind w:left="142" w:right="34"/>
              <w:rPr>
                <w:rFonts w:ascii="Arial" w:hAnsi="Arial" w:cs="Arial"/>
                <w:b/>
                <w:sz w:val="22"/>
                <w:szCs w:val="22"/>
              </w:rPr>
            </w:pPr>
          </w:p>
          <w:p w:rsidR="002E4602" w:rsidRPr="0092176A" w:rsidRDefault="002E4602" w:rsidP="001525E2">
            <w:pPr>
              <w:pStyle w:val="StandardWeb"/>
              <w:spacing w:before="0" w:beforeAutospacing="0" w:after="0" w:afterAutospacing="0"/>
              <w:ind w:left="142" w:right="34"/>
              <w:rPr>
                <w:rFonts w:ascii="Arial" w:hAnsi="Arial" w:cs="Arial"/>
                <w:sz w:val="22"/>
                <w:szCs w:val="22"/>
              </w:rPr>
            </w:pPr>
            <w:r w:rsidRPr="0092176A">
              <w:rPr>
                <w:rFonts w:ascii="Arial" w:hAnsi="Arial" w:cs="Arial"/>
                <w:b/>
                <w:sz w:val="22"/>
                <w:szCs w:val="22"/>
              </w:rPr>
              <w:lastRenderedPageBreak/>
              <w:t>NB.</w:t>
            </w:r>
            <w:r w:rsidRPr="0092176A">
              <w:rPr>
                <w:rFonts w:ascii="Arial" w:hAnsi="Arial" w:cs="Arial"/>
                <w:sz w:val="22"/>
                <w:szCs w:val="22"/>
              </w:rPr>
              <w:t xml:space="preserve">  All marks are provisional until confirmed by the Final Examination Board.</w:t>
            </w: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r w:rsidRPr="0092176A">
              <w:rPr>
                <w:rFonts w:ascii="Arial" w:hAnsi="Arial" w:cs="Arial"/>
                <w:b/>
                <w:sz w:val="22"/>
                <w:szCs w:val="22"/>
              </w:rPr>
              <w:t>For completion by Marker 1 :</w:t>
            </w:r>
          </w:p>
          <w:p w:rsidR="002E4602" w:rsidRPr="0092176A" w:rsidRDefault="002E4602" w:rsidP="001525E2">
            <w:pPr>
              <w:pStyle w:val="StandardWeb"/>
              <w:rPr>
                <w:rFonts w:ascii="Arial" w:hAnsi="Arial" w:cs="Arial"/>
                <w:sz w:val="22"/>
                <w:szCs w:val="22"/>
              </w:rPr>
            </w:pPr>
            <w:r w:rsidRPr="0092176A">
              <w:rPr>
                <w:rFonts w:ascii="Arial" w:hAnsi="Arial" w:cs="Arial"/>
                <w:sz w:val="22"/>
                <w:szCs w:val="22"/>
              </w:rPr>
              <w:t>Comments:</w:t>
            </w:r>
          </w:p>
          <w:p w:rsidR="002E4602" w:rsidRPr="0092176A" w:rsidRDefault="002E4602" w:rsidP="001525E2">
            <w:pPr>
              <w:pStyle w:val="StandardWeb"/>
              <w:rPr>
                <w:rFonts w:ascii="Arial" w:hAnsi="Arial" w:cs="Arial"/>
                <w:sz w:val="22"/>
                <w:szCs w:val="22"/>
              </w:rPr>
            </w:pPr>
          </w:p>
        </w:tc>
      </w:tr>
      <w:tr w:rsidR="002E4602" w:rsidRPr="0092176A" w:rsidTr="001525E2">
        <w:trPr>
          <w:trHeight w:val="492"/>
        </w:trPr>
        <w:tc>
          <w:tcPr>
            <w:tcW w:w="6768" w:type="dxa"/>
            <w:gridSpan w:val="3"/>
          </w:tcPr>
          <w:p w:rsidR="002E4602" w:rsidRPr="0092176A" w:rsidRDefault="002E4602" w:rsidP="001525E2">
            <w:pPr>
              <w:pStyle w:val="StandardWeb"/>
              <w:ind w:left="142" w:right="34"/>
              <w:rPr>
                <w:rFonts w:ascii="Arial" w:hAnsi="Arial" w:cs="Arial"/>
                <w:sz w:val="22"/>
                <w:szCs w:val="22"/>
              </w:rPr>
            </w:pPr>
            <w:r w:rsidRPr="0092176A">
              <w:rPr>
                <w:rFonts w:ascii="Arial" w:hAnsi="Arial" w:cs="Arial"/>
                <w:sz w:val="22"/>
                <w:szCs w:val="22"/>
              </w:rPr>
              <w:lastRenderedPageBreak/>
              <w:t>Marker’s signature:</w:t>
            </w:r>
          </w:p>
        </w:tc>
        <w:tc>
          <w:tcPr>
            <w:tcW w:w="2088" w:type="dxa"/>
            <w:gridSpan w:val="2"/>
          </w:tcPr>
          <w:p w:rsidR="002E4602" w:rsidRPr="0092176A" w:rsidRDefault="002E4602" w:rsidP="001525E2">
            <w:pPr>
              <w:pStyle w:val="StandardWeb"/>
              <w:spacing w:after="0"/>
              <w:ind w:left="142" w:right="34"/>
              <w:rPr>
                <w:rFonts w:ascii="Arial" w:hAnsi="Arial" w:cs="Arial"/>
                <w:sz w:val="22"/>
                <w:szCs w:val="22"/>
              </w:rPr>
            </w:pPr>
            <w:r w:rsidRPr="0092176A">
              <w:rPr>
                <w:rFonts w:ascii="Arial" w:hAnsi="Arial" w:cs="Arial"/>
                <w:sz w:val="22"/>
                <w:szCs w:val="22"/>
              </w:rPr>
              <w:t>Date:</w:t>
            </w:r>
          </w:p>
        </w:tc>
      </w:tr>
      <w:tr w:rsidR="002E4602" w:rsidRPr="0092176A" w:rsidTr="001525E2">
        <w:tc>
          <w:tcPr>
            <w:tcW w:w="8856" w:type="dxa"/>
            <w:gridSpan w:val="5"/>
          </w:tcPr>
          <w:p w:rsidR="002E4602" w:rsidRPr="0092176A" w:rsidRDefault="002E4602" w:rsidP="001525E2">
            <w:pPr>
              <w:pStyle w:val="StandardWeb"/>
              <w:spacing w:before="0" w:beforeAutospacing="0" w:after="0" w:afterAutospacing="0"/>
              <w:ind w:right="-334"/>
              <w:rPr>
                <w:rFonts w:ascii="Arial" w:hAnsi="Arial" w:cs="Arial"/>
                <w:bCs/>
                <w:i/>
                <w:sz w:val="22"/>
                <w:szCs w:val="22"/>
              </w:rPr>
            </w:pPr>
          </w:p>
          <w:p w:rsidR="002E4602" w:rsidRPr="0092176A" w:rsidRDefault="002E4602" w:rsidP="001525E2">
            <w:pPr>
              <w:pStyle w:val="StandardWeb"/>
              <w:spacing w:before="0" w:beforeAutospacing="0" w:after="0" w:afterAutospacing="0"/>
              <w:ind w:right="-334"/>
              <w:rPr>
                <w:rFonts w:ascii="Arial" w:hAnsi="Arial" w:cs="Arial"/>
                <w:b/>
                <w:bCs/>
                <w:sz w:val="22"/>
                <w:szCs w:val="22"/>
              </w:rPr>
            </w:pPr>
            <w:r w:rsidRPr="0092176A">
              <w:rPr>
                <w:rFonts w:ascii="Arial" w:hAnsi="Arial" w:cs="Arial"/>
                <w:b/>
                <w:bCs/>
                <w:sz w:val="22"/>
                <w:szCs w:val="22"/>
              </w:rPr>
              <w:t>For completion by Marker 2/Moderator:</w:t>
            </w:r>
          </w:p>
          <w:p w:rsidR="002E4602" w:rsidRPr="0092176A" w:rsidRDefault="002E4602" w:rsidP="001525E2">
            <w:pPr>
              <w:pStyle w:val="StandardWeb"/>
              <w:spacing w:before="0" w:beforeAutospacing="0" w:after="0" w:afterAutospacing="0"/>
              <w:ind w:right="-334"/>
              <w:rPr>
                <w:rFonts w:ascii="Arial" w:hAnsi="Arial" w:cs="Arial"/>
                <w:b/>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Comments:</w:t>
            </w: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tc>
      </w:tr>
      <w:tr w:rsidR="002E4602" w:rsidRPr="0092176A" w:rsidTr="001525E2">
        <w:trPr>
          <w:trHeight w:val="720"/>
        </w:trPr>
        <w:tc>
          <w:tcPr>
            <w:tcW w:w="5211" w:type="dxa"/>
            <w:gridSpan w:val="2"/>
          </w:tcPr>
          <w:p w:rsidR="002E4602" w:rsidRPr="0092176A" w:rsidRDefault="002E4602" w:rsidP="001525E2">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Marker’s Signature:</w:t>
            </w:r>
          </w:p>
        </w:tc>
        <w:tc>
          <w:tcPr>
            <w:tcW w:w="3645" w:type="dxa"/>
            <w:gridSpan w:val="3"/>
          </w:tcPr>
          <w:p w:rsidR="002E4602" w:rsidRPr="0092176A" w:rsidRDefault="002E4602" w:rsidP="001525E2">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Date:</w:t>
            </w:r>
          </w:p>
        </w:tc>
      </w:tr>
      <w:tr w:rsidR="002E4602" w:rsidRPr="00601435" w:rsidTr="001525E2">
        <w:trPr>
          <w:trHeight w:val="720"/>
        </w:trPr>
        <w:tc>
          <w:tcPr>
            <w:tcW w:w="8856" w:type="dxa"/>
            <w:gridSpan w:val="5"/>
          </w:tcPr>
          <w:p w:rsidR="002E4602" w:rsidRPr="0092176A" w:rsidRDefault="002E4602" w:rsidP="001525E2">
            <w:pPr>
              <w:rPr>
                <w:rFonts w:ascii="Arial" w:hAnsi="Arial" w:cs="Arial"/>
                <w:b/>
                <w:sz w:val="22"/>
                <w:szCs w:val="22"/>
                <w:lang w:val="en-GB"/>
              </w:rPr>
            </w:pPr>
            <w:r w:rsidRPr="0092176A">
              <w:rPr>
                <w:rFonts w:ascii="Arial" w:hAnsi="Arial" w:cs="Arial"/>
                <w:b/>
                <w:sz w:val="22"/>
                <w:szCs w:val="22"/>
                <w:lang w:val="en-GB"/>
              </w:rPr>
              <w:t>External Examiner’s comments (if relevant)</w:t>
            </w: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tc>
      </w:tr>
      <w:tr w:rsidR="002E4602" w:rsidRPr="0092176A" w:rsidTr="001525E2">
        <w:trPr>
          <w:trHeight w:val="720"/>
        </w:trPr>
        <w:tc>
          <w:tcPr>
            <w:tcW w:w="5211" w:type="dxa"/>
            <w:gridSpan w:val="2"/>
          </w:tcPr>
          <w:p w:rsidR="002E4602" w:rsidRPr="0092176A" w:rsidRDefault="002E4602" w:rsidP="001525E2">
            <w:pPr>
              <w:rPr>
                <w:rFonts w:ascii="Arial" w:hAnsi="Arial" w:cs="Arial"/>
                <w:sz w:val="22"/>
                <w:szCs w:val="22"/>
                <w:lang w:val="en-GB"/>
              </w:rPr>
            </w:pPr>
            <w:r w:rsidRPr="0092176A">
              <w:rPr>
                <w:rFonts w:ascii="Arial" w:hAnsi="Arial" w:cs="Arial"/>
                <w:sz w:val="22"/>
                <w:szCs w:val="22"/>
                <w:lang w:val="en-GB"/>
              </w:rPr>
              <w:t>External Examiner’s Signature:</w:t>
            </w:r>
          </w:p>
        </w:tc>
        <w:tc>
          <w:tcPr>
            <w:tcW w:w="3645" w:type="dxa"/>
            <w:gridSpan w:val="3"/>
          </w:tcPr>
          <w:p w:rsidR="002E4602" w:rsidRPr="0092176A" w:rsidRDefault="002E4602" w:rsidP="001525E2">
            <w:pPr>
              <w:rPr>
                <w:rFonts w:ascii="Arial" w:hAnsi="Arial" w:cs="Arial"/>
                <w:sz w:val="22"/>
                <w:szCs w:val="22"/>
                <w:lang w:val="en-GB"/>
              </w:rPr>
            </w:pPr>
            <w:r w:rsidRPr="0092176A">
              <w:rPr>
                <w:rFonts w:ascii="Arial" w:hAnsi="Arial" w:cs="Arial"/>
                <w:sz w:val="22"/>
                <w:szCs w:val="22"/>
                <w:lang w:val="en-GB"/>
              </w:rPr>
              <w:t>Date:</w:t>
            </w:r>
          </w:p>
        </w:tc>
      </w:tr>
    </w:tbl>
    <w:p w:rsidR="004C38BC" w:rsidRPr="0092176A" w:rsidRDefault="004C38BC" w:rsidP="004C38BC">
      <w:pPr>
        <w:spacing w:line="276" w:lineRule="auto"/>
        <w:rPr>
          <w:b/>
          <w:sz w:val="28"/>
          <w:lang w:val="en-GB"/>
        </w:rPr>
        <w:sectPr w:rsidR="004C38BC" w:rsidRPr="0092176A" w:rsidSect="00FC2AF3">
          <w:headerReference w:type="even" r:id="rId9"/>
          <w:footerReference w:type="even" r:id="rId10"/>
          <w:pgSz w:w="11900" w:h="16840"/>
          <w:pgMar w:top="1417" w:right="1417" w:bottom="1134" w:left="1417" w:header="708" w:footer="708" w:gutter="0"/>
          <w:cols w:space="708"/>
          <w:docGrid w:linePitch="360"/>
        </w:sectPr>
      </w:pPr>
    </w:p>
    <w:p w:rsidR="00410478" w:rsidRPr="00410478" w:rsidRDefault="00410478" w:rsidP="00410478">
      <w:pPr>
        <w:spacing w:line="276" w:lineRule="auto"/>
        <w:jc w:val="left"/>
        <w:rPr>
          <w:b/>
          <w:sz w:val="28"/>
          <w:lang w:val="en-US"/>
        </w:rPr>
      </w:pPr>
      <w:r w:rsidRPr="00410478">
        <w:rPr>
          <w:b/>
          <w:sz w:val="28"/>
          <w:lang w:val="en-US"/>
        </w:rPr>
        <w:lastRenderedPageBreak/>
        <w:t xml:space="preserve">Are perceptions of the cosmos culturally conditioned? </w:t>
      </w:r>
    </w:p>
    <w:p w:rsidR="00F903FB" w:rsidRPr="00410478" w:rsidRDefault="00F903FB" w:rsidP="00F903FB">
      <w:pPr>
        <w:spacing w:line="276" w:lineRule="auto"/>
        <w:jc w:val="left"/>
        <w:rPr>
          <w:b/>
          <w:lang w:val="en-US"/>
        </w:rPr>
      </w:pPr>
    </w:p>
    <w:p w:rsidR="00C54992" w:rsidRPr="00F903FB" w:rsidRDefault="00C54992" w:rsidP="00F903FB">
      <w:pPr>
        <w:spacing w:line="276" w:lineRule="auto"/>
        <w:jc w:val="left"/>
        <w:rPr>
          <w:b/>
          <w:lang w:val="en-GB"/>
        </w:rPr>
      </w:pPr>
      <w:r w:rsidRPr="00F903FB">
        <w:rPr>
          <w:b/>
          <w:lang w:val="en-GB"/>
        </w:rPr>
        <w:t xml:space="preserve">Word </w:t>
      </w:r>
      <w:r w:rsidR="00F130E5" w:rsidRPr="00F903FB">
        <w:rPr>
          <w:b/>
          <w:lang w:val="en-GB"/>
        </w:rPr>
        <w:t xml:space="preserve">Count: </w:t>
      </w:r>
      <w:r w:rsidR="00564983">
        <w:rPr>
          <w:b/>
          <w:lang w:val="en-GB"/>
        </w:rPr>
        <w:t>345</w:t>
      </w:r>
      <w:r w:rsidR="00CE1F32">
        <w:rPr>
          <w:b/>
          <w:lang w:val="en-GB"/>
        </w:rPr>
        <w:t>9</w:t>
      </w:r>
    </w:p>
    <w:p w:rsidR="005D52DE" w:rsidRDefault="005D52DE" w:rsidP="00410478">
      <w:pPr>
        <w:spacing w:line="276" w:lineRule="auto"/>
        <w:divId w:val="889610246"/>
        <w:rPr>
          <w:lang w:val="en-GB"/>
        </w:rPr>
      </w:pPr>
    </w:p>
    <w:p w:rsidR="00364041" w:rsidRPr="003B144E" w:rsidRDefault="00C93CC9" w:rsidP="00410478">
      <w:pPr>
        <w:spacing w:line="276" w:lineRule="auto"/>
        <w:divId w:val="889610246"/>
        <w:rPr>
          <w:lang w:val="en-GB"/>
        </w:rPr>
      </w:pPr>
      <w:r>
        <w:rPr>
          <w:lang w:val="en-GB"/>
        </w:rPr>
        <w:t>This essay discusses the question, if</w:t>
      </w:r>
      <w:r w:rsidR="003D071A">
        <w:rPr>
          <w:lang w:val="en-GB"/>
        </w:rPr>
        <w:t xml:space="preserve"> and how</w:t>
      </w:r>
      <w:r>
        <w:rPr>
          <w:lang w:val="en-GB"/>
        </w:rPr>
        <w:t xml:space="preserve"> perceptions of the cosmos are culturally conditioned. To analyse this question properly, the terms ‘cosmos’ and ‘culture’ </w:t>
      </w:r>
      <w:r w:rsidR="004E48A4">
        <w:rPr>
          <w:lang w:val="en-GB"/>
        </w:rPr>
        <w:t xml:space="preserve">are defined </w:t>
      </w:r>
      <w:r w:rsidR="00B946CE">
        <w:rPr>
          <w:lang w:val="en-GB"/>
        </w:rPr>
        <w:t>because</w:t>
      </w:r>
      <w:r>
        <w:rPr>
          <w:lang w:val="en-GB"/>
        </w:rPr>
        <w:t xml:space="preserve"> both terms include a perceptive range of interpretations and meanings. When referring</w:t>
      </w:r>
      <w:r w:rsidR="004E48A4">
        <w:rPr>
          <w:lang w:val="en-GB"/>
        </w:rPr>
        <w:t xml:space="preserve"> in this essay</w:t>
      </w:r>
      <w:r>
        <w:rPr>
          <w:lang w:val="en-GB"/>
        </w:rPr>
        <w:t xml:space="preserve"> to the term ‘cosmos’</w:t>
      </w:r>
      <w:r w:rsidR="00B26625">
        <w:rPr>
          <w:lang w:val="en-GB"/>
        </w:rPr>
        <w:t>,</w:t>
      </w:r>
      <w:r>
        <w:rPr>
          <w:lang w:val="en-GB"/>
        </w:rPr>
        <w:t xml:space="preserve"> an anthropological definition is used</w:t>
      </w:r>
      <w:r w:rsidR="004E48A4">
        <w:rPr>
          <w:lang w:val="en-GB"/>
        </w:rPr>
        <w:t xml:space="preserve"> that defines it as the ways in people relate to the co</w:t>
      </w:r>
      <w:bookmarkStart w:id="6" w:name="_GoBack"/>
      <w:bookmarkEnd w:id="6"/>
      <w:r w:rsidR="004E48A4">
        <w:rPr>
          <w:lang w:val="en-GB"/>
        </w:rPr>
        <w:t>smos.</w:t>
      </w:r>
      <w:r w:rsidR="004E48A4">
        <w:rPr>
          <w:rStyle w:val="Funotenzeichen"/>
          <w:lang w:val="en-GB"/>
        </w:rPr>
        <w:footnoteReference w:id="1"/>
      </w:r>
      <w:r w:rsidR="004E48A4">
        <w:rPr>
          <w:lang w:val="en-GB"/>
        </w:rPr>
        <w:t xml:space="preserve"> Therefore, the </w:t>
      </w:r>
      <w:r w:rsidR="004E48A4">
        <w:rPr>
          <w:i/>
          <w:lang w:val="en-GB"/>
        </w:rPr>
        <w:t>point of view</w:t>
      </w:r>
      <w:r w:rsidR="004E48A4">
        <w:rPr>
          <w:lang w:val="en-GB"/>
        </w:rPr>
        <w:t xml:space="preserve"> of an individual (or a group / society / collective) is seen as a vital feature of the term</w:t>
      </w:r>
      <w:r w:rsidR="00DC6851">
        <w:rPr>
          <w:lang w:val="en-GB"/>
        </w:rPr>
        <w:t xml:space="preserve"> within this essay</w:t>
      </w:r>
      <w:r w:rsidR="004E48A4">
        <w:rPr>
          <w:lang w:val="en-GB"/>
        </w:rPr>
        <w:t>.</w:t>
      </w:r>
      <w:r w:rsidR="00DC6851">
        <w:rPr>
          <w:lang w:val="en-GB"/>
        </w:rPr>
        <w:t xml:space="preserve"> The term ‘culture’ </w:t>
      </w:r>
      <w:r w:rsidR="00252200">
        <w:rPr>
          <w:lang w:val="en-GB"/>
        </w:rPr>
        <w:t xml:space="preserve">will be used in the sense of a strong intertwinement of naturalism and idealism, blurring the </w:t>
      </w:r>
      <w:r w:rsidR="00417A6B">
        <w:rPr>
          <w:lang w:val="en-GB"/>
        </w:rPr>
        <w:t>(</w:t>
      </w:r>
      <w:r w:rsidR="00252200">
        <w:rPr>
          <w:lang w:val="en-GB"/>
        </w:rPr>
        <w:t>artificial</w:t>
      </w:r>
      <w:r w:rsidR="00417A6B">
        <w:rPr>
          <w:lang w:val="en-GB"/>
        </w:rPr>
        <w:t>)</w:t>
      </w:r>
      <w:r w:rsidR="00252200">
        <w:rPr>
          <w:lang w:val="en-GB"/>
        </w:rPr>
        <w:t xml:space="preserve"> demarcation of these two concepts. </w:t>
      </w:r>
      <w:r w:rsidR="00A0172E">
        <w:rPr>
          <w:lang w:val="en-GB"/>
        </w:rPr>
        <w:t>Eagleton provides evidence for</w:t>
      </w:r>
      <w:r w:rsidR="00252200">
        <w:rPr>
          <w:lang w:val="en-GB"/>
        </w:rPr>
        <w:t xml:space="preserve"> </w:t>
      </w:r>
      <w:r w:rsidR="001B0BA5">
        <w:rPr>
          <w:lang w:val="en-GB"/>
        </w:rPr>
        <w:t xml:space="preserve">the </w:t>
      </w:r>
      <w:r w:rsidR="00252200">
        <w:rPr>
          <w:lang w:val="en-GB"/>
        </w:rPr>
        <w:t xml:space="preserve">strong relationship between culture and nature due to the etymological </w:t>
      </w:r>
      <w:r w:rsidR="00252200" w:rsidRPr="00252200">
        <w:rPr>
          <w:lang w:val="en-GB"/>
        </w:rPr>
        <w:t xml:space="preserve">relationship between </w:t>
      </w:r>
      <w:r w:rsidR="00A0172E">
        <w:rPr>
          <w:lang w:val="en-GB"/>
        </w:rPr>
        <w:t>‘</w:t>
      </w:r>
      <w:r w:rsidR="00252200" w:rsidRPr="00252200">
        <w:rPr>
          <w:lang w:val="en-GB"/>
        </w:rPr>
        <w:t>culture</w:t>
      </w:r>
      <w:r w:rsidR="00A0172E">
        <w:rPr>
          <w:lang w:val="en-GB"/>
        </w:rPr>
        <w:t>’</w:t>
      </w:r>
      <w:r w:rsidR="00252200">
        <w:rPr>
          <w:lang w:val="en-GB"/>
        </w:rPr>
        <w:t xml:space="preserve"> and</w:t>
      </w:r>
      <w:r w:rsidR="00252200" w:rsidRPr="00252200">
        <w:rPr>
          <w:lang w:val="en-GB"/>
        </w:rPr>
        <w:t xml:space="preserve"> </w:t>
      </w:r>
      <w:r w:rsidR="00A0172E">
        <w:rPr>
          <w:lang w:val="en-GB"/>
        </w:rPr>
        <w:t>‘</w:t>
      </w:r>
      <w:r w:rsidR="00252200" w:rsidRPr="00252200">
        <w:rPr>
          <w:lang w:val="en-GB"/>
        </w:rPr>
        <w:t>agriculture</w:t>
      </w:r>
      <w:r w:rsidR="00A0172E">
        <w:rPr>
          <w:lang w:val="en-GB"/>
        </w:rPr>
        <w:t xml:space="preserve">’, explaining </w:t>
      </w:r>
      <w:r w:rsidR="00252200" w:rsidRPr="00252200">
        <w:rPr>
          <w:lang w:val="en-GB"/>
        </w:rPr>
        <w:t>that the word ‘culture’ derives from the word ‘coulter’, which means ‘blade of a ploughshare’.</w:t>
      </w:r>
      <w:r w:rsidR="00252200" w:rsidRPr="00252200">
        <w:rPr>
          <w:rStyle w:val="Funotenzeichen"/>
          <w:lang w:val="en-GB"/>
        </w:rPr>
        <w:footnoteReference w:id="2"/>
      </w:r>
      <w:r w:rsidR="00A0172E">
        <w:rPr>
          <w:lang w:val="en-GB"/>
        </w:rPr>
        <w:t xml:space="preserve"> </w:t>
      </w:r>
      <w:r w:rsidR="004B6533">
        <w:rPr>
          <w:lang w:val="en-GB"/>
        </w:rPr>
        <w:t>So, in this essay the word ‘culture’ is used as a term that defines what ‘</w:t>
      </w:r>
      <w:r w:rsidR="004B6533" w:rsidRPr="004B6533">
        <w:rPr>
          <w:lang w:val="en-GB"/>
        </w:rPr>
        <w:t>we do to the world and what it does to us</w:t>
      </w:r>
      <w:r w:rsidR="004B6533">
        <w:rPr>
          <w:lang w:val="en-GB"/>
        </w:rPr>
        <w:t>’.</w:t>
      </w:r>
      <w:r w:rsidR="00F46DA9">
        <w:rPr>
          <w:rStyle w:val="Funotenzeichen"/>
          <w:lang w:val="en-GB"/>
        </w:rPr>
        <w:footnoteReference w:id="3"/>
      </w:r>
      <w:r w:rsidR="001B0BA5">
        <w:rPr>
          <w:lang w:val="en-GB"/>
        </w:rPr>
        <w:t xml:space="preserve"> </w:t>
      </w:r>
      <w:r w:rsidR="003D071A">
        <w:rPr>
          <w:lang w:val="en-GB"/>
        </w:rPr>
        <w:t xml:space="preserve">Following these definitions, in the first part of the essay the various perceptions of the Sun’s and the Moon’s gender within and across cultures will be contrasted, showing the different ways of how people relate to the luminaries. In a second instance, the tropical </w:t>
      </w:r>
      <w:r w:rsidR="009F4B1D">
        <w:rPr>
          <w:lang w:val="en-GB"/>
        </w:rPr>
        <w:t>(</w:t>
      </w:r>
      <w:r w:rsidR="003D071A">
        <w:rPr>
          <w:lang w:val="en-GB"/>
        </w:rPr>
        <w:t>or solar</w:t>
      </w:r>
      <w:r w:rsidR="009F4B1D">
        <w:rPr>
          <w:lang w:val="en-GB"/>
        </w:rPr>
        <w:t>)</w:t>
      </w:r>
      <w:r w:rsidR="003D071A">
        <w:rPr>
          <w:lang w:val="en-GB"/>
        </w:rPr>
        <w:t xml:space="preserve"> zodiac of the Western culture</w:t>
      </w:r>
      <w:r w:rsidR="009F4B1D">
        <w:rPr>
          <w:lang w:val="en-GB"/>
        </w:rPr>
        <w:t xml:space="preserve"> and its linkage with seasonal changes</w:t>
      </w:r>
      <w:r w:rsidR="003D071A">
        <w:rPr>
          <w:lang w:val="en-GB"/>
        </w:rPr>
        <w:t xml:space="preserve"> is analysed</w:t>
      </w:r>
      <w:r w:rsidR="009F4B1D">
        <w:rPr>
          <w:lang w:val="en-GB"/>
        </w:rPr>
        <w:t xml:space="preserve"> critically in order to </w:t>
      </w:r>
      <w:r w:rsidR="00B26625">
        <w:rPr>
          <w:lang w:val="en-GB"/>
        </w:rPr>
        <w:t>reveal</w:t>
      </w:r>
      <w:r w:rsidR="009F4B1D">
        <w:rPr>
          <w:lang w:val="en-GB"/>
        </w:rPr>
        <w:t xml:space="preserve"> the importance of </w:t>
      </w:r>
      <w:r w:rsidR="009F4B1D" w:rsidRPr="00B26625">
        <w:rPr>
          <w:lang w:val="en-GB"/>
        </w:rPr>
        <w:t>locality</w:t>
      </w:r>
      <w:r w:rsidR="009F4B1D">
        <w:rPr>
          <w:lang w:val="en-GB"/>
        </w:rPr>
        <w:t xml:space="preserve"> when making sense out of the cosm</w:t>
      </w:r>
      <w:r w:rsidR="00205DF7">
        <w:rPr>
          <w:lang w:val="en-GB"/>
        </w:rPr>
        <w:t xml:space="preserve">os. </w:t>
      </w:r>
      <w:r w:rsidR="006673C4">
        <w:rPr>
          <w:lang w:val="en-GB"/>
        </w:rPr>
        <w:t xml:space="preserve">In the last section of this essay, different meanings and associations with the heliacal rising of the star Sirius are discussed, </w:t>
      </w:r>
      <w:r w:rsidR="00B26625">
        <w:rPr>
          <w:lang w:val="en-GB"/>
        </w:rPr>
        <w:t>underlining</w:t>
      </w:r>
      <w:r w:rsidR="006673C4">
        <w:rPr>
          <w:lang w:val="en-GB"/>
        </w:rPr>
        <w:t xml:space="preserve"> the intertwinement of the environment’s qualities and </w:t>
      </w:r>
      <w:r w:rsidR="00417A6B">
        <w:rPr>
          <w:lang w:val="en-GB"/>
        </w:rPr>
        <w:t>religious</w:t>
      </w:r>
      <w:r w:rsidR="006673C4">
        <w:rPr>
          <w:lang w:val="en-GB"/>
        </w:rPr>
        <w:t xml:space="preserve"> practices. </w:t>
      </w:r>
      <w:r w:rsidR="00977631">
        <w:rPr>
          <w:lang w:val="en-GB"/>
        </w:rPr>
        <w:t xml:space="preserve">In the final conclusion, </w:t>
      </w:r>
      <w:r w:rsidR="003B144E">
        <w:rPr>
          <w:lang w:val="en-GB"/>
        </w:rPr>
        <w:t>a</w:t>
      </w:r>
      <w:r w:rsidR="00977631">
        <w:rPr>
          <w:lang w:val="en-GB"/>
        </w:rPr>
        <w:t xml:space="preserve"> </w:t>
      </w:r>
      <w:r w:rsidR="00FB6D4B">
        <w:rPr>
          <w:lang w:val="en-GB"/>
        </w:rPr>
        <w:t>comparison</w:t>
      </w:r>
      <w:r w:rsidR="00977631">
        <w:rPr>
          <w:lang w:val="en-GB"/>
        </w:rPr>
        <w:t xml:space="preserve"> of the</w:t>
      </w:r>
      <w:r w:rsidR="00FB6D4B">
        <w:rPr>
          <w:lang w:val="en-GB"/>
        </w:rPr>
        <w:t xml:space="preserve"> three analysed examples </w:t>
      </w:r>
      <w:r w:rsidR="002C33A6">
        <w:rPr>
          <w:lang w:val="en-GB"/>
        </w:rPr>
        <w:t>will be</w:t>
      </w:r>
      <w:r w:rsidR="003B144E">
        <w:rPr>
          <w:lang w:val="en-GB"/>
        </w:rPr>
        <w:t xml:space="preserve"> used to foster the thesis</w:t>
      </w:r>
      <w:r w:rsidR="00B26625">
        <w:rPr>
          <w:lang w:val="en-GB"/>
        </w:rPr>
        <w:t xml:space="preserve"> </w:t>
      </w:r>
      <w:r w:rsidR="003B144E">
        <w:rPr>
          <w:lang w:val="en-GB"/>
        </w:rPr>
        <w:t>that culture defines the way of how the cosmos is perceived</w:t>
      </w:r>
      <w:r w:rsidR="00B26625">
        <w:rPr>
          <w:lang w:val="en-GB"/>
        </w:rPr>
        <w:t xml:space="preserve"> and to disclose </w:t>
      </w:r>
      <w:r w:rsidR="003B144E">
        <w:rPr>
          <w:lang w:val="en-GB"/>
        </w:rPr>
        <w:t xml:space="preserve">the </w:t>
      </w:r>
      <w:r w:rsidR="009C2959">
        <w:rPr>
          <w:lang w:val="en-GB"/>
        </w:rPr>
        <w:t xml:space="preserve">epistemological </w:t>
      </w:r>
      <w:r w:rsidR="00652A51">
        <w:rPr>
          <w:lang w:val="en-GB"/>
        </w:rPr>
        <w:t>relevance</w:t>
      </w:r>
      <w:r w:rsidR="003B144E">
        <w:rPr>
          <w:lang w:val="en-GB"/>
        </w:rPr>
        <w:t xml:space="preserve"> of </w:t>
      </w:r>
      <w:r w:rsidR="003B144E">
        <w:rPr>
          <w:i/>
          <w:lang w:val="en-GB"/>
        </w:rPr>
        <w:t>locality</w:t>
      </w:r>
      <w:r w:rsidR="003072E4">
        <w:rPr>
          <w:lang w:val="en-GB"/>
        </w:rPr>
        <w:t xml:space="preserve"> within an anthropological understanding of the cosmos</w:t>
      </w:r>
      <w:r w:rsidR="003B144E">
        <w:rPr>
          <w:lang w:val="en-GB"/>
        </w:rPr>
        <w:t xml:space="preserve">. </w:t>
      </w:r>
    </w:p>
    <w:p w:rsidR="00410478" w:rsidRDefault="001525E2" w:rsidP="003B144E">
      <w:pPr>
        <w:spacing w:line="276" w:lineRule="auto"/>
        <w:ind w:firstLine="708"/>
        <w:divId w:val="889610246"/>
        <w:rPr>
          <w:lang w:val="en-GB"/>
        </w:rPr>
      </w:pPr>
      <w:r>
        <w:rPr>
          <w:lang w:val="en-GB"/>
        </w:rPr>
        <w:t>When examining varying perceptions of the cosmos within and across different cultures,</w:t>
      </w:r>
      <w:r w:rsidR="006D04B4">
        <w:rPr>
          <w:lang w:val="en-GB"/>
        </w:rPr>
        <w:t xml:space="preserve"> the </w:t>
      </w:r>
      <w:r w:rsidR="005529EF">
        <w:rPr>
          <w:lang w:val="en-GB"/>
        </w:rPr>
        <w:t>S</w:t>
      </w:r>
      <w:r w:rsidR="006D04B4">
        <w:rPr>
          <w:lang w:val="en-GB"/>
        </w:rPr>
        <w:t xml:space="preserve">un and the </w:t>
      </w:r>
      <w:r w:rsidR="005529EF">
        <w:rPr>
          <w:lang w:val="en-GB"/>
        </w:rPr>
        <w:t>M</w:t>
      </w:r>
      <w:r w:rsidR="006D04B4">
        <w:rPr>
          <w:lang w:val="en-GB"/>
        </w:rPr>
        <w:t xml:space="preserve">oon </w:t>
      </w:r>
      <w:r>
        <w:rPr>
          <w:lang w:val="en-GB"/>
        </w:rPr>
        <w:t>as two</w:t>
      </w:r>
      <w:r w:rsidR="006D04B4">
        <w:rPr>
          <w:lang w:val="en-GB"/>
        </w:rPr>
        <w:t xml:space="preserve"> of the most prominent and influential celestial objects</w:t>
      </w:r>
      <w:r>
        <w:rPr>
          <w:lang w:val="en-GB"/>
        </w:rPr>
        <w:t xml:space="preserve"> provide a good basis for comparing and contrasting </w:t>
      </w:r>
      <w:r w:rsidR="004F7E4A">
        <w:rPr>
          <w:lang w:val="en-GB"/>
        </w:rPr>
        <w:t>the variant</w:t>
      </w:r>
      <w:r>
        <w:rPr>
          <w:lang w:val="en-GB"/>
        </w:rPr>
        <w:t xml:space="preserve"> interpretations of their meaning</w:t>
      </w:r>
      <w:r w:rsidR="006D04B4">
        <w:rPr>
          <w:lang w:val="en-GB"/>
        </w:rPr>
        <w:t xml:space="preserve">. </w:t>
      </w:r>
      <w:r w:rsidR="004F7E4A">
        <w:rPr>
          <w:lang w:val="en-GB"/>
        </w:rPr>
        <w:t>This it n</w:t>
      </w:r>
      <w:r w:rsidR="006D04B4">
        <w:rPr>
          <w:lang w:val="en-GB"/>
        </w:rPr>
        <w:t xml:space="preserve">ot only </w:t>
      </w:r>
      <w:r w:rsidR="004F7E4A">
        <w:rPr>
          <w:lang w:val="en-GB"/>
        </w:rPr>
        <w:t>because of</w:t>
      </w:r>
      <w:r w:rsidR="006D04B4">
        <w:rPr>
          <w:lang w:val="en-GB"/>
        </w:rPr>
        <w:t xml:space="preserve"> their importance for making calendars but also </w:t>
      </w:r>
      <w:r w:rsidR="004F7E4A">
        <w:rPr>
          <w:lang w:val="en-GB"/>
        </w:rPr>
        <w:t>for</w:t>
      </w:r>
      <w:r w:rsidR="006D04B4">
        <w:rPr>
          <w:lang w:val="en-GB"/>
        </w:rPr>
        <w:t xml:space="preserve"> their </w:t>
      </w:r>
      <w:r w:rsidR="009F6E8A">
        <w:rPr>
          <w:lang w:val="en-GB"/>
        </w:rPr>
        <w:t xml:space="preserve">obvious </w:t>
      </w:r>
      <w:r w:rsidR="006D04B4">
        <w:rPr>
          <w:lang w:val="en-GB"/>
        </w:rPr>
        <w:t>influence on vegetation, climate and the tides.</w:t>
      </w:r>
      <w:r w:rsidR="006D04B4">
        <w:rPr>
          <w:rStyle w:val="Funotenzeichen"/>
          <w:lang w:val="en-GB"/>
        </w:rPr>
        <w:footnoteReference w:id="4"/>
      </w:r>
      <w:r w:rsidR="006D04B4">
        <w:rPr>
          <w:lang w:val="en-GB"/>
        </w:rPr>
        <w:t xml:space="preserve"> </w:t>
      </w:r>
      <w:r w:rsidR="008F6609">
        <w:rPr>
          <w:lang w:val="en-GB"/>
        </w:rPr>
        <w:t xml:space="preserve">However, cultures differ in ascribing the male or female gender to the </w:t>
      </w:r>
      <w:r w:rsidR="004F7E4A">
        <w:rPr>
          <w:lang w:val="en-GB"/>
        </w:rPr>
        <w:t>S</w:t>
      </w:r>
      <w:r w:rsidR="008F6609">
        <w:rPr>
          <w:lang w:val="en-GB"/>
        </w:rPr>
        <w:t xml:space="preserve">un and the </w:t>
      </w:r>
      <w:r w:rsidR="004F7E4A">
        <w:rPr>
          <w:lang w:val="en-GB"/>
        </w:rPr>
        <w:t>M</w:t>
      </w:r>
      <w:r w:rsidR="008F6609">
        <w:rPr>
          <w:lang w:val="en-GB"/>
        </w:rPr>
        <w:t>oo</w:t>
      </w:r>
      <w:r w:rsidR="0020702D">
        <w:rPr>
          <w:lang w:val="en-GB"/>
        </w:rPr>
        <w:t xml:space="preserve"> and </w:t>
      </w:r>
      <w:r w:rsidR="00272E27">
        <w:rPr>
          <w:lang w:val="en-GB"/>
        </w:rPr>
        <w:t xml:space="preserve">there can be evidence drawn from different sources, that the </w:t>
      </w:r>
      <w:r w:rsidR="004F7E4A">
        <w:rPr>
          <w:lang w:val="en-GB"/>
        </w:rPr>
        <w:t>S</w:t>
      </w:r>
      <w:r w:rsidR="00272E27">
        <w:rPr>
          <w:lang w:val="en-GB"/>
        </w:rPr>
        <w:t xml:space="preserve">un has not to be male or the </w:t>
      </w:r>
      <w:r w:rsidR="00B0115B">
        <w:rPr>
          <w:lang w:val="en-GB"/>
        </w:rPr>
        <w:t>Moon</w:t>
      </w:r>
      <w:r w:rsidR="00272E27">
        <w:rPr>
          <w:lang w:val="en-GB"/>
        </w:rPr>
        <w:t xml:space="preserve"> to be female </w:t>
      </w:r>
      <w:r w:rsidR="004F7E4A">
        <w:rPr>
          <w:lang w:val="en-GB"/>
        </w:rPr>
        <w:t>according to</w:t>
      </w:r>
      <w:r w:rsidR="00272E27">
        <w:rPr>
          <w:lang w:val="en-GB"/>
        </w:rPr>
        <w:t xml:space="preserve"> their very </w:t>
      </w:r>
      <w:r w:rsidR="004F7E4A">
        <w:rPr>
          <w:lang w:val="en-GB"/>
        </w:rPr>
        <w:t>‘na</w:t>
      </w:r>
      <w:r w:rsidR="00272E27">
        <w:rPr>
          <w:lang w:val="en-GB"/>
        </w:rPr>
        <w:t>ture</w:t>
      </w:r>
      <w:r w:rsidR="004F7E4A">
        <w:rPr>
          <w:lang w:val="en-GB"/>
        </w:rPr>
        <w:t>’</w:t>
      </w:r>
      <w:r w:rsidR="00272E27">
        <w:rPr>
          <w:lang w:val="en-GB"/>
        </w:rPr>
        <w:t xml:space="preserve">. For example, Campion outlines that in the Sumerian culture of the late third millennium </w:t>
      </w:r>
      <w:r w:rsidR="004F7E4A">
        <w:rPr>
          <w:lang w:val="en-GB"/>
        </w:rPr>
        <w:t xml:space="preserve">B.C. </w:t>
      </w:r>
      <w:r w:rsidR="00272E27">
        <w:rPr>
          <w:lang w:val="en-GB"/>
        </w:rPr>
        <w:t xml:space="preserve">the </w:t>
      </w:r>
      <w:r w:rsidR="004F7E4A">
        <w:rPr>
          <w:lang w:val="en-GB"/>
        </w:rPr>
        <w:t>M</w:t>
      </w:r>
      <w:r w:rsidR="00272E27">
        <w:rPr>
          <w:lang w:val="en-GB"/>
        </w:rPr>
        <w:t xml:space="preserve">oon was associated with </w:t>
      </w:r>
      <w:r w:rsidR="0001310E">
        <w:rPr>
          <w:lang w:val="en-GB"/>
        </w:rPr>
        <w:t>Nanna, a male god, whose festivals were celebrated on the 1</w:t>
      </w:r>
      <w:r w:rsidR="0001310E" w:rsidRPr="0001310E">
        <w:rPr>
          <w:vertAlign w:val="superscript"/>
          <w:lang w:val="en-GB"/>
        </w:rPr>
        <w:t>st</w:t>
      </w:r>
      <w:r w:rsidR="0001310E">
        <w:rPr>
          <w:lang w:val="en-GB"/>
        </w:rPr>
        <w:t>, 7</w:t>
      </w:r>
      <w:r w:rsidR="0001310E" w:rsidRPr="0001310E">
        <w:rPr>
          <w:vertAlign w:val="superscript"/>
          <w:lang w:val="en-GB"/>
        </w:rPr>
        <w:t>th</w:t>
      </w:r>
      <w:r w:rsidR="0001310E">
        <w:rPr>
          <w:lang w:val="en-GB"/>
        </w:rPr>
        <w:t xml:space="preserve"> and 15</w:t>
      </w:r>
      <w:r w:rsidR="0001310E" w:rsidRPr="0001310E">
        <w:rPr>
          <w:vertAlign w:val="superscript"/>
          <w:lang w:val="en-GB"/>
        </w:rPr>
        <w:t>th</w:t>
      </w:r>
      <w:r w:rsidR="0001310E">
        <w:rPr>
          <w:vertAlign w:val="superscript"/>
          <w:lang w:val="en-GB"/>
        </w:rPr>
        <w:t xml:space="preserve"> </w:t>
      </w:r>
      <w:r w:rsidR="0001310E">
        <w:rPr>
          <w:lang w:val="en-GB"/>
        </w:rPr>
        <w:t>of the lunar cycle.</w:t>
      </w:r>
      <w:r w:rsidR="0001310E">
        <w:rPr>
          <w:rStyle w:val="Funotenzeichen"/>
          <w:lang w:val="en-GB"/>
        </w:rPr>
        <w:footnoteReference w:id="5"/>
      </w:r>
      <w:r w:rsidR="0001310E">
        <w:rPr>
          <w:lang w:val="en-GB"/>
        </w:rPr>
        <w:t xml:space="preserve"> A further example of the association with the</w:t>
      </w:r>
      <w:r w:rsidR="004F7E4A">
        <w:rPr>
          <w:lang w:val="en-GB"/>
        </w:rPr>
        <w:t xml:space="preserve"> M</w:t>
      </w:r>
      <w:r w:rsidR="0001310E">
        <w:rPr>
          <w:lang w:val="en-GB"/>
        </w:rPr>
        <w:t xml:space="preserve">oon and the male gender </w:t>
      </w:r>
      <w:r w:rsidR="004F7E4A">
        <w:rPr>
          <w:lang w:val="en-GB"/>
        </w:rPr>
        <w:t>provides</w:t>
      </w:r>
      <w:r w:rsidR="0001310E">
        <w:rPr>
          <w:lang w:val="en-GB"/>
        </w:rPr>
        <w:t xml:space="preserve"> </w:t>
      </w:r>
      <w:r w:rsidR="0086165B">
        <w:rPr>
          <w:lang w:val="en-GB"/>
        </w:rPr>
        <w:t>Cashford</w:t>
      </w:r>
      <w:r w:rsidR="0001310E">
        <w:rPr>
          <w:lang w:val="en-GB"/>
        </w:rPr>
        <w:t xml:space="preserve"> </w:t>
      </w:r>
      <w:r w:rsidR="0086165B">
        <w:rPr>
          <w:lang w:val="en-GB"/>
        </w:rPr>
        <w:t>referring to</w:t>
      </w:r>
      <w:r w:rsidR="005B42C5">
        <w:rPr>
          <w:lang w:val="en-GB"/>
        </w:rPr>
        <w:t xml:space="preserve"> Vedic</w:t>
      </w:r>
      <w:r w:rsidR="0086165B">
        <w:rPr>
          <w:lang w:val="en-GB"/>
        </w:rPr>
        <w:t xml:space="preserve"> Indian culture, in which </w:t>
      </w:r>
      <w:r w:rsidR="0086165B">
        <w:rPr>
          <w:i/>
          <w:lang w:val="en-GB"/>
        </w:rPr>
        <w:t>Soma</w:t>
      </w:r>
      <w:r w:rsidR="0086165B">
        <w:rPr>
          <w:lang w:val="en-GB"/>
        </w:rPr>
        <w:t xml:space="preserve"> represents the god of the </w:t>
      </w:r>
      <w:r w:rsidR="004F7E4A">
        <w:rPr>
          <w:lang w:val="en-GB"/>
        </w:rPr>
        <w:t>M</w:t>
      </w:r>
      <w:r w:rsidR="0086165B">
        <w:rPr>
          <w:lang w:val="en-GB"/>
        </w:rPr>
        <w:t>oon</w:t>
      </w:r>
      <w:r w:rsidR="001D0CB4">
        <w:rPr>
          <w:lang w:val="en-GB"/>
        </w:rPr>
        <w:t xml:space="preserve"> </w:t>
      </w:r>
      <w:r w:rsidR="0086165B">
        <w:rPr>
          <w:lang w:val="en-GB"/>
        </w:rPr>
        <w:lastRenderedPageBreak/>
        <w:t>and the ambrosial nectar of immortality.</w:t>
      </w:r>
      <w:r w:rsidR="0086165B">
        <w:rPr>
          <w:rStyle w:val="Funotenzeichen"/>
          <w:lang w:val="en-GB"/>
        </w:rPr>
        <w:footnoteReference w:id="6"/>
      </w:r>
      <w:r w:rsidR="005B42C5">
        <w:rPr>
          <w:lang w:val="en-GB"/>
        </w:rPr>
        <w:t xml:space="preserve"> This nectar builds the foundations of creation, for it is seen as the food of the gods, the rain from heaven, the water in streams, the sap in plants, the milk in the cattle and the semen in men.</w:t>
      </w:r>
      <w:r w:rsidR="005B42C5">
        <w:rPr>
          <w:rStyle w:val="Funotenzeichen"/>
          <w:lang w:val="en-GB"/>
        </w:rPr>
        <w:footnoteReference w:id="7"/>
      </w:r>
      <w:r w:rsidR="005B42C5">
        <w:rPr>
          <w:lang w:val="en-GB"/>
        </w:rPr>
        <w:t xml:space="preserve"> Especially the linkage between the </w:t>
      </w:r>
      <w:r w:rsidR="004F7E4A">
        <w:rPr>
          <w:lang w:val="en-GB"/>
        </w:rPr>
        <w:t>M</w:t>
      </w:r>
      <w:r w:rsidR="005B42C5">
        <w:rPr>
          <w:lang w:val="en-GB"/>
        </w:rPr>
        <w:t>oon, the ambrosial nectar and</w:t>
      </w:r>
      <w:r w:rsidR="000471D9">
        <w:rPr>
          <w:lang w:val="en-GB"/>
        </w:rPr>
        <w:t xml:space="preserve"> </w:t>
      </w:r>
      <w:r w:rsidR="005B42C5">
        <w:rPr>
          <w:lang w:val="en-GB"/>
        </w:rPr>
        <w:t>the semen of men</w:t>
      </w:r>
      <w:r w:rsidR="00985F75">
        <w:rPr>
          <w:lang w:val="en-GB"/>
        </w:rPr>
        <w:t xml:space="preserve"> in Vedic Indian culture</w:t>
      </w:r>
      <w:r w:rsidR="005B42C5">
        <w:rPr>
          <w:lang w:val="en-GB"/>
        </w:rPr>
        <w:t xml:space="preserve"> builds a crucial evidence </w:t>
      </w:r>
      <w:r w:rsidR="00985F75">
        <w:rPr>
          <w:lang w:val="en-GB"/>
        </w:rPr>
        <w:t>of</w:t>
      </w:r>
      <w:r w:rsidR="000471D9">
        <w:rPr>
          <w:lang w:val="en-GB"/>
        </w:rPr>
        <w:t xml:space="preserve"> the cultural influence on the </w:t>
      </w:r>
      <w:r w:rsidR="00B0115B">
        <w:rPr>
          <w:lang w:val="en-GB"/>
        </w:rPr>
        <w:t>Moon</w:t>
      </w:r>
      <w:r w:rsidR="000471D9">
        <w:rPr>
          <w:lang w:val="en-GB"/>
        </w:rPr>
        <w:t xml:space="preserve">’s gender when comparing this interpretation with </w:t>
      </w:r>
      <w:r w:rsidR="00E5305D">
        <w:rPr>
          <w:lang w:val="en-GB"/>
        </w:rPr>
        <w:t xml:space="preserve">the Western </w:t>
      </w:r>
      <w:r w:rsidR="000471D9">
        <w:rPr>
          <w:lang w:val="en-GB"/>
        </w:rPr>
        <w:t>Ptolemy</w:t>
      </w:r>
      <w:r w:rsidR="004F7E4A">
        <w:rPr>
          <w:lang w:val="en-GB"/>
        </w:rPr>
        <w:t>, who lived in the 2</w:t>
      </w:r>
      <w:r w:rsidR="004F7E4A" w:rsidRPr="004F7E4A">
        <w:rPr>
          <w:vertAlign w:val="superscript"/>
          <w:lang w:val="en-GB"/>
        </w:rPr>
        <w:t>nd</w:t>
      </w:r>
      <w:r w:rsidR="004F7E4A">
        <w:rPr>
          <w:lang w:val="en-GB"/>
        </w:rPr>
        <w:t xml:space="preserve"> century </w:t>
      </w:r>
      <w:r w:rsidR="00E5305D">
        <w:rPr>
          <w:lang w:val="en-GB"/>
        </w:rPr>
        <w:t xml:space="preserve">A.D. </w:t>
      </w:r>
      <w:r w:rsidR="004F7E4A">
        <w:rPr>
          <w:lang w:val="en-GB"/>
        </w:rPr>
        <w:t>Alexandria</w:t>
      </w:r>
      <w:r w:rsidR="000471D9">
        <w:rPr>
          <w:lang w:val="en-GB"/>
        </w:rPr>
        <w:t xml:space="preserve">. In his </w:t>
      </w:r>
      <w:r w:rsidR="000471D9">
        <w:rPr>
          <w:i/>
          <w:lang w:val="en-GB"/>
        </w:rPr>
        <w:t>Tetrabiblos</w:t>
      </w:r>
      <w:r w:rsidR="004F7E4A">
        <w:rPr>
          <w:lang w:val="en-GB"/>
        </w:rPr>
        <w:t xml:space="preserve"> </w:t>
      </w:r>
      <w:r w:rsidR="000471D9">
        <w:rPr>
          <w:lang w:val="en-GB"/>
        </w:rPr>
        <w:t xml:space="preserve">he </w:t>
      </w:r>
      <w:r w:rsidR="00285BD6">
        <w:rPr>
          <w:lang w:val="en-GB"/>
        </w:rPr>
        <w:t>explains</w:t>
      </w:r>
      <w:r w:rsidR="00985F75">
        <w:rPr>
          <w:lang w:val="en-GB"/>
        </w:rPr>
        <w:t>, that the power of moisturizing depends on the female nature, while the male one is the reason for heat.</w:t>
      </w:r>
      <w:r w:rsidR="00985F75">
        <w:rPr>
          <w:rStyle w:val="Funotenzeichen"/>
          <w:lang w:val="en-GB"/>
        </w:rPr>
        <w:footnoteReference w:id="8"/>
      </w:r>
      <w:r w:rsidR="00985F75">
        <w:rPr>
          <w:lang w:val="en-GB"/>
        </w:rPr>
        <w:t xml:space="preserve"> This comparison shows, that the </w:t>
      </w:r>
      <w:r w:rsidR="00E5305D">
        <w:rPr>
          <w:lang w:val="en-GB"/>
        </w:rPr>
        <w:t>M</w:t>
      </w:r>
      <w:r w:rsidR="00985F75">
        <w:rPr>
          <w:lang w:val="en-GB"/>
        </w:rPr>
        <w:t xml:space="preserve">oon itself can be associated with water and moisture across different cultures while at the same time </w:t>
      </w:r>
      <w:r w:rsidR="000631EC">
        <w:rPr>
          <w:lang w:val="en-GB"/>
        </w:rPr>
        <w:t>this</w:t>
      </w:r>
      <w:r w:rsidR="00985F75">
        <w:rPr>
          <w:lang w:val="en-GB"/>
        </w:rPr>
        <w:t xml:space="preserve"> is not necessarily </w:t>
      </w:r>
      <w:r w:rsidR="000631EC">
        <w:rPr>
          <w:lang w:val="en-GB"/>
        </w:rPr>
        <w:t xml:space="preserve">an indicator for </w:t>
      </w:r>
      <w:r w:rsidR="00985F75">
        <w:rPr>
          <w:lang w:val="en-GB"/>
        </w:rPr>
        <w:t xml:space="preserve">the </w:t>
      </w:r>
      <w:r w:rsidR="00E5305D">
        <w:rPr>
          <w:lang w:val="en-GB"/>
        </w:rPr>
        <w:t xml:space="preserve">Moon’s </w:t>
      </w:r>
      <w:r w:rsidR="004F7E4A">
        <w:rPr>
          <w:lang w:val="en-GB"/>
        </w:rPr>
        <w:t>connection</w:t>
      </w:r>
      <w:r w:rsidR="000631EC">
        <w:rPr>
          <w:lang w:val="en-GB"/>
        </w:rPr>
        <w:t xml:space="preserve"> with</w:t>
      </w:r>
      <w:r w:rsidR="00285BD6">
        <w:rPr>
          <w:lang w:val="en-GB"/>
        </w:rPr>
        <w:t xml:space="preserve"> </w:t>
      </w:r>
      <w:r w:rsidR="000631EC">
        <w:rPr>
          <w:lang w:val="en-GB"/>
        </w:rPr>
        <w:t xml:space="preserve">the </w:t>
      </w:r>
      <w:r w:rsidR="00985F75">
        <w:rPr>
          <w:lang w:val="en-GB"/>
        </w:rPr>
        <w:t>female gender</w:t>
      </w:r>
      <w:r w:rsidR="000631EC">
        <w:rPr>
          <w:lang w:val="en-GB"/>
        </w:rPr>
        <w:t xml:space="preserve">. </w:t>
      </w:r>
      <w:r w:rsidR="00222DCE">
        <w:rPr>
          <w:lang w:val="en-GB"/>
        </w:rPr>
        <w:t>To understand more deeply</w:t>
      </w:r>
      <w:r w:rsidR="004F7E4A">
        <w:rPr>
          <w:lang w:val="en-GB"/>
        </w:rPr>
        <w:t xml:space="preserve"> </w:t>
      </w:r>
      <w:r w:rsidR="00222DCE">
        <w:rPr>
          <w:lang w:val="en-GB"/>
        </w:rPr>
        <w:t xml:space="preserve">why Ptolemy interprets moisture as </w:t>
      </w:r>
      <w:r w:rsidR="004F7E4A">
        <w:rPr>
          <w:lang w:val="en-GB"/>
        </w:rPr>
        <w:t xml:space="preserve">a </w:t>
      </w:r>
      <w:r w:rsidR="00222DCE">
        <w:rPr>
          <w:lang w:val="en-GB"/>
        </w:rPr>
        <w:t xml:space="preserve">female and heat as </w:t>
      </w:r>
      <w:r w:rsidR="009F6E8A">
        <w:rPr>
          <w:lang w:val="en-GB"/>
        </w:rPr>
        <w:t xml:space="preserve">a </w:t>
      </w:r>
      <w:r w:rsidR="00222DCE">
        <w:rPr>
          <w:lang w:val="en-GB"/>
        </w:rPr>
        <w:t>male feature</w:t>
      </w:r>
      <w:r w:rsidR="00285BD6">
        <w:rPr>
          <w:lang w:val="en-GB"/>
        </w:rPr>
        <w:t xml:space="preserve"> without providing further reason</w:t>
      </w:r>
      <w:r w:rsidR="00222DCE">
        <w:rPr>
          <w:lang w:val="en-GB"/>
        </w:rPr>
        <w:t xml:space="preserve">, one has to </w:t>
      </w:r>
      <w:r w:rsidR="009F6E8A">
        <w:rPr>
          <w:lang w:val="en-GB"/>
        </w:rPr>
        <w:t>consider</w:t>
      </w:r>
      <w:r w:rsidR="00222DCE">
        <w:rPr>
          <w:lang w:val="en-GB"/>
        </w:rPr>
        <w:t xml:space="preserve"> the </w:t>
      </w:r>
      <w:r w:rsidR="00285BD6">
        <w:rPr>
          <w:lang w:val="en-GB"/>
        </w:rPr>
        <w:t xml:space="preserve">historical and </w:t>
      </w:r>
      <w:r w:rsidR="00222DCE">
        <w:rPr>
          <w:lang w:val="en-GB"/>
        </w:rPr>
        <w:t xml:space="preserve">cultural roots of his astrological assumptions. </w:t>
      </w:r>
      <w:r w:rsidR="00B73ACC">
        <w:rPr>
          <w:lang w:val="en-GB"/>
        </w:rPr>
        <w:t>When looking at the mythology of ancient Greek</w:t>
      </w:r>
      <w:r w:rsidR="004F7E4A">
        <w:rPr>
          <w:lang w:val="en-GB"/>
        </w:rPr>
        <w:t>,</w:t>
      </w:r>
      <w:r w:rsidR="00B73ACC">
        <w:rPr>
          <w:lang w:val="en-GB"/>
        </w:rPr>
        <w:t xml:space="preserve"> the </w:t>
      </w:r>
      <w:r w:rsidR="004F7E4A">
        <w:rPr>
          <w:lang w:val="en-GB"/>
        </w:rPr>
        <w:t>S</w:t>
      </w:r>
      <w:r w:rsidR="00B73ACC">
        <w:rPr>
          <w:lang w:val="en-GB"/>
        </w:rPr>
        <w:t xml:space="preserve">un is linked with the </w:t>
      </w:r>
      <w:r w:rsidR="00285BD6">
        <w:rPr>
          <w:lang w:val="en-GB"/>
        </w:rPr>
        <w:t>g</w:t>
      </w:r>
      <w:r w:rsidR="00B73ACC">
        <w:rPr>
          <w:lang w:val="en-GB"/>
        </w:rPr>
        <w:t xml:space="preserve">od Apollo who is driving his chariot </w:t>
      </w:r>
      <w:r w:rsidR="00285BD6">
        <w:rPr>
          <w:lang w:val="en-GB"/>
        </w:rPr>
        <w:t>across</w:t>
      </w:r>
      <w:r w:rsidR="00B73ACC">
        <w:rPr>
          <w:lang w:val="en-GB"/>
        </w:rPr>
        <w:t xml:space="preserve"> the celestial sphere.</w:t>
      </w:r>
      <w:r w:rsidR="00B73ACC">
        <w:rPr>
          <w:rStyle w:val="Funotenzeichen"/>
          <w:lang w:val="en-GB"/>
        </w:rPr>
        <w:footnoteReference w:id="9"/>
      </w:r>
      <w:r w:rsidR="00B73ACC">
        <w:rPr>
          <w:lang w:val="en-GB"/>
        </w:rPr>
        <w:t xml:space="preserve"> </w:t>
      </w:r>
      <w:r w:rsidR="00E869EC">
        <w:rPr>
          <w:lang w:val="en-GB"/>
        </w:rPr>
        <w:t>D</w:t>
      </w:r>
      <w:r w:rsidR="00B73ACC">
        <w:rPr>
          <w:lang w:val="en-GB"/>
        </w:rPr>
        <w:t xml:space="preserve">iscussing the connection between the solstices, Apollo and Helios, Bilic </w:t>
      </w:r>
      <w:r w:rsidR="00EA063C">
        <w:rPr>
          <w:lang w:val="en-GB"/>
        </w:rPr>
        <w:t>outlines</w:t>
      </w:r>
      <w:r w:rsidR="00B73ACC">
        <w:rPr>
          <w:lang w:val="en-GB"/>
        </w:rPr>
        <w:t xml:space="preserve"> evidence </w:t>
      </w:r>
      <w:r w:rsidR="004F7E4A">
        <w:rPr>
          <w:lang w:val="en-GB"/>
        </w:rPr>
        <w:t>by referring to</w:t>
      </w:r>
      <w:r w:rsidR="00B73ACC">
        <w:rPr>
          <w:lang w:val="en-GB"/>
        </w:rPr>
        <w:t xml:space="preserve"> Plato </w:t>
      </w:r>
      <w:r w:rsidR="00E869EC">
        <w:rPr>
          <w:lang w:val="en-GB"/>
        </w:rPr>
        <w:t xml:space="preserve">mentioning the solstices and linking them with Apollo and Helios, associating both </w:t>
      </w:r>
      <w:r w:rsidR="00285BD6">
        <w:rPr>
          <w:lang w:val="en-GB"/>
        </w:rPr>
        <w:t xml:space="preserve">deities </w:t>
      </w:r>
      <w:r w:rsidR="00E869EC">
        <w:rPr>
          <w:lang w:val="en-GB"/>
        </w:rPr>
        <w:t xml:space="preserve">with the </w:t>
      </w:r>
      <w:r w:rsidR="004F7E4A">
        <w:rPr>
          <w:lang w:val="en-GB"/>
        </w:rPr>
        <w:t>S</w:t>
      </w:r>
      <w:r w:rsidR="00E869EC">
        <w:rPr>
          <w:lang w:val="en-GB"/>
        </w:rPr>
        <w:t>un.</w:t>
      </w:r>
      <w:r w:rsidR="00E869EC">
        <w:rPr>
          <w:rStyle w:val="Funotenzeichen"/>
          <w:lang w:val="en-GB"/>
        </w:rPr>
        <w:footnoteReference w:id="10"/>
      </w:r>
      <w:r w:rsidR="00E869EC">
        <w:rPr>
          <w:lang w:val="en-GB"/>
        </w:rPr>
        <w:t xml:space="preserve"> Plato himself lived in the 5</w:t>
      </w:r>
      <w:r w:rsidR="00E869EC" w:rsidRPr="00E869EC">
        <w:rPr>
          <w:vertAlign w:val="superscript"/>
          <w:lang w:val="en-GB"/>
        </w:rPr>
        <w:t>th</w:t>
      </w:r>
      <w:r w:rsidR="00E869EC">
        <w:rPr>
          <w:lang w:val="en-GB"/>
        </w:rPr>
        <w:t xml:space="preserve"> century B.C., more than five hundred years before the </w:t>
      </w:r>
      <w:r w:rsidR="00E869EC">
        <w:rPr>
          <w:i/>
          <w:lang w:val="en-GB"/>
        </w:rPr>
        <w:t>Tetrabiblos</w:t>
      </w:r>
      <w:r w:rsidR="00E869EC">
        <w:rPr>
          <w:lang w:val="en-GB"/>
        </w:rPr>
        <w:t xml:space="preserve"> was written by Ptolemy in the 2</w:t>
      </w:r>
      <w:r w:rsidR="00E869EC" w:rsidRPr="00E869EC">
        <w:rPr>
          <w:vertAlign w:val="superscript"/>
          <w:lang w:val="en-GB"/>
        </w:rPr>
        <w:t>nd</w:t>
      </w:r>
      <w:r w:rsidR="00E869EC">
        <w:rPr>
          <w:lang w:val="en-GB"/>
        </w:rPr>
        <w:t xml:space="preserve"> century A.</w:t>
      </w:r>
      <w:r w:rsidR="00955EC5">
        <w:rPr>
          <w:lang w:val="en-GB"/>
        </w:rPr>
        <w:t>D</w:t>
      </w:r>
      <w:r w:rsidR="00E869EC">
        <w:rPr>
          <w:lang w:val="en-GB"/>
        </w:rPr>
        <w:t xml:space="preserve">. </w:t>
      </w:r>
      <w:r w:rsidR="00EA063C">
        <w:rPr>
          <w:lang w:val="en-GB"/>
        </w:rPr>
        <w:t>According to Hoffmann, the worship of Helios</w:t>
      </w:r>
      <w:r w:rsidR="00285BD6">
        <w:rPr>
          <w:lang w:val="en-GB"/>
        </w:rPr>
        <w:t xml:space="preserve"> itself</w:t>
      </w:r>
      <w:r w:rsidR="00EA063C">
        <w:rPr>
          <w:lang w:val="en-GB"/>
        </w:rPr>
        <w:t xml:space="preserve"> was essentially a product of the Hellenistic age (beginning at the end of the 4</w:t>
      </w:r>
      <w:r w:rsidR="00EA063C" w:rsidRPr="00EA063C">
        <w:rPr>
          <w:vertAlign w:val="superscript"/>
          <w:lang w:val="en-GB"/>
        </w:rPr>
        <w:t>th</w:t>
      </w:r>
      <w:r w:rsidR="00EA063C">
        <w:rPr>
          <w:lang w:val="en-GB"/>
        </w:rPr>
        <w:t xml:space="preserve"> century</w:t>
      </w:r>
      <w:r w:rsidR="00E5305D">
        <w:rPr>
          <w:lang w:val="en-GB"/>
        </w:rPr>
        <w:t xml:space="preserve"> B.C.</w:t>
      </w:r>
      <w:r w:rsidR="00EA063C">
        <w:rPr>
          <w:lang w:val="en-GB"/>
        </w:rPr>
        <w:t xml:space="preserve">) and </w:t>
      </w:r>
      <w:r w:rsidR="00285BD6">
        <w:rPr>
          <w:lang w:val="en-GB"/>
        </w:rPr>
        <w:t xml:space="preserve">he </w:t>
      </w:r>
      <w:r w:rsidR="00EA063C">
        <w:rPr>
          <w:lang w:val="en-GB"/>
        </w:rPr>
        <w:t xml:space="preserve">was venerated in Hellenistic Egypt, where he was identified with the age-old Egyptian </w:t>
      </w:r>
      <w:r w:rsidR="00B0115B">
        <w:rPr>
          <w:lang w:val="en-GB"/>
        </w:rPr>
        <w:t>Sun</w:t>
      </w:r>
      <w:r w:rsidR="00EA063C">
        <w:rPr>
          <w:lang w:val="en-GB"/>
        </w:rPr>
        <w:t>-god.</w:t>
      </w:r>
      <w:r w:rsidR="00EA063C">
        <w:rPr>
          <w:rStyle w:val="Funotenzeichen"/>
          <w:lang w:val="en-GB"/>
        </w:rPr>
        <w:footnoteReference w:id="11"/>
      </w:r>
      <w:r w:rsidR="00EA063C">
        <w:rPr>
          <w:lang w:val="en-GB"/>
        </w:rPr>
        <w:t xml:space="preserve"> Taking these points into consideration, the connection between a male god</w:t>
      </w:r>
      <w:r w:rsidR="00285BD6">
        <w:rPr>
          <w:lang w:val="en-GB"/>
        </w:rPr>
        <w:t xml:space="preserve"> (Helios / Apollo)</w:t>
      </w:r>
      <w:r w:rsidR="00EA063C">
        <w:rPr>
          <w:lang w:val="en-GB"/>
        </w:rPr>
        <w:t xml:space="preserve"> and the </w:t>
      </w:r>
      <w:r w:rsidR="00E5305D">
        <w:rPr>
          <w:lang w:val="en-GB"/>
        </w:rPr>
        <w:t>S</w:t>
      </w:r>
      <w:r w:rsidR="00EA063C">
        <w:rPr>
          <w:lang w:val="en-GB"/>
        </w:rPr>
        <w:t xml:space="preserve">un </w:t>
      </w:r>
      <w:r w:rsidR="00285BD6">
        <w:rPr>
          <w:lang w:val="en-GB"/>
        </w:rPr>
        <w:t>was already mentioned</w:t>
      </w:r>
      <w:r w:rsidR="00EA063C">
        <w:rPr>
          <w:lang w:val="en-GB"/>
        </w:rPr>
        <w:t xml:space="preserve"> in 5</w:t>
      </w:r>
      <w:r w:rsidR="00EA063C" w:rsidRPr="00EA063C">
        <w:rPr>
          <w:vertAlign w:val="superscript"/>
          <w:lang w:val="en-GB"/>
        </w:rPr>
        <w:t>th</w:t>
      </w:r>
      <w:r w:rsidR="00EA063C">
        <w:rPr>
          <w:lang w:val="en-GB"/>
        </w:rPr>
        <w:t xml:space="preserve"> century B.C. </w:t>
      </w:r>
      <w:r w:rsidR="00285BD6">
        <w:rPr>
          <w:lang w:val="en-GB"/>
        </w:rPr>
        <w:t>by</w:t>
      </w:r>
      <w:r w:rsidR="00EA063C">
        <w:rPr>
          <w:lang w:val="en-GB"/>
        </w:rPr>
        <w:t xml:space="preserve"> Plato and </w:t>
      </w:r>
      <w:r w:rsidR="00285BD6">
        <w:rPr>
          <w:lang w:val="en-GB"/>
        </w:rPr>
        <w:t xml:space="preserve">continued </w:t>
      </w:r>
      <w:r w:rsidR="00E5305D">
        <w:rPr>
          <w:lang w:val="en-GB"/>
        </w:rPr>
        <w:t>within</w:t>
      </w:r>
      <w:r w:rsidR="00285BD6">
        <w:rPr>
          <w:lang w:val="en-GB"/>
        </w:rPr>
        <w:t xml:space="preserve"> the worship of Helios in </w:t>
      </w:r>
      <w:r w:rsidR="00E5305D">
        <w:rPr>
          <w:lang w:val="en-GB"/>
        </w:rPr>
        <w:t xml:space="preserve">the </w:t>
      </w:r>
      <w:r w:rsidR="00285BD6">
        <w:rPr>
          <w:lang w:val="en-GB"/>
        </w:rPr>
        <w:t>4</w:t>
      </w:r>
      <w:r w:rsidR="00285BD6" w:rsidRPr="00285BD6">
        <w:rPr>
          <w:vertAlign w:val="superscript"/>
          <w:lang w:val="en-GB"/>
        </w:rPr>
        <w:t>th</w:t>
      </w:r>
      <w:r w:rsidR="00285BD6">
        <w:rPr>
          <w:lang w:val="en-GB"/>
        </w:rPr>
        <w:t xml:space="preserve"> century</w:t>
      </w:r>
      <w:r w:rsidR="00E5305D">
        <w:rPr>
          <w:lang w:val="en-GB"/>
        </w:rPr>
        <w:t xml:space="preserve"> B.C.</w:t>
      </w:r>
      <w:r w:rsidR="00285BD6">
        <w:rPr>
          <w:lang w:val="en-GB"/>
        </w:rPr>
        <w:t xml:space="preserve"> Hellenism</w:t>
      </w:r>
      <w:r w:rsidR="00E5305D">
        <w:rPr>
          <w:lang w:val="en-GB"/>
        </w:rPr>
        <w:t xml:space="preserve">, providing the historical roots of Ptolemy’s </w:t>
      </w:r>
      <w:r w:rsidR="00B06D3F">
        <w:rPr>
          <w:lang w:val="en-GB"/>
        </w:rPr>
        <w:t xml:space="preserve">description </w:t>
      </w:r>
      <w:r w:rsidR="00C578FA">
        <w:rPr>
          <w:lang w:val="en-GB"/>
        </w:rPr>
        <w:t>o</w:t>
      </w:r>
      <w:r w:rsidR="00B06D3F">
        <w:rPr>
          <w:lang w:val="en-GB"/>
        </w:rPr>
        <w:t xml:space="preserve">f the Sun as </w:t>
      </w:r>
      <w:r w:rsidR="00C578FA">
        <w:rPr>
          <w:lang w:val="en-GB"/>
        </w:rPr>
        <w:t>male (and the Moon, as the second luminary, as female)</w:t>
      </w:r>
      <w:r w:rsidR="00E5305D">
        <w:rPr>
          <w:lang w:val="en-GB"/>
        </w:rPr>
        <w:t xml:space="preserve">. </w:t>
      </w:r>
      <w:r w:rsidR="00206538">
        <w:rPr>
          <w:lang w:val="en-GB"/>
        </w:rPr>
        <w:t xml:space="preserve">While the </w:t>
      </w:r>
      <w:r w:rsidR="00E5305D">
        <w:rPr>
          <w:lang w:val="en-GB"/>
        </w:rPr>
        <w:t>S</w:t>
      </w:r>
      <w:r w:rsidR="00206538">
        <w:rPr>
          <w:lang w:val="en-GB"/>
        </w:rPr>
        <w:t>un within the</w:t>
      </w:r>
      <w:r w:rsidR="007571B9">
        <w:rPr>
          <w:lang w:val="en-GB"/>
        </w:rPr>
        <w:t xml:space="preserve"> Greek and</w:t>
      </w:r>
      <w:r w:rsidR="00206538">
        <w:rPr>
          <w:lang w:val="en-GB"/>
        </w:rPr>
        <w:t xml:space="preserve"> </w:t>
      </w:r>
      <w:r w:rsidR="007571B9">
        <w:rPr>
          <w:lang w:val="en-GB"/>
        </w:rPr>
        <w:t>Hellenistic</w:t>
      </w:r>
      <w:r w:rsidR="00206538">
        <w:rPr>
          <w:lang w:val="en-GB"/>
        </w:rPr>
        <w:t xml:space="preserve"> context was identified directly with masculinity, in the </w:t>
      </w:r>
      <w:r w:rsidR="0084330E">
        <w:rPr>
          <w:lang w:val="en-GB"/>
        </w:rPr>
        <w:t xml:space="preserve">interpretation of </w:t>
      </w:r>
      <w:r w:rsidR="00206538">
        <w:rPr>
          <w:lang w:val="en-GB"/>
        </w:rPr>
        <w:t>Islamic Sufism</w:t>
      </w:r>
      <w:r w:rsidR="0084330E">
        <w:rPr>
          <w:lang w:val="en-GB"/>
        </w:rPr>
        <w:t xml:space="preserve"> by Ibn ‘Arabi </w:t>
      </w:r>
      <w:r w:rsidR="00206538">
        <w:rPr>
          <w:lang w:val="en-GB"/>
        </w:rPr>
        <w:t>a rather different narrative emerged</w:t>
      </w:r>
      <w:r w:rsidR="0084330E">
        <w:rPr>
          <w:lang w:val="en-GB"/>
        </w:rPr>
        <w:t>.</w:t>
      </w:r>
      <w:r w:rsidR="0084330E">
        <w:rPr>
          <w:rStyle w:val="Funotenzeichen"/>
          <w:lang w:val="en-GB"/>
        </w:rPr>
        <w:footnoteReference w:id="12"/>
      </w:r>
      <w:r w:rsidR="0084330E">
        <w:rPr>
          <w:lang w:val="en-GB"/>
        </w:rPr>
        <w:t xml:space="preserve"> </w:t>
      </w:r>
      <w:r w:rsidR="007571B9">
        <w:rPr>
          <w:lang w:val="en-GB"/>
        </w:rPr>
        <w:t>Sufism itself can be traced until the time of Mohammed (7</w:t>
      </w:r>
      <w:r w:rsidR="007571B9" w:rsidRPr="007571B9">
        <w:rPr>
          <w:vertAlign w:val="superscript"/>
          <w:lang w:val="en-GB"/>
        </w:rPr>
        <w:t>th</w:t>
      </w:r>
      <w:r w:rsidR="007571B9">
        <w:rPr>
          <w:lang w:val="en-GB"/>
        </w:rPr>
        <w:t xml:space="preserve"> century A.C.)</w:t>
      </w:r>
      <w:r w:rsidR="0084330E">
        <w:rPr>
          <w:lang w:val="en-GB"/>
        </w:rPr>
        <w:t xml:space="preserve"> and describes a “path of love” in order to draw closer to god.</w:t>
      </w:r>
      <w:r w:rsidR="0084330E">
        <w:rPr>
          <w:rStyle w:val="Funotenzeichen"/>
          <w:lang w:val="en-GB"/>
        </w:rPr>
        <w:footnoteReference w:id="13"/>
      </w:r>
      <w:r w:rsidR="0084330E">
        <w:rPr>
          <w:lang w:val="en-GB"/>
        </w:rPr>
        <w:t xml:space="preserve"> Ibn ‘Arabi lived in the medieval Al-Andalus </w:t>
      </w:r>
      <w:r w:rsidR="009F6E8A">
        <w:rPr>
          <w:lang w:val="en-GB"/>
        </w:rPr>
        <w:t xml:space="preserve">(Spain) </w:t>
      </w:r>
      <w:r w:rsidR="0084330E">
        <w:rPr>
          <w:lang w:val="en-GB"/>
        </w:rPr>
        <w:t>in the 12</w:t>
      </w:r>
      <w:r w:rsidR="0084330E" w:rsidRPr="0084330E">
        <w:rPr>
          <w:vertAlign w:val="superscript"/>
          <w:lang w:val="en-GB"/>
        </w:rPr>
        <w:t>th</w:t>
      </w:r>
      <w:r w:rsidR="0084330E">
        <w:rPr>
          <w:lang w:val="en-GB"/>
        </w:rPr>
        <w:t xml:space="preserve"> century </w:t>
      </w:r>
      <w:r w:rsidR="00471E9D">
        <w:rPr>
          <w:lang w:val="en-GB"/>
        </w:rPr>
        <w:t xml:space="preserve">A.D. </w:t>
      </w:r>
      <w:r w:rsidR="00F73799">
        <w:rPr>
          <w:lang w:val="en-GB"/>
        </w:rPr>
        <w:t xml:space="preserve">and for him, the </w:t>
      </w:r>
      <w:r w:rsidR="00B0115B">
        <w:rPr>
          <w:lang w:val="en-GB"/>
        </w:rPr>
        <w:t>Moon</w:t>
      </w:r>
      <w:r w:rsidR="00F73799">
        <w:rPr>
          <w:lang w:val="en-GB"/>
        </w:rPr>
        <w:t xml:space="preserve"> was especially important for the “love path” because it symbolizes receptivity and transformation</w:t>
      </w:r>
      <w:r w:rsidR="005A69BD">
        <w:rPr>
          <w:lang w:val="en-GB"/>
        </w:rPr>
        <w:t xml:space="preserve"> by reflecting the </w:t>
      </w:r>
      <w:r w:rsidR="00BE790F">
        <w:rPr>
          <w:lang w:val="en-GB"/>
        </w:rPr>
        <w:t>divine s</w:t>
      </w:r>
      <w:r w:rsidR="00B0115B">
        <w:rPr>
          <w:lang w:val="en-GB"/>
        </w:rPr>
        <w:t>un</w:t>
      </w:r>
      <w:r w:rsidR="005A69BD">
        <w:rPr>
          <w:lang w:val="en-GB"/>
        </w:rPr>
        <w:t>light</w:t>
      </w:r>
      <w:r w:rsidR="00F73799">
        <w:rPr>
          <w:lang w:val="en-GB"/>
        </w:rPr>
        <w:t>.</w:t>
      </w:r>
      <w:r w:rsidR="00F73799">
        <w:rPr>
          <w:rStyle w:val="Funotenzeichen"/>
          <w:lang w:val="en-GB"/>
        </w:rPr>
        <w:footnoteReference w:id="14"/>
      </w:r>
      <w:r w:rsidR="00F73799">
        <w:rPr>
          <w:lang w:val="en-GB"/>
        </w:rPr>
        <w:t xml:space="preserve"> </w:t>
      </w:r>
      <w:r w:rsidR="005A69BD">
        <w:rPr>
          <w:lang w:val="en-GB"/>
        </w:rPr>
        <w:t>Therefore</w:t>
      </w:r>
      <w:r w:rsidR="00C80F3C">
        <w:rPr>
          <w:lang w:val="en-GB"/>
        </w:rPr>
        <w:t>,</w:t>
      </w:r>
      <w:r w:rsidR="005A69BD">
        <w:rPr>
          <w:lang w:val="en-GB"/>
        </w:rPr>
        <w:t xml:space="preserve"> he connects</w:t>
      </w:r>
      <w:r w:rsidR="00F73799">
        <w:rPr>
          <w:lang w:val="en-GB"/>
        </w:rPr>
        <w:t xml:space="preserve"> the </w:t>
      </w:r>
      <w:r w:rsidR="00B0115B">
        <w:rPr>
          <w:lang w:val="en-GB"/>
        </w:rPr>
        <w:t>Moon</w:t>
      </w:r>
      <w:r w:rsidR="00F73799">
        <w:rPr>
          <w:lang w:val="en-GB"/>
        </w:rPr>
        <w:t xml:space="preserve"> with the male Adam who is capable </w:t>
      </w:r>
      <w:r w:rsidR="005A69BD">
        <w:rPr>
          <w:lang w:val="en-GB"/>
        </w:rPr>
        <w:t xml:space="preserve">of integrating divine consciousness symbolized by the </w:t>
      </w:r>
      <w:r w:rsidR="009F6E8A">
        <w:rPr>
          <w:lang w:val="en-GB"/>
        </w:rPr>
        <w:t>S</w:t>
      </w:r>
      <w:r w:rsidR="005A69BD">
        <w:rPr>
          <w:lang w:val="en-GB"/>
        </w:rPr>
        <w:t>un.</w:t>
      </w:r>
      <w:r w:rsidR="005A69BD">
        <w:rPr>
          <w:rStyle w:val="Funotenzeichen"/>
          <w:lang w:val="en-GB"/>
        </w:rPr>
        <w:footnoteReference w:id="15"/>
      </w:r>
      <w:r w:rsidR="005A69BD">
        <w:rPr>
          <w:lang w:val="en-GB"/>
        </w:rPr>
        <w:t xml:space="preserve"> </w:t>
      </w:r>
      <w:r w:rsidR="009F6E8A">
        <w:rPr>
          <w:lang w:val="en-GB"/>
        </w:rPr>
        <w:t>To put it in other words</w:t>
      </w:r>
      <w:r w:rsidR="005A69BD">
        <w:rPr>
          <w:lang w:val="en-GB"/>
        </w:rPr>
        <w:t>, Adam mirrors divinity, as the Moon mirrors the Sun.</w:t>
      </w:r>
      <w:r w:rsidR="005A69BD">
        <w:rPr>
          <w:rStyle w:val="Funotenzeichen"/>
          <w:lang w:val="en-GB"/>
        </w:rPr>
        <w:footnoteReference w:id="16"/>
      </w:r>
      <w:r w:rsidR="009F6E8A">
        <w:rPr>
          <w:lang w:val="en-GB"/>
        </w:rPr>
        <w:t xml:space="preserve"> In</w:t>
      </w:r>
      <w:r w:rsidR="005A69BD">
        <w:rPr>
          <w:lang w:val="en-GB"/>
        </w:rPr>
        <w:t xml:space="preserve"> contrast to the Hellenistic </w:t>
      </w:r>
      <w:r w:rsidR="005A69BD">
        <w:rPr>
          <w:lang w:val="en-GB"/>
        </w:rPr>
        <w:lastRenderedPageBreak/>
        <w:t xml:space="preserve">narrative of Helios or Apollo, directly associated with the Sun and masculinity, Ibn ‘Arabi interprets within his cultural background of the Islamic Sufism </w:t>
      </w:r>
      <w:r w:rsidR="00AD7781">
        <w:rPr>
          <w:lang w:val="en-GB"/>
        </w:rPr>
        <w:t xml:space="preserve">the Moon as the male Adam who reflects and integrates the divinity represented by the </w:t>
      </w:r>
      <w:r w:rsidR="009F6E8A">
        <w:rPr>
          <w:lang w:val="en-GB"/>
        </w:rPr>
        <w:t>S</w:t>
      </w:r>
      <w:r w:rsidR="00AD7781">
        <w:rPr>
          <w:lang w:val="en-GB"/>
        </w:rPr>
        <w:t xml:space="preserve">un. This shows, that within </w:t>
      </w:r>
      <w:r w:rsidR="00AA20CD">
        <w:rPr>
          <w:lang w:val="en-GB"/>
        </w:rPr>
        <w:t>the Western world</w:t>
      </w:r>
      <w:r w:rsidR="00AD7781">
        <w:rPr>
          <w:lang w:val="en-GB"/>
        </w:rPr>
        <w:t xml:space="preserve"> the linking of the </w:t>
      </w:r>
      <w:r w:rsidR="009F6E8A">
        <w:rPr>
          <w:lang w:val="en-GB"/>
        </w:rPr>
        <w:t>S</w:t>
      </w:r>
      <w:r w:rsidR="00AD7781">
        <w:rPr>
          <w:lang w:val="en-GB"/>
        </w:rPr>
        <w:t xml:space="preserve">un and the </w:t>
      </w:r>
      <w:r w:rsidR="009F6E8A">
        <w:rPr>
          <w:lang w:val="en-GB"/>
        </w:rPr>
        <w:t>M</w:t>
      </w:r>
      <w:r w:rsidR="00AD7781">
        <w:rPr>
          <w:lang w:val="en-GB"/>
        </w:rPr>
        <w:t xml:space="preserve">oon with gender can vary according to </w:t>
      </w:r>
      <w:r w:rsidR="00D30AC1">
        <w:rPr>
          <w:lang w:val="en-GB"/>
        </w:rPr>
        <w:t>differing</w:t>
      </w:r>
      <w:r w:rsidR="00AD7781">
        <w:rPr>
          <w:lang w:val="en-GB"/>
        </w:rPr>
        <w:t xml:space="preserve"> cultural </w:t>
      </w:r>
      <w:r w:rsidR="00D30AC1">
        <w:rPr>
          <w:lang w:val="en-GB"/>
        </w:rPr>
        <w:t>c</w:t>
      </w:r>
      <w:r w:rsidR="00AA20CD">
        <w:rPr>
          <w:lang w:val="en-GB"/>
        </w:rPr>
        <w:t>ontexts</w:t>
      </w:r>
      <w:r w:rsidR="00D30AC1">
        <w:rPr>
          <w:lang w:val="en-GB"/>
        </w:rPr>
        <w:t xml:space="preserve">. However, the gender of the Sun and the Moon also </w:t>
      </w:r>
      <w:r w:rsidR="00C80F3C">
        <w:rPr>
          <w:lang w:val="en-GB"/>
        </w:rPr>
        <w:t>differs</w:t>
      </w:r>
      <w:r w:rsidR="00D30AC1">
        <w:rPr>
          <w:lang w:val="en-GB"/>
        </w:rPr>
        <w:t xml:space="preserve"> across other </w:t>
      </w:r>
      <w:r w:rsidR="00C80F3C">
        <w:rPr>
          <w:lang w:val="en-GB"/>
        </w:rPr>
        <w:t xml:space="preserve">than Western </w:t>
      </w:r>
      <w:r w:rsidR="00D30AC1">
        <w:rPr>
          <w:lang w:val="en-GB"/>
        </w:rPr>
        <w:t>cultures</w:t>
      </w:r>
      <w:r w:rsidR="00C80F3C">
        <w:rPr>
          <w:lang w:val="en-GB"/>
        </w:rPr>
        <w:t xml:space="preserve"> – e.g.</w:t>
      </w:r>
      <w:r w:rsidR="00D30AC1">
        <w:rPr>
          <w:lang w:val="en-GB"/>
        </w:rPr>
        <w:t xml:space="preserve"> </w:t>
      </w:r>
      <w:r w:rsidR="00EB3C09">
        <w:rPr>
          <w:lang w:val="en-GB"/>
        </w:rPr>
        <w:t xml:space="preserve">in </w:t>
      </w:r>
      <w:r w:rsidR="00D30AC1">
        <w:rPr>
          <w:lang w:val="en-GB"/>
        </w:rPr>
        <w:t>the</w:t>
      </w:r>
      <w:r w:rsidR="00EB3C09">
        <w:rPr>
          <w:lang w:val="en-GB"/>
        </w:rPr>
        <w:t xml:space="preserve"> myths of the</w:t>
      </w:r>
      <w:r w:rsidR="00D30AC1">
        <w:rPr>
          <w:lang w:val="en-GB"/>
        </w:rPr>
        <w:t xml:space="preserve"> Cherokee, </w:t>
      </w:r>
      <w:r w:rsidR="00EB3C09">
        <w:rPr>
          <w:lang w:val="en-GB"/>
        </w:rPr>
        <w:t xml:space="preserve">an indigenous tribe in America, the Sun is seen as female and the </w:t>
      </w:r>
      <w:r w:rsidR="00B0115B">
        <w:rPr>
          <w:lang w:val="en-GB"/>
        </w:rPr>
        <w:t>Moon</w:t>
      </w:r>
      <w:r w:rsidR="00EB3C09">
        <w:rPr>
          <w:lang w:val="en-GB"/>
        </w:rPr>
        <w:t xml:space="preserve"> as male.</w:t>
      </w:r>
      <w:r w:rsidR="00EB3C09">
        <w:rPr>
          <w:rStyle w:val="Funotenzeichen"/>
          <w:lang w:val="en-GB"/>
        </w:rPr>
        <w:footnoteReference w:id="17"/>
      </w:r>
      <w:r w:rsidR="00EB3C09">
        <w:rPr>
          <w:lang w:val="en-GB"/>
        </w:rPr>
        <w:t xml:space="preserve"> According to the records of Mooney, an</w:t>
      </w:r>
      <w:r w:rsidR="00C80F3C">
        <w:rPr>
          <w:lang w:val="en-GB"/>
        </w:rPr>
        <w:t xml:space="preserve"> American</w:t>
      </w:r>
      <w:r w:rsidR="00EB3C09">
        <w:rPr>
          <w:lang w:val="en-GB"/>
        </w:rPr>
        <w:t xml:space="preserve"> anthropologist of the beginning 20</w:t>
      </w:r>
      <w:r w:rsidR="00EB3C09" w:rsidRPr="00EB3C09">
        <w:rPr>
          <w:vertAlign w:val="superscript"/>
          <w:lang w:val="en-GB"/>
        </w:rPr>
        <w:t>th</w:t>
      </w:r>
      <w:r w:rsidR="00EB3C09">
        <w:rPr>
          <w:lang w:val="en-GB"/>
        </w:rPr>
        <w:t xml:space="preserve"> century, one myth </w:t>
      </w:r>
      <w:r w:rsidR="00AA20CD">
        <w:rPr>
          <w:lang w:val="en-GB"/>
        </w:rPr>
        <w:t xml:space="preserve">of the Cherokee </w:t>
      </w:r>
      <w:r w:rsidR="00EB3C09">
        <w:rPr>
          <w:lang w:val="en-GB"/>
        </w:rPr>
        <w:t xml:space="preserve">tells about the Sun, a young woman living in the east, while her brother, the </w:t>
      </w:r>
      <w:r w:rsidR="009E101F">
        <w:rPr>
          <w:lang w:val="en-GB"/>
        </w:rPr>
        <w:t>M</w:t>
      </w:r>
      <w:r w:rsidR="00EB3C09">
        <w:rPr>
          <w:lang w:val="en-GB"/>
        </w:rPr>
        <w:t xml:space="preserve">oon, </w:t>
      </w:r>
      <w:r w:rsidR="00AA20CD">
        <w:rPr>
          <w:lang w:val="en-GB"/>
        </w:rPr>
        <w:t>was living</w:t>
      </w:r>
      <w:r w:rsidR="00EB3C09">
        <w:rPr>
          <w:lang w:val="en-GB"/>
        </w:rPr>
        <w:t xml:space="preserve"> </w:t>
      </w:r>
      <w:r w:rsidR="009E101F">
        <w:rPr>
          <w:lang w:val="en-GB"/>
        </w:rPr>
        <w:t>i</w:t>
      </w:r>
      <w:r w:rsidR="00EB3C09">
        <w:rPr>
          <w:lang w:val="en-GB"/>
        </w:rPr>
        <w:t>n the west.</w:t>
      </w:r>
      <w:r w:rsidR="009E101F">
        <w:rPr>
          <w:rStyle w:val="Funotenzeichen"/>
          <w:lang w:val="en-GB"/>
        </w:rPr>
        <w:footnoteReference w:id="18"/>
      </w:r>
      <w:r w:rsidR="009E101F">
        <w:rPr>
          <w:lang w:val="en-GB"/>
        </w:rPr>
        <w:t xml:space="preserve"> The story </w:t>
      </w:r>
      <w:r w:rsidR="00C80F3C">
        <w:rPr>
          <w:lang w:val="en-GB"/>
        </w:rPr>
        <w:t>is</w:t>
      </w:r>
      <w:r w:rsidR="009E101F">
        <w:rPr>
          <w:lang w:val="en-GB"/>
        </w:rPr>
        <w:t xml:space="preserve"> about the Sun meeting a lover every night but she could not see his face. </w:t>
      </w:r>
      <w:r w:rsidR="00AA20CD">
        <w:rPr>
          <w:lang w:val="en-GB"/>
        </w:rPr>
        <w:t>So,</w:t>
      </w:r>
      <w:r w:rsidR="009E101F">
        <w:rPr>
          <w:lang w:val="en-GB"/>
        </w:rPr>
        <w:t xml:space="preserve"> one day she marked his face with ashes from the fireplace and the next day, when the Moon was coming up in the sky, she realized that he was her secret lover. The Moon was so ashamed that since then he trie</w:t>
      </w:r>
      <w:r w:rsidR="004C50F9">
        <w:rPr>
          <w:lang w:val="en-GB"/>
        </w:rPr>
        <w:t>s</w:t>
      </w:r>
      <w:r w:rsidR="009E101F">
        <w:rPr>
          <w:lang w:val="en-GB"/>
        </w:rPr>
        <w:t xml:space="preserve"> to keep a long way behind the Sun, making himself as thin as possible if he ha</w:t>
      </w:r>
      <w:r w:rsidR="004C50F9">
        <w:rPr>
          <w:lang w:val="en-GB"/>
        </w:rPr>
        <w:t>s</w:t>
      </w:r>
      <w:r w:rsidR="009E101F">
        <w:rPr>
          <w:lang w:val="en-GB"/>
        </w:rPr>
        <w:t xml:space="preserve"> to </w:t>
      </w:r>
      <w:r w:rsidR="004C50F9">
        <w:rPr>
          <w:lang w:val="en-GB"/>
        </w:rPr>
        <w:t xml:space="preserve">come close to her. Further examples of different stories about the relationship of the Sun and the Moon are given by </w:t>
      </w:r>
      <w:r w:rsidR="00B218EA">
        <w:rPr>
          <w:lang w:val="en-GB"/>
        </w:rPr>
        <w:t xml:space="preserve">some </w:t>
      </w:r>
      <w:r w:rsidR="004C50F9">
        <w:rPr>
          <w:lang w:val="en-GB"/>
        </w:rPr>
        <w:t>African tribes</w:t>
      </w:r>
      <w:r w:rsidR="00B218EA">
        <w:rPr>
          <w:lang w:val="en-GB"/>
        </w:rPr>
        <w:t>. In the celestial myths of the Batammaliba, who are living in the norther Benin and Tongo, the Sun created the Moon for two reasons: to be his wife and for timekeeping.</w:t>
      </w:r>
      <w:r w:rsidR="00B218EA">
        <w:rPr>
          <w:rStyle w:val="Funotenzeichen"/>
          <w:lang w:val="en-GB"/>
        </w:rPr>
        <w:footnoteReference w:id="19"/>
      </w:r>
      <w:r w:rsidR="00B218EA">
        <w:rPr>
          <w:lang w:val="en-GB"/>
        </w:rPr>
        <w:t xml:space="preserve"> Another African tribe, the Arimi in Tanzania, associate the Moon with male </w:t>
      </w:r>
      <w:r w:rsidR="00C80F3C">
        <w:rPr>
          <w:lang w:val="en-GB"/>
        </w:rPr>
        <w:t>or</w:t>
      </w:r>
      <w:r w:rsidR="00B218EA">
        <w:rPr>
          <w:lang w:val="en-GB"/>
        </w:rPr>
        <w:t xml:space="preserve"> female qualit</w:t>
      </w:r>
      <w:r w:rsidR="00C80F3C">
        <w:rPr>
          <w:lang w:val="en-GB"/>
        </w:rPr>
        <w:t xml:space="preserve">y </w:t>
      </w:r>
      <w:r w:rsidR="00B218EA">
        <w:rPr>
          <w:lang w:val="en-GB"/>
        </w:rPr>
        <w:t xml:space="preserve">depending on </w:t>
      </w:r>
      <w:r w:rsidR="00680E04">
        <w:rPr>
          <w:lang w:val="en-GB"/>
        </w:rPr>
        <w:t>his phase: the first crescent Moon is said to be male (conception), while the full Moon is female (auspicious time for ceremonies, time for Earth and menstruation).</w:t>
      </w:r>
      <w:r w:rsidR="00680E04">
        <w:rPr>
          <w:rStyle w:val="Funotenzeichen"/>
          <w:lang w:val="en-GB"/>
        </w:rPr>
        <w:footnoteReference w:id="20"/>
      </w:r>
      <w:r w:rsidR="00680E04">
        <w:rPr>
          <w:lang w:val="en-GB"/>
        </w:rPr>
        <w:t xml:space="preserve"> Taking into acco</w:t>
      </w:r>
      <w:r w:rsidR="00E772DD">
        <w:rPr>
          <w:lang w:val="en-GB"/>
        </w:rPr>
        <w:t>unt</w:t>
      </w:r>
      <w:r w:rsidR="00C80F3C">
        <w:rPr>
          <w:lang w:val="en-GB"/>
        </w:rPr>
        <w:t xml:space="preserve"> the different ways of how the gender of the Sun and the Moon is determined through the various Myths</w:t>
      </w:r>
      <w:r w:rsidR="005D2F2F">
        <w:rPr>
          <w:lang w:val="en-GB"/>
        </w:rPr>
        <w:t xml:space="preserve"> and religious practices</w:t>
      </w:r>
      <w:r w:rsidR="00C80F3C">
        <w:rPr>
          <w:lang w:val="en-GB"/>
        </w:rPr>
        <w:t xml:space="preserve"> </w:t>
      </w:r>
      <w:r w:rsidR="00680E04">
        <w:rPr>
          <w:lang w:val="en-GB"/>
        </w:rPr>
        <w:t>within and across cultures</w:t>
      </w:r>
      <w:r w:rsidR="00C80F3C">
        <w:rPr>
          <w:lang w:val="en-GB"/>
        </w:rPr>
        <w:t xml:space="preserve"> in the Western World,</w:t>
      </w:r>
      <w:r w:rsidR="005D2F2F">
        <w:rPr>
          <w:lang w:val="en-GB"/>
        </w:rPr>
        <w:t xml:space="preserve"> India, America and Africa </w:t>
      </w:r>
      <w:r w:rsidR="00680E04">
        <w:rPr>
          <w:lang w:val="en-GB"/>
        </w:rPr>
        <w:t>it can be concluded</w:t>
      </w:r>
      <w:r w:rsidR="00C80F3C">
        <w:rPr>
          <w:lang w:val="en-GB"/>
        </w:rPr>
        <w:t>,</w:t>
      </w:r>
      <w:r w:rsidR="00680E04">
        <w:rPr>
          <w:lang w:val="en-GB"/>
        </w:rPr>
        <w:t xml:space="preserve"> that the gender of both luminaries depend</w:t>
      </w:r>
      <w:r w:rsidR="005448DA">
        <w:rPr>
          <w:lang w:val="en-GB"/>
        </w:rPr>
        <w:t>s</w:t>
      </w:r>
      <w:r w:rsidR="00680E04">
        <w:rPr>
          <w:lang w:val="en-GB"/>
        </w:rPr>
        <w:t xml:space="preserve"> </w:t>
      </w:r>
      <w:r w:rsidR="005D2F2F">
        <w:rPr>
          <w:lang w:val="en-GB"/>
        </w:rPr>
        <w:t xml:space="preserve">highly </w:t>
      </w:r>
      <w:r w:rsidR="00680E04">
        <w:rPr>
          <w:lang w:val="en-GB"/>
        </w:rPr>
        <w:t xml:space="preserve">on </w:t>
      </w:r>
      <w:r w:rsidR="00934EF5">
        <w:rPr>
          <w:lang w:val="en-GB"/>
        </w:rPr>
        <w:t>how cosmology is shaped by culture</w:t>
      </w:r>
      <w:r w:rsidR="00680E04">
        <w:rPr>
          <w:lang w:val="en-GB"/>
        </w:rPr>
        <w:t xml:space="preserve">. </w:t>
      </w:r>
    </w:p>
    <w:p w:rsidR="00780159" w:rsidRDefault="00780159" w:rsidP="00410478">
      <w:pPr>
        <w:spacing w:line="276" w:lineRule="auto"/>
        <w:divId w:val="889610246"/>
        <w:rPr>
          <w:lang w:val="en-GB"/>
        </w:rPr>
      </w:pPr>
      <w:r>
        <w:rPr>
          <w:lang w:val="en-GB"/>
        </w:rPr>
        <w:tab/>
      </w:r>
      <w:r w:rsidR="00E7124B">
        <w:rPr>
          <w:lang w:val="en-GB"/>
        </w:rPr>
        <w:t xml:space="preserve">A second instance of astrological meanings being shaped by </w:t>
      </w:r>
      <w:r w:rsidR="00662390">
        <w:rPr>
          <w:lang w:val="en-GB"/>
        </w:rPr>
        <w:t>cultur</w:t>
      </w:r>
      <w:r w:rsidR="00CE76D9">
        <w:rPr>
          <w:lang w:val="en-GB"/>
        </w:rPr>
        <w:t>e</w:t>
      </w:r>
      <w:r w:rsidR="00E7124B">
        <w:rPr>
          <w:lang w:val="en-GB"/>
        </w:rPr>
        <w:t xml:space="preserve"> is the twelve-sign solar zodiac which origins can be dated to the 5</w:t>
      </w:r>
      <w:r w:rsidR="00E7124B" w:rsidRPr="00E7124B">
        <w:rPr>
          <w:vertAlign w:val="superscript"/>
          <w:lang w:val="en-GB"/>
        </w:rPr>
        <w:t>th</w:t>
      </w:r>
      <w:r w:rsidR="00E7124B">
        <w:rPr>
          <w:lang w:val="en-GB"/>
        </w:rPr>
        <w:t xml:space="preserve"> century B.C.</w:t>
      </w:r>
      <w:r w:rsidR="006A017D">
        <w:rPr>
          <w:rStyle w:val="Funotenzeichen"/>
          <w:lang w:val="en-GB"/>
        </w:rPr>
        <w:footnoteReference w:id="21"/>
      </w:r>
      <w:r w:rsidR="00FF63E9">
        <w:rPr>
          <w:lang w:val="en-GB"/>
        </w:rPr>
        <w:t xml:space="preserve"> In his </w:t>
      </w:r>
      <w:r w:rsidR="00FF63E9">
        <w:rPr>
          <w:i/>
          <w:lang w:val="en-GB"/>
        </w:rPr>
        <w:t>Tetrabiblos</w:t>
      </w:r>
      <w:r w:rsidR="00FF63E9">
        <w:rPr>
          <w:lang w:val="en-GB"/>
        </w:rPr>
        <w:t xml:space="preserve"> Ptolemy </w:t>
      </w:r>
      <w:r w:rsidR="007C102C">
        <w:rPr>
          <w:lang w:val="en-GB"/>
        </w:rPr>
        <w:t>draws</w:t>
      </w:r>
      <w:r w:rsidR="00FF63E9">
        <w:rPr>
          <w:lang w:val="en-GB"/>
        </w:rPr>
        <w:t xml:space="preserve"> a strong connection between the zodiac and the seasons.</w:t>
      </w:r>
      <w:r w:rsidR="00FF63E9">
        <w:rPr>
          <w:rStyle w:val="Funotenzeichen"/>
          <w:lang w:val="en-GB"/>
        </w:rPr>
        <w:footnoteReference w:id="22"/>
      </w:r>
      <w:r w:rsidR="00FF63E9">
        <w:rPr>
          <w:lang w:val="en-GB"/>
        </w:rPr>
        <w:t xml:space="preserve"> He explains, that although the zodiac has no definite beginning because of his circular nature the old ones defined </w:t>
      </w:r>
      <w:r w:rsidR="00A02F40">
        <w:rPr>
          <w:lang w:val="en-GB"/>
        </w:rPr>
        <w:t>A</w:t>
      </w:r>
      <w:r w:rsidR="00FF63E9">
        <w:rPr>
          <w:lang w:val="en-GB"/>
        </w:rPr>
        <w:t>ries as the first sign, the time when the spring equinox takes place.</w:t>
      </w:r>
      <w:r w:rsidR="00FF63E9">
        <w:rPr>
          <w:rStyle w:val="Funotenzeichen"/>
          <w:lang w:val="en-GB"/>
        </w:rPr>
        <w:footnoteReference w:id="23"/>
      </w:r>
      <w:r w:rsidR="00FF63E9">
        <w:rPr>
          <w:lang w:val="en-GB"/>
        </w:rPr>
        <w:t xml:space="preserve"> He further argues, that spring can be seen as the beginning of life, when everything is moist and ice is melting. </w:t>
      </w:r>
      <w:r w:rsidR="00A02F40">
        <w:rPr>
          <w:lang w:val="en-GB"/>
        </w:rPr>
        <w:t>With summer he associates the climax of heat, with autumn dryness and with winter coldness.</w:t>
      </w:r>
      <w:r w:rsidR="00CE76D9">
        <w:rPr>
          <w:rStyle w:val="Funotenzeichen"/>
          <w:lang w:val="en-GB"/>
        </w:rPr>
        <w:footnoteReference w:id="24"/>
      </w:r>
      <w:r w:rsidR="00A02F40">
        <w:rPr>
          <w:lang w:val="en-GB"/>
        </w:rPr>
        <w:t xml:space="preserve"> Because of the strong </w:t>
      </w:r>
      <w:r w:rsidR="00F44D0A">
        <w:rPr>
          <w:lang w:val="en-GB"/>
        </w:rPr>
        <w:t>linkage</w:t>
      </w:r>
      <w:r w:rsidR="00A02F40">
        <w:rPr>
          <w:lang w:val="en-GB"/>
        </w:rPr>
        <w:t xml:space="preserve"> between astrological signatures and seasonal changes, Ptolemy outlines the importance of astrological </w:t>
      </w:r>
      <w:r w:rsidR="00F44D0A">
        <w:rPr>
          <w:lang w:val="en-GB"/>
        </w:rPr>
        <w:t>aphorisms</w:t>
      </w:r>
      <w:r w:rsidR="00A02F40">
        <w:rPr>
          <w:lang w:val="en-GB"/>
        </w:rPr>
        <w:t xml:space="preserve"> </w:t>
      </w:r>
      <w:r w:rsidR="00D965B9">
        <w:rPr>
          <w:lang w:val="en-GB"/>
        </w:rPr>
        <w:t xml:space="preserve">for </w:t>
      </w:r>
      <w:r w:rsidR="00A02F40">
        <w:rPr>
          <w:lang w:val="en-GB"/>
        </w:rPr>
        <w:t xml:space="preserve">agriculture and </w:t>
      </w:r>
      <w:r w:rsidR="00D965B9">
        <w:rPr>
          <w:lang w:val="en-GB"/>
        </w:rPr>
        <w:t>shepherds.</w:t>
      </w:r>
      <w:r w:rsidR="00D965B9">
        <w:rPr>
          <w:rStyle w:val="Funotenzeichen"/>
          <w:lang w:val="en-GB"/>
        </w:rPr>
        <w:footnoteReference w:id="25"/>
      </w:r>
      <w:r w:rsidR="00D965B9">
        <w:rPr>
          <w:lang w:val="en-GB"/>
        </w:rPr>
        <w:t xml:space="preserve"> </w:t>
      </w:r>
      <w:r w:rsidR="00085EFB">
        <w:rPr>
          <w:lang w:val="en-GB"/>
        </w:rPr>
        <w:t xml:space="preserve">In addition to the </w:t>
      </w:r>
      <w:r w:rsidR="00F44D0A">
        <w:rPr>
          <w:lang w:val="en-GB"/>
        </w:rPr>
        <w:t>parallels</w:t>
      </w:r>
      <w:r w:rsidR="00085EFB">
        <w:rPr>
          <w:lang w:val="en-GB"/>
        </w:rPr>
        <w:t xml:space="preserve"> of the </w:t>
      </w:r>
      <w:r w:rsidR="00B0115B">
        <w:rPr>
          <w:lang w:val="en-GB"/>
        </w:rPr>
        <w:t>Sun</w:t>
      </w:r>
      <w:r w:rsidR="00F44D0A">
        <w:rPr>
          <w:lang w:val="en-GB"/>
        </w:rPr>
        <w:t xml:space="preserve">’s </w:t>
      </w:r>
      <w:r w:rsidR="007C102C">
        <w:rPr>
          <w:lang w:val="en-GB"/>
        </w:rPr>
        <w:t>movement through</w:t>
      </w:r>
      <w:r w:rsidR="00F44D0A">
        <w:rPr>
          <w:lang w:val="en-GB"/>
        </w:rPr>
        <w:t xml:space="preserve"> the </w:t>
      </w:r>
      <w:r w:rsidR="00085EFB">
        <w:rPr>
          <w:lang w:val="en-GB"/>
        </w:rPr>
        <w:t xml:space="preserve">zodiac signs </w:t>
      </w:r>
      <w:r w:rsidR="007C102C">
        <w:rPr>
          <w:lang w:val="en-GB"/>
        </w:rPr>
        <w:t>and the</w:t>
      </w:r>
      <w:r w:rsidR="00085EFB">
        <w:rPr>
          <w:lang w:val="en-GB"/>
        </w:rPr>
        <w:t xml:space="preserve"> seasonal changes, Ptolemy </w:t>
      </w:r>
      <w:r w:rsidR="00F44D0A">
        <w:rPr>
          <w:lang w:val="en-GB"/>
        </w:rPr>
        <w:t>defines</w:t>
      </w:r>
      <w:r w:rsidR="00085EFB">
        <w:rPr>
          <w:lang w:val="en-GB"/>
        </w:rPr>
        <w:t xml:space="preserve"> the rulership of the </w:t>
      </w:r>
      <w:r w:rsidR="00546979">
        <w:rPr>
          <w:lang w:val="en-GB"/>
        </w:rPr>
        <w:t xml:space="preserve">luminaries and </w:t>
      </w:r>
      <w:r w:rsidR="00085EFB">
        <w:rPr>
          <w:lang w:val="en-GB"/>
        </w:rPr>
        <w:t xml:space="preserve">planets </w:t>
      </w:r>
      <w:r w:rsidR="00546979">
        <w:rPr>
          <w:lang w:val="en-GB"/>
        </w:rPr>
        <w:t xml:space="preserve">according to the very same </w:t>
      </w:r>
      <w:r w:rsidR="00C15A91">
        <w:rPr>
          <w:lang w:val="en-GB"/>
        </w:rPr>
        <w:t>‘</w:t>
      </w:r>
      <w:r w:rsidR="00F44D0A">
        <w:rPr>
          <w:lang w:val="en-GB"/>
        </w:rPr>
        <w:t>natural</w:t>
      </w:r>
      <w:r w:rsidR="00C15A91">
        <w:rPr>
          <w:lang w:val="en-GB"/>
        </w:rPr>
        <w:t>’</w:t>
      </w:r>
      <w:r w:rsidR="00F44D0A">
        <w:rPr>
          <w:lang w:val="en-GB"/>
        </w:rPr>
        <w:t xml:space="preserve"> </w:t>
      </w:r>
      <w:r w:rsidR="00546979">
        <w:rPr>
          <w:lang w:val="en-GB"/>
        </w:rPr>
        <w:t xml:space="preserve">logic. He argues, that the Sun and the Moon </w:t>
      </w:r>
      <w:r w:rsidR="00F44D0A">
        <w:rPr>
          <w:lang w:val="en-GB"/>
        </w:rPr>
        <w:t>rule the signs of Leo and Cancer</w:t>
      </w:r>
      <w:r w:rsidR="00546979">
        <w:rPr>
          <w:lang w:val="en-GB"/>
        </w:rPr>
        <w:t xml:space="preserve"> because </w:t>
      </w:r>
      <w:r w:rsidR="00F44D0A">
        <w:rPr>
          <w:lang w:val="en-GB"/>
        </w:rPr>
        <w:t xml:space="preserve">both signs cause the heat </w:t>
      </w:r>
      <w:r w:rsidR="00F44D0A">
        <w:rPr>
          <w:lang w:val="en-GB"/>
        </w:rPr>
        <w:lastRenderedPageBreak/>
        <w:t>of the summer.</w:t>
      </w:r>
      <w:r w:rsidR="007C102C">
        <w:rPr>
          <w:rStyle w:val="Funotenzeichen"/>
          <w:lang w:val="en-GB"/>
        </w:rPr>
        <w:footnoteReference w:id="26"/>
      </w:r>
      <w:r w:rsidR="00F44D0A">
        <w:rPr>
          <w:lang w:val="en-GB"/>
        </w:rPr>
        <w:t xml:space="preserve"> Therefore, </w:t>
      </w:r>
      <w:r w:rsidR="007C102C">
        <w:rPr>
          <w:lang w:val="en-GB"/>
        </w:rPr>
        <w:t xml:space="preserve">he says, </w:t>
      </w:r>
      <w:r w:rsidR="00C15A91">
        <w:rPr>
          <w:lang w:val="en-GB"/>
        </w:rPr>
        <w:t>both signs</w:t>
      </w:r>
      <w:r w:rsidR="00F44D0A">
        <w:rPr>
          <w:lang w:val="en-GB"/>
        </w:rPr>
        <w:t xml:space="preserve"> have to be associated with the brightest luminaries in the sky.</w:t>
      </w:r>
      <w:r w:rsidR="00B53583">
        <w:rPr>
          <w:lang w:val="en-GB"/>
        </w:rPr>
        <w:t xml:space="preserve"> The rulership of the Sun in Leo and of the Moon in Cancer he explains by referring to the gender of both</w:t>
      </w:r>
      <w:r w:rsidR="00C15A91">
        <w:rPr>
          <w:lang w:val="en-GB"/>
        </w:rPr>
        <w:t>, the</w:t>
      </w:r>
      <w:r w:rsidR="00B53583">
        <w:rPr>
          <w:lang w:val="en-GB"/>
        </w:rPr>
        <w:t xml:space="preserve"> luminaries and the zodiac signs, </w:t>
      </w:r>
      <w:r w:rsidR="00C15A91">
        <w:rPr>
          <w:lang w:val="en-GB"/>
        </w:rPr>
        <w:t xml:space="preserve">because </w:t>
      </w:r>
      <w:r w:rsidR="00B53583">
        <w:rPr>
          <w:lang w:val="en-GB"/>
        </w:rPr>
        <w:t>the male Sun correspond</w:t>
      </w:r>
      <w:r w:rsidR="00C15A91">
        <w:rPr>
          <w:lang w:val="en-GB"/>
        </w:rPr>
        <w:t>s</w:t>
      </w:r>
      <w:r w:rsidR="00B53583">
        <w:rPr>
          <w:lang w:val="en-GB"/>
        </w:rPr>
        <w:t xml:space="preserve"> to the male sign of Leo and the Moon to the female sign of Cancer.</w:t>
      </w:r>
      <w:r w:rsidR="00B53583">
        <w:rPr>
          <w:rStyle w:val="Funotenzeichen"/>
          <w:lang w:val="en-GB"/>
        </w:rPr>
        <w:footnoteReference w:id="27"/>
      </w:r>
      <w:r w:rsidR="00B53583">
        <w:rPr>
          <w:lang w:val="en-GB"/>
        </w:rPr>
        <w:t xml:space="preserve"> </w:t>
      </w:r>
      <w:r w:rsidR="00916486">
        <w:rPr>
          <w:lang w:val="en-GB"/>
        </w:rPr>
        <w:t xml:space="preserve">Taking into consideration the already mentioned Hellenistic tradition of identifying the Sun with the male god Helios / Apollo, </w:t>
      </w:r>
      <w:r w:rsidR="00053DBC">
        <w:rPr>
          <w:lang w:val="en-GB"/>
        </w:rPr>
        <w:t>it</w:t>
      </w:r>
      <w:r w:rsidR="002635EE">
        <w:rPr>
          <w:lang w:val="en-GB"/>
        </w:rPr>
        <w:t xml:space="preserve"> could </w:t>
      </w:r>
      <w:r w:rsidR="00053DBC">
        <w:rPr>
          <w:lang w:val="en-GB"/>
        </w:rPr>
        <w:t xml:space="preserve">be </w:t>
      </w:r>
      <w:r w:rsidR="002635EE">
        <w:rPr>
          <w:lang w:val="en-GB"/>
        </w:rPr>
        <w:t>conclude</w:t>
      </w:r>
      <w:r w:rsidR="00053DBC">
        <w:rPr>
          <w:lang w:val="en-GB"/>
        </w:rPr>
        <w:t>d</w:t>
      </w:r>
      <w:r w:rsidR="00916486">
        <w:rPr>
          <w:lang w:val="en-GB"/>
        </w:rPr>
        <w:t xml:space="preserve"> that in Ptolemy’s argument</w:t>
      </w:r>
      <w:r w:rsidR="00053DBC">
        <w:rPr>
          <w:lang w:val="en-GB"/>
        </w:rPr>
        <w:t>s</w:t>
      </w:r>
      <w:r w:rsidR="00916486">
        <w:rPr>
          <w:lang w:val="en-GB"/>
        </w:rPr>
        <w:t xml:space="preserve"> two different </w:t>
      </w:r>
      <w:r w:rsidR="002635EE">
        <w:rPr>
          <w:lang w:val="en-GB"/>
        </w:rPr>
        <w:t xml:space="preserve">kinds of </w:t>
      </w:r>
      <w:r w:rsidR="00916486">
        <w:rPr>
          <w:lang w:val="en-GB"/>
        </w:rPr>
        <w:t xml:space="preserve">premises </w:t>
      </w:r>
      <w:r w:rsidR="002635EE">
        <w:rPr>
          <w:lang w:val="en-GB"/>
        </w:rPr>
        <w:t>are taken for granted</w:t>
      </w:r>
      <w:r w:rsidR="00053DBC">
        <w:rPr>
          <w:lang w:val="en-GB"/>
        </w:rPr>
        <w:t xml:space="preserve"> and converged into a single conclusion</w:t>
      </w:r>
      <w:r w:rsidR="002635EE">
        <w:rPr>
          <w:lang w:val="en-GB"/>
        </w:rPr>
        <w:t xml:space="preserve">: (1) The Sun’s gender is male, according to its association with the male </w:t>
      </w:r>
      <w:r w:rsidR="00B0115B">
        <w:rPr>
          <w:lang w:val="en-GB"/>
        </w:rPr>
        <w:t>Sun</w:t>
      </w:r>
      <w:r w:rsidR="002635EE">
        <w:rPr>
          <w:lang w:val="en-GB"/>
        </w:rPr>
        <w:t xml:space="preserve"> god Helios / Apollo</w:t>
      </w:r>
      <w:r w:rsidR="008762CD">
        <w:rPr>
          <w:lang w:val="en-GB"/>
        </w:rPr>
        <w:t xml:space="preserve"> in the Greek and Hellenistic myths</w:t>
      </w:r>
      <w:r w:rsidR="002635EE">
        <w:rPr>
          <w:lang w:val="en-GB"/>
        </w:rPr>
        <w:t xml:space="preserve"> and (2) the rulership of the Sun in Leo is based on </w:t>
      </w:r>
      <w:r w:rsidR="00C15A91">
        <w:rPr>
          <w:lang w:val="en-GB"/>
        </w:rPr>
        <w:t>‘na</w:t>
      </w:r>
      <w:r w:rsidR="002635EE">
        <w:rPr>
          <w:lang w:val="en-GB"/>
        </w:rPr>
        <w:t>tural</w:t>
      </w:r>
      <w:r w:rsidR="00C15A91">
        <w:rPr>
          <w:lang w:val="en-GB"/>
        </w:rPr>
        <w:t>’</w:t>
      </w:r>
      <w:r w:rsidR="002635EE">
        <w:rPr>
          <w:lang w:val="en-GB"/>
        </w:rPr>
        <w:t xml:space="preserve"> </w:t>
      </w:r>
      <w:r w:rsidR="00053DBC">
        <w:rPr>
          <w:lang w:val="en-GB"/>
        </w:rPr>
        <w:t>observations</w:t>
      </w:r>
      <w:r w:rsidR="002635EE">
        <w:rPr>
          <w:lang w:val="en-GB"/>
        </w:rPr>
        <w:t xml:space="preserve">, e.g. the heat during the period of (the male) Leo. Both premises </w:t>
      </w:r>
      <w:r w:rsidR="00053DBC">
        <w:rPr>
          <w:lang w:val="en-GB"/>
        </w:rPr>
        <w:t xml:space="preserve">are based on </w:t>
      </w:r>
      <w:r w:rsidR="008762CD">
        <w:rPr>
          <w:lang w:val="en-GB"/>
        </w:rPr>
        <w:t>cultural aspects</w:t>
      </w:r>
      <w:r w:rsidR="00834DCD">
        <w:rPr>
          <w:lang w:val="en-GB"/>
        </w:rPr>
        <w:t xml:space="preserve">, the first referring to a shared mythological </w:t>
      </w:r>
      <w:r w:rsidR="00053DBC">
        <w:rPr>
          <w:lang w:val="en-GB"/>
        </w:rPr>
        <w:t>narrative</w:t>
      </w:r>
      <w:r w:rsidR="00834DCD">
        <w:rPr>
          <w:lang w:val="en-GB"/>
        </w:rPr>
        <w:t xml:space="preserve">, and the second implying </w:t>
      </w:r>
      <w:r w:rsidR="00FC17C5">
        <w:rPr>
          <w:lang w:val="en-GB"/>
        </w:rPr>
        <w:t xml:space="preserve">seasonal and </w:t>
      </w:r>
      <w:r w:rsidR="00834DCD">
        <w:rPr>
          <w:lang w:val="en-GB"/>
        </w:rPr>
        <w:t xml:space="preserve">agricultural </w:t>
      </w:r>
      <w:r w:rsidR="00C15A91">
        <w:rPr>
          <w:lang w:val="en-GB"/>
        </w:rPr>
        <w:t>circumstances</w:t>
      </w:r>
      <w:r w:rsidR="00FC17C5">
        <w:rPr>
          <w:lang w:val="en-GB"/>
        </w:rPr>
        <w:t xml:space="preserve">. </w:t>
      </w:r>
      <w:r w:rsidR="00270DC5">
        <w:rPr>
          <w:lang w:val="en-GB"/>
        </w:rPr>
        <w:t xml:space="preserve">The significance of these two premises is remarkable, because Ptolemy uses the allocation of the luminaries in Leo and Cancer to deduct logically the rulership of Saturn in Capricorn and Aquarius as a result of his distance to the </w:t>
      </w:r>
      <w:r w:rsidR="00053DBC">
        <w:rPr>
          <w:lang w:val="en-GB"/>
        </w:rPr>
        <w:t xml:space="preserve">heat-giving </w:t>
      </w:r>
      <w:r w:rsidR="00270DC5">
        <w:rPr>
          <w:lang w:val="en-GB"/>
        </w:rPr>
        <w:t>Sun.</w:t>
      </w:r>
      <w:r w:rsidR="00270DC5">
        <w:rPr>
          <w:rStyle w:val="Funotenzeichen"/>
          <w:lang w:val="en-GB"/>
        </w:rPr>
        <w:footnoteReference w:id="28"/>
      </w:r>
      <w:r w:rsidR="00270DC5">
        <w:rPr>
          <w:lang w:val="en-GB"/>
        </w:rPr>
        <w:t xml:space="preserve"> The remaining planets he distributes according to th</w:t>
      </w:r>
      <w:r w:rsidR="00011A89">
        <w:rPr>
          <w:lang w:val="en-GB"/>
        </w:rPr>
        <w:t>eir orbits, Jupiter following Saturn in Sagittarius and Pisces, Mars in Scorpio and Aries, Venus in Libra and Taurus and Mercury in Gemini and Virgo.</w:t>
      </w:r>
      <w:r w:rsidR="00011A89">
        <w:rPr>
          <w:rStyle w:val="Funotenzeichen"/>
          <w:lang w:val="en-GB"/>
        </w:rPr>
        <w:footnoteReference w:id="29"/>
      </w:r>
      <w:r w:rsidR="00011A89">
        <w:rPr>
          <w:lang w:val="en-GB"/>
        </w:rPr>
        <w:t xml:space="preserve"> However, this system introduced by Ptolemy to provide evidence for the inner logic of the astrological </w:t>
      </w:r>
      <w:r w:rsidR="00053DBC">
        <w:rPr>
          <w:lang w:val="en-GB"/>
        </w:rPr>
        <w:t>(rulership-)</w:t>
      </w:r>
      <w:r w:rsidR="00011A89">
        <w:rPr>
          <w:lang w:val="en-GB"/>
        </w:rPr>
        <w:t>system</w:t>
      </w:r>
      <w:r w:rsidR="00343484">
        <w:rPr>
          <w:lang w:val="en-GB"/>
        </w:rPr>
        <w:t xml:space="preserve"> and the tropical zodiac</w:t>
      </w:r>
      <w:r w:rsidR="00011A89">
        <w:rPr>
          <w:lang w:val="en-GB"/>
        </w:rPr>
        <w:t xml:space="preserve"> can not be maintained in the southern hemisphere. When European astrologers in the late 18</w:t>
      </w:r>
      <w:r w:rsidR="00011A89" w:rsidRPr="00011A89">
        <w:rPr>
          <w:vertAlign w:val="superscript"/>
          <w:lang w:val="en-GB"/>
        </w:rPr>
        <w:t>th</w:t>
      </w:r>
      <w:r w:rsidR="00011A89">
        <w:rPr>
          <w:lang w:val="en-GB"/>
        </w:rPr>
        <w:t xml:space="preserve"> and early 19</w:t>
      </w:r>
      <w:r w:rsidR="00011A89" w:rsidRPr="00011A89">
        <w:rPr>
          <w:vertAlign w:val="superscript"/>
          <w:lang w:val="en-GB"/>
        </w:rPr>
        <w:t>th</w:t>
      </w:r>
      <w:r w:rsidR="00011A89">
        <w:rPr>
          <w:lang w:val="en-GB"/>
        </w:rPr>
        <w:t xml:space="preserve"> century tried to cast horoscopes with their tables in southern</w:t>
      </w:r>
      <w:r w:rsidR="00DC60C5">
        <w:rPr>
          <w:lang w:val="en-GB"/>
        </w:rPr>
        <w:t xml:space="preserve"> latitudes, they adjusted their calculations according to the northern perspective by using the norther</w:t>
      </w:r>
      <w:r w:rsidR="00343484">
        <w:rPr>
          <w:lang w:val="en-GB"/>
        </w:rPr>
        <w:t>n</w:t>
      </w:r>
      <w:r w:rsidR="00DC60C5">
        <w:rPr>
          <w:lang w:val="en-GB"/>
        </w:rPr>
        <w:t xml:space="preserve"> latitude, adding 12 hours to the sidereal time and reversing the zodiac signs afterwards.</w:t>
      </w:r>
      <w:r w:rsidR="00DC60C5">
        <w:rPr>
          <w:rStyle w:val="Funotenzeichen"/>
          <w:lang w:val="en-GB"/>
        </w:rPr>
        <w:footnoteReference w:id="30"/>
      </w:r>
      <w:r w:rsidR="00C82FAC">
        <w:rPr>
          <w:lang w:val="en-GB"/>
        </w:rPr>
        <w:t xml:space="preserve"> In addition, these astrologers not only used the perspective of the northern hemisphere concerning the zodiac, they also placed east on the left side of the horoscope and south above the head of the individual.</w:t>
      </w:r>
      <w:r w:rsidR="00C82FAC">
        <w:rPr>
          <w:rStyle w:val="Funotenzeichen"/>
          <w:lang w:val="en-GB"/>
        </w:rPr>
        <w:footnoteReference w:id="31"/>
      </w:r>
      <w:r w:rsidR="00C64BEB">
        <w:rPr>
          <w:lang w:val="en-GB"/>
        </w:rPr>
        <w:t xml:space="preserve"> As stated by Brady, this shows that the horoscope is not a</w:t>
      </w:r>
      <w:r w:rsidR="006760B6">
        <w:rPr>
          <w:lang w:val="en-GB"/>
        </w:rPr>
        <w:t xml:space="preserve"> simplified peace of cartography</w:t>
      </w:r>
      <w:r w:rsidR="00343484">
        <w:rPr>
          <w:lang w:val="en-GB"/>
        </w:rPr>
        <w:t>,</w:t>
      </w:r>
      <w:r w:rsidR="006760B6">
        <w:rPr>
          <w:lang w:val="en-GB"/>
        </w:rPr>
        <w:t xml:space="preserve"> but much more an ideal diagram of the individuals relationship with the heaven.</w:t>
      </w:r>
      <w:r w:rsidR="006760B6">
        <w:rPr>
          <w:rStyle w:val="Funotenzeichen"/>
          <w:lang w:val="en-GB"/>
        </w:rPr>
        <w:footnoteReference w:id="32"/>
      </w:r>
      <w:r w:rsidR="006760B6">
        <w:rPr>
          <w:lang w:val="en-GB"/>
        </w:rPr>
        <w:t xml:space="preserve"> Nonetheless, when applying</w:t>
      </w:r>
      <w:r w:rsidR="00343484">
        <w:rPr>
          <w:lang w:val="en-GB"/>
        </w:rPr>
        <w:t xml:space="preserve"> consequently</w:t>
      </w:r>
      <w:r w:rsidR="006760B6">
        <w:rPr>
          <w:lang w:val="en-GB"/>
        </w:rPr>
        <w:t xml:space="preserve"> the seasonal definition of the zodiac signs and the rulership of the planets outlined by Ptolemy in the southern hemisphere, one would have to reverse the whole zodiac</w:t>
      </w:r>
      <w:r w:rsidR="00B0330B">
        <w:rPr>
          <w:lang w:val="en-GB"/>
        </w:rPr>
        <w:t xml:space="preserve"> with</w:t>
      </w:r>
      <w:r w:rsidR="006760B6">
        <w:rPr>
          <w:lang w:val="en-GB"/>
        </w:rPr>
        <w:t xml:space="preserve"> Aries beginning at the </w:t>
      </w:r>
      <w:r w:rsidR="008762CD">
        <w:rPr>
          <w:lang w:val="en-GB"/>
        </w:rPr>
        <w:t xml:space="preserve">(northern) </w:t>
      </w:r>
      <w:r w:rsidR="006760B6">
        <w:rPr>
          <w:lang w:val="en-GB"/>
        </w:rPr>
        <w:t>autum</w:t>
      </w:r>
      <w:r w:rsidR="00BF3C58">
        <w:rPr>
          <w:lang w:val="en-GB"/>
        </w:rPr>
        <w:t>n</w:t>
      </w:r>
      <w:r w:rsidR="006760B6">
        <w:rPr>
          <w:lang w:val="en-GB"/>
        </w:rPr>
        <w:t xml:space="preserve"> equinox about the 20</w:t>
      </w:r>
      <w:r w:rsidR="006760B6" w:rsidRPr="006760B6">
        <w:rPr>
          <w:vertAlign w:val="superscript"/>
          <w:lang w:val="en-GB"/>
        </w:rPr>
        <w:t>th</w:t>
      </w:r>
      <w:r w:rsidR="006760B6">
        <w:rPr>
          <w:lang w:val="en-GB"/>
        </w:rPr>
        <w:t xml:space="preserve"> of September. </w:t>
      </w:r>
      <w:r w:rsidR="00BF3C58">
        <w:rPr>
          <w:lang w:val="en-GB"/>
        </w:rPr>
        <w:t xml:space="preserve">The core problem, however, would not be resolved by reversing the zodiac signs, because it would implicate that </w:t>
      </w:r>
      <w:r w:rsidR="00053DBC">
        <w:rPr>
          <w:lang w:val="en-GB"/>
        </w:rPr>
        <w:t>on</w:t>
      </w:r>
      <w:r w:rsidR="00BF3C58">
        <w:rPr>
          <w:lang w:val="en-GB"/>
        </w:rPr>
        <w:t xml:space="preserve"> the equator both zodiacs would coexist at the same time. Therefore, the inconsistencies of Ptolemy’s premises have to be discussed </w:t>
      </w:r>
      <w:r w:rsidR="00D05ADF">
        <w:rPr>
          <w:lang w:val="en-GB"/>
        </w:rPr>
        <w:t>according to</w:t>
      </w:r>
      <w:r w:rsidR="00BF3C58">
        <w:rPr>
          <w:lang w:val="en-GB"/>
        </w:rPr>
        <w:t xml:space="preserve"> their epistemological </w:t>
      </w:r>
      <w:r w:rsidR="00D05ADF">
        <w:rPr>
          <w:lang w:val="en-GB"/>
        </w:rPr>
        <w:t>framework</w:t>
      </w:r>
      <w:r w:rsidR="00053DBC">
        <w:rPr>
          <w:lang w:val="en-GB"/>
        </w:rPr>
        <w:t>, for t</w:t>
      </w:r>
      <w:r w:rsidR="00D05ADF">
        <w:rPr>
          <w:lang w:val="en-GB"/>
        </w:rPr>
        <w:t xml:space="preserve">he outlined contradictions only occur if Ptolemy’s statements about the </w:t>
      </w:r>
      <w:r w:rsidR="001D5110">
        <w:rPr>
          <w:lang w:val="en-GB"/>
        </w:rPr>
        <w:t xml:space="preserve">seasonal </w:t>
      </w:r>
      <w:r w:rsidR="00D05ADF">
        <w:rPr>
          <w:lang w:val="en-GB"/>
        </w:rPr>
        <w:t xml:space="preserve">nature of the zodiac are taken as definitions in a scientific (and positivistic) sense, </w:t>
      </w:r>
      <w:r w:rsidR="001D5110">
        <w:rPr>
          <w:lang w:val="en-GB"/>
        </w:rPr>
        <w:t>interpreting</w:t>
      </w:r>
      <w:r w:rsidR="00D05ADF">
        <w:rPr>
          <w:lang w:val="en-GB"/>
        </w:rPr>
        <w:t xml:space="preserve"> them as objective facts</w:t>
      </w:r>
      <w:r w:rsidR="00501FD7">
        <w:rPr>
          <w:lang w:val="en-GB"/>
        </w:rPr>
        <w:t xml:space="preserve"> and as a set of </w:t>
      </w:r>
      <w:r w:rsidR="00053DBC">
        <w:rPr>
          <w:lang w:val="en-GB"/>
        </w:rPr>
        <w:t xml:space="preserve">definite </w:t>
      </w:r>
      <w:r w:rsidR="00501FD7">
        <w:rPr>
          <w:lang w:val="en-GB"/>
        </w:rPr>
        <w:t>knowledge, independent from the observer</w:t>
      </w:r>
      <w:r w:rsidR="005448DA">
        <w:rPr>
          <w:lang w:val="en-GB"/>
        </w:rPr>
        <w:t>’s point of view</w:t>
      </w:r>
      <w:r w:rsidR="00501FD7">
        <w:rPr>
          <w:lang w:val="en-GB"/>
        </w:rPr>
        <w:t xml:space="preserve">. </w:t>
      </w:r>
      <w:r w:rsidR="005448DA">
        <w:rPr>
          <w:lang w:val="en-GB"/>
        </w:rPr>
        <w:t xml:space="preserve">As the analysis of Ptolemy’s premises </w:t>
      </w:r>
      <w:r w:rsidR="009F040E">
        <w:rPr>
          <w:lang w:val="en-GB"/>
        </w:rPr>
        <w:t xml:space="preserve">have shown, </w:t>
      </w:r>
      <w:r w:rsidR="00531F88">
        <w:rPr>
          <w:lang w:val="en-GB"/>
        </w:rPr>
        <w:t>these conditions</w:t>
      </w:r>
      <w:r w:rsidR="009F040E">
        <w:rPr>
          <w:lang w:val="en-GB"/>
        </w:rPr>
        <w:t xml:space="preserve"> are not fulfilled, although this does not mean that his astrological assumptions can not be valued as </w:t>
      </w:r>
      <w:r w:rsidR="005C5F72">
        <w:rPr>
          <w:lang w:val="en-GB"/>
        </w:rPr>
        <w:t>‘</w:t>
      </w:r>
      <w:r w:rsidR="009F040E">
        <w:rPr>
          <w:lang w:val="en-GB"/>
        </w:rPr>
        <w:t>scientific</w:t>
      </w:r>
      <w:r w:rsidR="005C5F72">
        <w:rPr>
          <w:lang w:val="en-GB"/>
        </w:rPr>
        <w:t>’</w:t>
      </w:r>
      <w:r w:rsidR="009F040E">
        <w:rPr>
          <w:lang w:val="en-GB"/>
        </w:rPr>
        <w:t xml:space="preserve"> </w:t>
      </w:r>
      <w:r w:rsidR="00DB4750">
        <w:rPr>
          <w:lang w:val="en-GB"/>
        </w:rPr>
        <w:t>from a different perspective</w:t>
      </w:r>
      <w:r w:rsidR="009F040E">
        <w:rPr>
          <w:lang w:val="en-GB"/>
        </w:rPr>
        <w:t>.</w:t>
      </w:r>
      <w:r w:rsidR="00531F88">
        <w:rPr>
          <w:lang w:val="en-GB"/>
        </w:rPr>
        <w:t xml:space="preserve"> </w:t>
      </w:r>
      <w:r w:rsidR="00531F88">
        <w:rPr>
          <w:lang w:val="en-GB"/>
        </w:rPr>
        <w:lastRenderedPageBreak/>
        <w:t xml:space="preserve">Pingree, </w:t>
      </w:r>
      <w:r w:rsidR="0084118A">
        <w:rPr>
          <w:lang w:val="en-GB"/>
        </w:rPr>
        <w:t xml:space="preserve">who is </w:t>
      </w:r>
      <w:r w:rsidR="00531F88">
        <w:rPr>
          <w:lang w:val="en-GB"/>
        </w:rPr>
        <w:t xml:space="preserve">criticising </w:t>
      </w:r>
      <w:r w:rsidR="0084118A">
        <w:rPr>
          <w:lang w:val="en-GB"/>
        </w:rPr>
        <w:t>an understanding of science that relies on finding the single truth within the correct methodology, defines science as ‘</w:t>
      </w:r>
      <w:r w:rsidR="0084118A" w:rsidRPr="0092176A">
        <w:rPr>
          <w:lang w:val="en-GB"/>
        </w:rPr>
        <w:t>a systematic explanation of perceived or imaginary phenomena, or else is based on such an explanation’.</w:t>
      </w:r>
      <w:r w:rsidR="0084118A" w:rsidRPr="0092176A">
        <w:rPr>
          <w:rStyle w:val="Funotenzeichen"/>
          <w:lang w:val="en-GB"/>
        </w:rPr>
        <w:footnoteReference w:id="33"/>
      </w:r>
      <w:r w:rsidR="0084118A">
        <w:rPr>
          <w:lang w:val="en-GB"/>
        </w:rPr>
        <w:t xml:space="preserve"> </w:t>
      </w:r>
      <w:r w:rsidR="00BA0B73">
        <w:rPr>
          <w:lang w:val="en-GB"/>
        </w:rPr>
        <w:t>Following this definition of science, Ptolemy’s claims can be seen as scientific, although they may not be generalizable across every place</w:t>
      </w:r>
      <w:r w:rsidR="00053DBC">
        <w:rPr>
          <w:lang w:val="en-GB"/>
        </w:rPr>
        <w:t xml:space="preserve"> </w:t>
      </w:r>
      <w:r w:rsidR="00BA0B73">
        <w:rPr>
          <w:lang w:val="en-GB"/>
        </w:rPr>
        <w:t xml:space="preserve">on earth because of their cultural </w:t>
      </w:r>
      <w:r w:rsidR="008762CD">
        <w:rPr>
          <w:lang w:val="en-GB"/>
        </w:rPr>
        <w:t xml:space="preserve">(or local) </w:t>
      </w:r>
      <w:r w:rsidR="00BA0B73">
        <w:rPr>
          <w:lang w:val="en-GB"/>
        </w:rPr>
        <w:t>foundations</w:t>
      </w:r>
      <w:r w:rsidR="00CD6621">
        <w:rPr>
          <w:lang w:val="en-GB"/>
        </w:rPr>
        <w:t xml:space="preserve"> </w:t>
      </w:r>
      <w:r w:rsidR="00624550">
        <w:rPr>
          <w:lang w:val="en-GB"/>
        </w:rPr>
        <w:t xml:space="preserve">which </w:t>
      </w:r>
      <w:r w:rsidR="00F80139">
        <w:rPr>
          <w:lang w:val="en-GB"/>
        </w:rPr>
        <w:t>are</w:t>
      </w:r>
      <w:r w:rsidR="00DB4750">
        <w:rPr>
          <w:lang w:val="en-GB"/>
        </w:rPr>
        <w:t xml:space="preserve"> </w:t>
      </w:r>
      <w:r w:rsidR="00624550">
        <w:rPr>
          <w:lang w:val="en-GB"/>
        </w:rPr>
        <w:t>co</w:t>
      </w:r>
      <w:r w:rsidR="00F80139">
        <w:rPr>
          <w:lang w:val="en-GB"/>
        </w:rPr>
        <w:t>nfounded</w:t>
      </w:r>
      <w:r w:rsidR="00624550">
        <w:rPr>
          <w:lang w:val="en-GB"/>
        </w:rPr>
        <w:t xml:space="preserve"> </w:t>
      </w:r>
      <w:r w:rsidR="00BA0B73">
        <w:rPr>
          <w:lang w:val="en-GB"/>
        </w:rPr>
        <w:t>with the</w:t>
      </w:r>
      <w:r w:rsidR="00F80139">
        <w:rPr>
          <w:lang w:val="en-GB"/>
        </w:rPr>
        <w:t>ir</w:t>
      </w:r>
      <w:r w:rsidR="00BA0B73">
        <w:rPr>
          <w:lang w:val="en-GB"/>
        </w:rPr>
        <w:t xml:space="preserve"> </w:t>
      </w:r>
      <w:r w:rsidR="00282B0B">
        <w:rPr>
          <w:lang w:val="en-GB"/>
        </w:rPr>
        <w:t xml:space="preserve">context of discovery. </w:t>
      </w:r>
      <w:r w:rsidR="006D5C6B">
        <w:rPr>
          <w:lang w:val="en-GB"/>
        </w:rPr>
        <w:t xml:space="preserve">Concluding the outlined arguments, the foundation of the tropical zodiac and its emerging contradictions when moving to southern latitudes show clearly the cultural impact </w:t>
      </w:r>
      <w:r w:rsidR="008762CD">
        <w:rPr>
          <w:lang w:val="en-GB"/>
        </w:rPr>
        <w:t>on</w:t>
      </w:r>
      <w:r w:rsidR="006D5C6B">
        <w:rPr>
          <w:lang w:val="en-GB"/>
        </w:rPr>
        <w:t xml:space="preserve"> Ptolemy’s definitions. </w:t>
      </w:r>
    </w:p>
    <w:p w:rsidR="004F6665" w:rsidRDefault="00F80139" w:rsidP="00410478">
      <w:pPr>
        <w:spacing w:line="276" w:lineRule="auto"/>
        <w:divId w:val="889610246"/>
        <w:rPr>
          <w:lang w:val="en-GB"/>
        </w:rPr>
      </w:pPr>
      <w:r>
        <w:rPr>
          <w:lang w:val="en-GB"/>
        </w:rPr>
        <w:tab/>
        <w:t xml:space="preserve">A third example of different </w:t>
      </w:r>
      <w:r w:rsidR="00545A2E">
        <w:rPr>
          <w:lang w:val="en-GB"/>
        </w:rPr>
        <w:t>(cr</w:t>
      </w:r>
      <w:r w:rsidR="00A22134">
        <w:rPr>
          <w:lang w:val="en-GB"/>
        </w:rPr>
        <w:t>o</w:t>
      </w:r>
      <w:r w:rsidR="00545A2E">
        <w:rPr>
          <w:lang w:val="en-GB"/>
        </w:rPr>
        <w:t>ss-)</w:t>
      </w:r>
      <w:r>
        <w:rPr>
          <w:lang w:val="en-GB"/>
        </w:rPr>
        <w:t xml:space="preserve">cultural narratives linked to celestial phenomena are the various interpretations concerning the </w:t>
      </w:r>
      <w:r w:rsidR="00B72D72">
        <w:rPr>
          <w:lang w:val="en-GB"/>
        </w:rPr>
        <w:t>heliacal r</w:t>
      </w:r>
      <w:r>
        <w:rPr>
          <w:lang w:val="en-GB"/>
        </w:rPr>
        <w:t>ising</w:t>
      </w:r>
      <w:r w:rsidR="00B72D72">
        <w:rPr>
          <w:lang w:val="en-GB"/>
        </w:rPr>
        <w:t xml:space="preserve"> </w:t>
      </w:r>
      <w:r>
        <w:rPr>
          <w:lang w:val="en-GB"/>
        </w:rPr>
        <w:t>of the star Siriu</w:t>
      </w:r>
      <w:r w:rsidR="00B72D72">
        <w:rPr>
          <w:lang w:val="en-GB"/>
        </w:rPr>
        <w:t>s</w:t>
      </w:r>
      <w:r w:rsidR="00860FE4">
        <w:rPr>
          <w:lang w:val="en-GB"/>
        </w:rPr>
        <w:t xml:space="preserve">. In Egypt, </w:t>
      </w:r>
      <w:r w:rsidR="009E2457">
        <w:rPr>
          <w:lang w:val="en-GB"/>
        </w:rPr>
        <w:t>Sirius</w:t>
      </w:r>
      <w:r w:rsidR="00860FE4">
        <w:rPr>
          <w:lang w:val="en-GB"/>
        </w:rPr>
        <w:t xml:space="preserve"> was </w:t>
      </w:r>
      <w:r w:rsidR="001C55FB">
        <w:rPr>
          <w:lang w:val="en-GB"/>
        </w:rPr>
        <w:t xml:space="preserve">marking the </w:t>
      </w:r>
      <w:r w:rsidR="00860FE4">
        <w:rPr>
          <w:lang w:val="en-GB"/>
        </w:rPr>
        <w:t>beginning of a cycle that was known by the Greeks as ‘Sothic Cycle’, Sothis being another name for Sirius.</w:t>
      </w:r>
      <w:r w:rsidR="00860FE4">
        <w:rPr>
          <w:rStyle w:val="Funotenzeichen"/>
          <w:lang w:val="en-GB"/>
        </w:rPr>
        <w:footnoteReference w:id="34"/>
      </w:r>
      <w:r>
        <w:rPr>
          <w:lang w:val="en-GB"/>
        </w:rPr>
        <w:t xml:space="preserve"> </w:t>
      </w:r>
      <w:r w:rsidR="00860FE4">
        <w:rPr>
          <w:lang w:val="en-GB"/>
        </w:rPr>
        <w:t>The Sothic Cycle was vital to Egyptian culture due to the correlation of Sirius’ heliacal rising with the annual flooding of the Nile, bringing back fertility to the land.</w:t>
      </w:r>
      <w:r w:rsidR="00860FE4">
        <w:rPr>
          <w:rStyle w:val="Funotenzeichen"/>
          <w:lang w:val="en-GB"/>
        </w:rPr>
        <w:footnoteReference w:id="35"/>
      </w:r>
      <w:r w:rsidR="00860FE4">
        <w:rPr>
          <w:lang w:val="en-GB"/>
        </w:rPr>
        <w:t xml:space="preserve"> The beginning of the Sothic Cycle</w:t>
      </w:r>
      <w:r w:rsidR="00C138A0">
        <w:rPr>
          <w:lang w:val="en-GB"/>
        </w:rPr>
        <w:t xml:space="preserve"> also</w:t>
      </w:r>
      <w:r w:rsidR="00860FE4">
        <w:rPr>
          <w:lang w:val="en-GB"/>
        </w:rPr>
        <w:t xml:space="preserve"> coincided with the first of the month Thot of the civil Egyptian calendar.</w:t>
      </w:r>
      <w:r w:rsidR="00860FE4">
        <w:rPr>
          <w:rStyle w:val="Funotenzeichen"/>
          <w:lang w:val="en-GB"/>
        </w:rPr>
        <w:footnoteReference w:id="36"/>
      </w:r>
      <w:r w:rsidR="00860FE4">
        <w:rPr>
          <w:lang w:val="en-GB"/>
        </w:rPr>
        <w:t xml:space="preserve"> </w:t>
      </w:r>
      <w:r w:rsidR="00545A2E">
        <w:rPr>
          <w:lang w:val="en-GB"/>
        </w:rPr>
        <w:t>Within this calendar</w:t>
      </w:r>
      <w:r w:rsidR="00411E2B">
        <w:rPr>
          <w:lang w:val="en-GB"/>
        </w:rPr>
        <w:t>, the month Thot</w:t>
      </w:r>
      <w:r w:rsidR="00545A2E">
        <w:rPr>
          <w:lang w:val="en-GB"/>
        </w:rPr>
        <w:t xml:space="preserve"> not only</w:t>
      </w:r>
      <w:r w:rsidR="00411E2B">
        <w:rPr>
          <w:lang w:val="en-GB"/>
        </w:rPr>
        <w:t xml:space="preserve"> marked the flooding of the Nile,</w:t>
      </w:r>
      <w:r w:rsidR="00545A2E">
        <w:rPr>
          <w:lang w:val="en-GB"/>
        </w:rPr>
        <w:t xml:space="preserve"> but also </w:t>
      </w:r>
      <w:r w:rsidR="00411E2B">
        <w:rPr>
          <w:lang w:val="en-GB"/>
        </w:rPr>
        <w:t>the first of three seasons known by the Egyptians: flood, seedtime and harvest.</w:t>
      </w:r>
      <w:r w:rsidR="00411E2B">
        <w:rPr>
          <w:rStyle w:val="Funotenzeichen"/>
          <w:lang w:val="en-GB"/>
        </w:rPr>
        <w:footnoteReference w:id="37"/>
      </w:r>
      <w:r w:rsidR="00411E2B">
        <w:rPr>
          <w:lang w:val="en-GB"/>
        </w:rPr>
        <w:t xml:space="preserve"> </w:t>
      </w:r>
      <w:r w:rsidR="00C6401C">
        <w:rPr>
          <w:lang w:val="en-GB"/>
        </w:rPr>
        <w:t>However, the Sothic Cycle had not only an impact on the agricultural</w:t>
      </w:r>
      <w:r w:rsidR="00545A2E">
        <w:rPr>
          <w:lang w:val="en-GB"/>
        </w:rPr>
        <w:t xml:space="preserve"> practices</w:t>
      </w:r>
      <w:r w:rsidR="00C6401C">
        <w:rPr>
          <w:lang w:val="en-GB"/>
        </w:rPr>
        <w:t xml:space="preserve"> but also on religious activities like rituals to save the quality of the flood.</w:t>
      </w:r>
      <w:r w:rsidR="00C6401C">
        <w:rPr>
          <w:rStyle w:val="Funotenzeichen"/>
          <w:lang w:val="en-GB"/>
        </w:rPr>
        <w:footnoteReference w:id="38"/>
      </w:r>
      <w:r w:rsidR="00C6401C">
        <w:rPr>
          <w:lang w:val="en-GB"/>
        </w:rPr>
        <w:t xml:space="preserve"> </w:t>
      </w:r>
      <w:r w:rsidR="00AB3AEE">
        <w:rPr>
          <w:lang w:val="en-GB"/>
        </w:rPr>
        <w:t>Here a</w:t>
      </w:r>
      <w:r w:rsidR="00C6401C">
        <w:rPr>
          <w:lang w:val="en-GB"/>
        </w:rPr>
        <w:t xml:space="preserve">gain, as already shown in the example of the </w:t>
      </w:r>
      <w:r w:rsidR="00AB3AEE">
        <w:rPr>
          <w:lang w:val="en-GB"/>
        </w:rPr>
        <w:t xml:space="preserve">construction of the tropical </w:t>
      </w:r>
      <w:r w:rsidR="00B0115B">
        <w:rPr>
          <w:lang w:val="en-GB"/>
        </w:rPr>
        <w:t>Sun</w:t>
      </w:r>
      <w:r w:rsidR="00AB3AEE">
        <w:rPr>
          <w:lang w:val="en-GB"/>
        </w:rPr>
        <w:t xml:space="preserve"> sign zodiac and the rulership of </w:t>
      </w:r>
      <w:r w:rsidR="00545A2E">
        <w:rPr>
          <w:lang w:val="en-GB"/>
        </w:rPr>
        <w:t>the</w:t>
      </w:r>
      <w:r w:rsidR="00AB3AEE">
        <w:rPr>
          <w:lang w:val="en-GB"/>
        </w:rPr>
        <w:t xml:space="preserve"> planets over </w:t>
      </w:r>
      <w:r w:rsidR="009E2457">
        <w:rPr>
          <w:lang w:val="en-GB"/>
        </w:rPr>
        <w:t xml:space="preserve">distinct </w:t>
      </w:r>
      <w:r w:rsidR="00B03B2C">
        <w:rPr>
          <w:lang w:val="en-GB"/>
        </w:rPr>
        <w:t>s</w:t>
      </w:r>
      <w:r w:rsidR="00B0115B">
        <w:rPr>
          <w:lang w:val="en-GB"/>
        </w:rPr>
        <w:t>un</w:t>
      </w:r>
      <w:r w:rsidR="00AB3AEE">
        <w:rPr>
          <w:lang w:val="en-GB"/>
        </w:rPr>
        <w:t xml:space="preserve"> sign</w:t>
      </w:r>
      <w:r w:rsidR="009E2457">
        <w:rPr>
          <w:lang w:val="en-GB"/>
        </w:rPr>
        <w:t>s</w:t>
      </w:r>
      <w:r w:rsidR="00AB3AEE">
        <w:rPr>
          <w:lang w:val="en-GB"/>
        </w:rPr>
        <w:t>, elements of myths or religion and agricultural or seasonal phenomena were highly intertwined: the heliacal rise of Sirius</w:t>
      </w:r>
      <w:r w:rsidR="008F70B7">
        <w:rPr>
          <w:lang w:val="en-GB"/>
        </w:rPr>
        <w:t>, correlating with the flood</w:t>
      </w:r>
      <w:r w:rsidR="009E2457">
        <w:rPr>
          <w:lang w:val="en-GB"/>
        </w:rPr>
        <w:t>ing</w:t>
      </w:r>
      <w:r w:rsidR="008F70B7">
        <w:rPr>
          <w:lang w:val="en-GB"/>
        </w:rPr>
        <w:t xml:space="preserve"> of the Nile, was associated with the soul of the goddess Isis who was weeping for the loss of her brother Osiris and whose tears cause</w:t>
      </w:r>
      <w:r w:rsidR="00413A78">
        <w:rPr>
          <w:lang w:val="en-GB"/>
        </w:rPr>
        <w:t>d</w:t>
      </w:r>
      <w:r w:rsidR="008F70B7">
        <w:rPr>
          <w:lang w:val="en-GB"/>
        </w:rPr>
        <w:t xml:space="preserve"> the </w:t>
      </w:r>
      <w:r w:rsidR="0005526B">
        <w:rPr>
          <w:lang w:val="en-GB"/>
        </w:rPr>
        <w:t xml:space="preserve">annual </w:t>
      </w:r>
      <w:r w:rsidR="008F70B7">
        <w:rPr>
          <w:lang w:val="en-GB"/>
        </w:rPr>
        <w:t>flood.</w:t>
      </w:r>
      <w:r w:rsidR="008F70B7">
        <w:rPr>
          <w:rStyle w:val="Funotenzeichen"/>
          <w:lang w:val="en-GB"/>
        </w:rPr>
        <w:footnoteReference w:id="39"/>
      </w:r>
      <w:r w:rsidR="0005526B">
        <w:rPr>
          <w:lang w:val="en-GB"/>
        </w:rPr>
        <w:t xml:space="preserve"> So, for the Egyptians the annual rising of the Nile had also a religious background and therefore the water of the Nile was holy</w:t>
      </w:r>
      <w:r w:rsidR="00B634D8">
        <w:rPr>
          <w:lang w:val="en-GB"/>
        </w:rPr>
        <w:t>,</w:t>
      </w:r>
      <w:r w:rsidR="006B4B03">
        <w:rPr>
          <w:lang w:val="en-GB"/>
        </w:rPr>
        <w:t xml:space="preserve"> </w:t>
      </w:r>
      <w:r w:rsidR="00B634D8">
        <w:rPr>
          <w:lang w:val="en-GB"/>
        </w:rPr>
        <w:t>allowing</w:t>
      </w:r>
      <w:r w:rsidR="006B4B03">
        <w:rPr>
          <w:lang w:val="en-GB"/>
        </w:rPr>
        <w:t xml:space="preserve"> e.g.</w:t>
      </w:r>
      <w:r w:rsidR="00B634D8">
        <w:rPr>
          <w:lang w:val="en-GB"/>
        </w:rPr>
        <w:t xml:space="preserve"> only the priests to touch people who came to death by drowning in the river or being killed by </w:t>
      </w:r>
      <w:r w:rsidR="00B03B2C">
        <w:rPr>
          <w:lang w:val="en-GB"/>
        </w:rPr>
        <w:t>the</w:t>
      </w:r>
      <w:r w:rsidR="00F37477">
        <w:rPr>
          <w:lang w:val="en-GB"/>
        </w:rPr>
        <w:t xml:space="preserve"> crocodile</w:t>
      </w:r>
      <w:r w:rsidR="00B03B2C">
        <w:rPr>
          <w:lang w:val="en-GB"/>
        </w:rPr>
        <w:t>s</w:t>
      </w:r>
      <w:r w:rsidR="00F37477">
        <w:rPr>
          <w:lang w:val="en-GB"/>
        </w:rPr>
        <w:t xml:space="preserve"> of the Nile</w:t>
      </w:r>
      <w:r w:rsidR="00B634D8">
        <w:rPr>
          <w:lang w:val="en-GB"/>
        </w:rPr>
        <w:t>.</w:t>
      </w:r>
      <w:r w:rsidR="00F37477">
        <w:rPr>
          <w:rStyle w:val="Funotenzeichen"/>
          <w:lang w:val="en-GB"/>
        </w:rPr>
        <w:footnoteReference w:id="40"/>
      </w:r>
      <w:r w:rsidR="006B4B03">
        <w:rPr>
          <w:lang w:val="en-GB"/>
        </w:rPr>
        <w:t xml:space="preserve"> Furthermore, the water of the Nile</w:t>
      </w:r>
      <w:r w:rsidR="00486953">
        <w:rPr>
          <w:lang w:val="en-GB"/>
        </w:rPr>
        <w:t xml:space="preserve"> was seen as magical and many attributes were ascribed to it like its ability to heal people or to regenerate not only the living ones, but also the death.</w:t>
      </w:r>
      <w:r w:rsidR="00486953">
        <w:rPr>
          <w:rStyle w:val="Funotenzeichen"/>
          <w:lang w:val="en-GB"/>
        </w:rPr>
        <w:footnoteReference w:id="41"/>
      </w:r>
      <w:r w:rsidR="00545A2E">
        <w:rPr>
          <w:lang w:val="en-GB"/>
        </w:rPr>
        <w:t xml:space="preserve"> </w:t>
      </w:r>
      <w:r w:rsidR="00CA2288">
        <w:rPr>
          <w:lang w:val="en-GB"/>
        </w:rPr>
        <w:t>Nonetheless, t</w:t>
      </w:r>
      <w:r w:rsidR="0047724F">
        <w:rPr>
          <w:lang w:val="en-GB"/>
        </w:rPr>
        <w:t xml:space="preserve">he life-spending and </w:t>
      </w:r>
      <w:r w:rsidR="00413A78">
        <w:rPr>
          <w:lang w:val="en-GB"/>
        </w:rPr>
        <w:t>religious</w:t>
      </w:r>
      <w:r w:rsidR="0047724F">
        <w:rPr>
          <w:lang w:val="en-GB"/>
        </w:rPr>
        <w:t xml:space="preserve"> </w:t>
      </w:r>
      <w:r w:rsidR="00CA2288">
        <w:rPr>
          <w:lang w:val="en-GB"/>
        </w:rPr>
        <w:t>attributes</w:t>
      </w:r>
      <w:r w:rsidR="0047724F">
        <w:rPr>
          <w:lang w:val="en-GB"/>
        </w:rPr>
        <w:t xml:space="preserve"> of Sirius in Egyptian culture </w:t>
      </w:r>
      <w:r w:rsidR="00B03B2C">
        <w:rPr>
          <w:lang w:val="en-GB"/>
        </w:rPr>
        <w:t xml:space="preserve">are </w:t>
      </w:r>
      <w:r w:rsidR="00CA2288">
        <w:rPr>
          <w:lang w:val="en-GB"/>
        </w:rPr>
        <w:t xml:space="preserve">not valid </w:t>
      </w:r>
      <w:r w:rsidR="00D96190">
        <w:rPr>
          <w:lang w:val="en-GB"/>
        </w:rPr>
        <w:t>across Western</w:t>
      </w:r>
      <w:r w:rsidR="00CA2288">
        <w:rPr>
          <w:lang w:val="en-GB"/>
        </w:rPr>
        <w:t xml:space="preserve"> culture</w:t>
      </w:r>
      <w:r w:rsidR="00B03B2C">
        <w:rPr>
          <w:lang w:val="en-GB"/>
        </w:rPr>
        <w:t>s</w:t>
      </w:r>
      <w:r w:rsidR="00CA2288">
        <w:rPr>
          <w:lang w:val="en-GB"/>
        </w:rPr>
        <w:t>. Long, i.</w:t>
      </w:r>
      <w:r w:rsidR="00B03B2C">
        <w:rPr>
          <w:lang w:val="en-GB"/>
        </w:rPr>
        <w:t xml:space="preserve"> </w:t>
      </w:r>
      <w:r w:rsidR="00CA2288">
        <w:rPr>
          <w:lang w:val="en-GB"/>
        </w:rPr>
        <w:t xml:space="preserve">a. referring to the etymological meaning of the Greek word ‘seirios’ as ‘hot, burning’, reveals a very different meaning of the so called ‘Dog-Star’ Sirius in </w:t>
      </w:r>
      <w:r w:rsidR="00D96190">
        <w:rPr>
          <w:lang w:val="en-GB"/>
        </w:rPr>
        <w:t>Western</w:t>
      </w:r>
      <w:r w:rsidR="00CA2288">
        <w:rPr>
          <w:lang w:val="en-GB"/>
        </w:rPr>
        <w:t xml:space="preserve"> culture</w:t>
      </w:r>
      <w:r w:rsidR="00F17CD0">
        <w:rPr>
          <w:lang w:val="en-GB"/>
        </w:rPr>
        <w:t>s</w:t>
      </w:r>
      <w:r w:rsidR="00CA2288">
        <w:rPr>
          <w:lang w:val="en-GB"/>
        </w:rPr>
        <w:t>.</w:t>
      </w:r>
      <w:r w:rsidR="00CA2288">
        <w:rPr>
          <w:rStyle w:val="Funotenzeichen"/>
          <w:lang w:val="en-GB"/>
        </w:rPr>
        <w:footnoteReference w:id="42"/>
      </w:r>
      <w:r w:rsidR="00CA2288">
        <w:rPr>
          <w:lang w:val="en-GB"/>
        </w:rPr>
        <w:t xml:space="preserve"> In ge</w:t>
      </w:r>
      <w:r w:rsidR="00D96190">
        <w:rPr>
          <w:lang w:val="en-GB"/>
        </w:rPr>
        <w:t>neral, the heliacal rising of Sirius was also associated with the burning heat of the summer, that makes dogs mad, snakes blind, eggs addled and liquids poisonous.</w:t>
      </w:r>
      <w:r w:rsidR="00D96190">
        <w:rPr>
          <w:rStyle w:val="Funotenzeichen"/>
          <w:lang w:val="en-GB"/>
        </w:rPr>
        <w:footnoteReference w:id="43"/>
      </w:r>
      <w:r w:rsidR="00D96190">
        <w:rPr>
          <w:lang w:val="en-GB"/>
        </w:rPr>
        <w:t xml:space="preserve"> The correlation of the Dog-Star Sirius with liquids becoming poisonous shows indeed </w:t>
      </w:r>
      <w:r w:rsidR="00344F40">
        <w:rPr>
          <w:lang w:val="en-GB"/>
        </w:rPr>
        <w:t>a</w:t>
      </w:r>
      <w:r w:rsidR="00D96190">
        <w:rPr>
          <w:lang w:val="en-GB"/>
        </w:rPr>
        <w:t xml:space="preserve"> </w:t>
      </w:r>
      <w:r w:rsidR="0028683F">
        <w:rPr>
          <w:lang w:val="en-GB"/>
        </w:rPr>
        <w:t xml:space="preserve">remarkable difference of </w:t>
      </w:r>
      <w:r w:rsidR="00D96190">
        <w:rPr>
          <w:lang w:val="en-GB"/>
        </w:rPr>
        <w:t xml:space="preserve">the meaning and worship of </w:t>
      </w:r>
      <w:r w:rsidR="00D96190">
        <w:rPr>
          <w:lang w:val="en-GB"/>
        </w:rPr>
        <w:lastRenderedPageBreak/>
        <w:t xml:space="preserve">Sirius in Egypt </w:t>
      </w:r>
      <w:r w:rsidR="0028683F">
        <w:rPr>
          <w:lang w:val="en-GB"/>
        </w:rPr>
        <w:t xml:space="preserve">on the one hand </w:t>
      </w:r>
      <w:r w:rsidR="00D96190">
        <w:rPr>
          <w:lang w:val="en-GB"/>
        </w:rPr>
        <w:t>and its connection with the Dog-Days in Western culture</w:t>
      </w:r>
      <w:r w:rsidR="00344F40">
        <w:rPr>
          <w:lang w:val="en-GB"/>
        </w:rPr>
        <w:t>s</w:t>
      </w:r>
      <w:r w:rsidR="0028683F">
        <w:rPr>
          <w:lang w:val="en-GB"/>
        </w:rPr>
        <w:t xml:space="preserve"> on the other </w:t>
      </w:r>
      <w:r w:rsidR="00413A78">
        <w:rPr>
          <w:lang w:val="en-GB"/>
        </w:rPr>
        <w:t>hand</w:t>
      </w:r>
      <w:r w:rsidR="00D96190">
        <w:rPr>
          <w:lang w:val="en-GB"/>
        </w:rPr>
        <w:t>. While in Egypt Sirius was seen as Symbol for the fertile water of the Nile</w:t>
      </w:r>
      <w:r w:rsidR="00692890">
        <w:rPr>
          <w:lang w:val="en-GB"/>
        </w:rPr>
        <w:t xml:space="preserve"> and the goddess Isis</w:t>
      </w:r>
      <w:r w:rsidR="00D96190">
        <w:rPr>
          <w:lang w:val="en-GB"/>
        </w:rPr>
        <w:t xml:space="preserve">, he was </w:t>
      </w:r>
      <w:r w:rsidR="0028683F">
        <w:rPr>
          <w:lang w:val="en-GB"/>
        </w:rPr>
        <w:t>linked in Western culture</w:t>
      </w:r>
      <w:r w:rsidR="00344F40">
        <w:rPr>
          <w:lang w:val="en-GB"/>
        </w:rPr>
        <w:t>s</w:t>
      </w:r>
      <w:r w:rsidR="00692890">
        <w:rPr>
          <w:lang w:val="en-GB"/>
        </w:rPr>
        <w:t xml:space="preserve"> with the hunting</w:t>
      </w:r>
      <w:r w:rsidR="00413A78">
        <w:rPr>
          <w:lang w:val="en-GB"/>
        </w:rPr>
        <w:t>-</w:t>
      </w:r>
      <w:r w:rsidR="00692890">
        <w:rPr>
          <w:lang w:val="en-GB"/>
        </w:rPr>
        <w:t>dog of Orion and</w:t>
      </w:r>
      <w:r w:rsidR="0028683F">
        <w:rPr>
          <w:lang w:val="en-GB"/>
        </w:rPr>
        <w:t xml:space="preserve"> to the fact that in summer time, when Sirius is rising in the east, bathing and swimming or drinking water can be dangerous.</w:t>
      </w:r>
      <w:r w:rsidR="0028683F">
        <w:rPr>
          <w:rStyle w:val="Funotenzeichen"/>
          <w:lang w:val="en-GB"/>
        </w:rPr>
        <w:footnoteReference w:id="44"/>
      </w:r>
      <w:r w:rsidR="0028683F">
        <w:rPr>
          <w:lang w:val="en-GB"/>
        </w:rPr>
        <w:t xml:space="preserve"> </w:t>
      </w:r>
      <w:r w:rsidR="005A619F">
        <w:rPr>
          <w:lang w:val="en-GB"/>
        </w:rPr>
        <w:t>Early testimonies of the Dog</w:t>
      </w:r>
      <w:r w:rsidR="00A55744">
        <w:rPr>
          <w:lang w:val="en-GB"/>
        </w:rPr>
        <w:t>-</w:t>
      </w:r>
      <w:r w:rsidR="005A619F">
        <w:rPr>
          <w:lang w:val="en-GB"/>
        </w:rPr>
        <w:t>Star Sirius and its drying nature can be traced to ancient authors like</w:t>
      </w:r>
      <w:r w:rsidR="00A55744">
        <w:rPr>
          <w:lang w:val="en-GB"/>
        </w:rPr>
        <w:t xml:space="preserve"> the Greek</w:t>
      </w:r>
      <w:r w:rsidR="005A619F">
        <w:rPr>
          <w:lang w:val="en-GB"/>
        </w:rPr>
        <w:t xml:space="preserve"> Oppian (2</w:t>
      </w:r>
      <w:r w:rsidR="005A619F" w:rsidRPr="005A619F">
        <w:rPr>
          <w:vertAlign w:val="superscript"/>
          <w:lang w:val="en-GB"/>
        </w:rPr>
        <w:t>nd</w:t>
      </w:r>
      <w:r w:rsidR="005A619F">
        <w:rPr>
          <w:lang w:val="en-GB"/>
        </w:rPr>
        <w:t xml:space="preserve"> century A.D.)</w:t>
      </w:r>
      <w:r w:rsidR="004965D0">
        <w:rPr>
          <w:lang w:val="en-GB"/>
        </w:rPr>
        <w:t xml:space="preserve"> or</w:t>
      </w:r>
      <w:r w:rsidR="005A619F">
        <w:rPr>
          <w:lang w:val="en-GB"/>
        </w:rPr>
        <w:t xml:space="preserve"> </w:t>
      </w:r>
      <w:r w:rsidR="00A55744">
        <w:rPr>
          <w:lang w:val="en-GB"/>
        </w:rPr>
        <w:t xml:space="preserve">the Gallo-Roman </w:t>
      </w:r>
      <w:r w:rsidR="005A619F">
        <w:rPr>
          <w:lang w:val="en-GB"/>
        </w:rPr>
        <w:t>Ausonius (4</w:t>
      </w:r>
      <w:r w:rsidR="005A619F" w:rsidRPr="005A619F">
        <w:rPr>
          <w:vertAlign w:val="superscript"/>
          <w:lang w:val="en-GB"/>
        </w:rPr>
        <w:t>th</w:t>
      </w:r>
      <w:r w:rsidR="005A619F">
        <w:rPr>
          <w:lang w:val="en-GB"/>
        </w:rPr>
        <w:t xml:space="preserve"> century A.D.)</w:t>
      </w:r>
      <w:r w:rsidR="004965D0">
        <w:rPr>
          <w:lang w:val="en-GB"/>
        </w:rPr>
        <w:t xml:space="preserve">. </w:t>
      </w:r>
      <w:r w:rsidR="00833B5D">
        <w:rPr>
          <w:lang w:val="en-GB"/>
        </w:rPr>
        <w:t>I</w:t>
      </w:r>
      <w:r w:rsidR="004965D0">
        <w:rPr>
          <w:lang w:val="en-GB"/>
        </w:rPr>
        <w:t xml:space="preserve">n one of his didactic poems </w:t>
      </w:r>
      <w:r w:rsidR="00833B5D">
        <w:rPr>
          <w:lang w:val="en-GB"/>
        </w:rPr>
        <w:t>concerning</w:t>
      </w:r>
      <w:r w:rsidR="004965D0">
        <w:rPr>
          <w:lang w:val="en-GB"/>
        </w:rPr>
        <w:t xml:space="preserve"> fishing,</w:t>
      </w:r>
      <w:r w:rsidR="00833B5D">
        <w:rPr>
          <w:lang w:val="en-GB"/>
        </w:rPr>
        <w:t xml:space="preserve"> Oppian</w:t>
      </w:r>
      <w:r w:rsidR="004965D0">
        <w:rPr>
          <w:lang w:val="en-GB"/>
        </w:rPr>
        <w:t xml:space="preserve"> describes</w:t>
      </w:r>
      <w:r w:rsidR="00833B5D">
        <w:rPr>
          <w:lang w:val="en-GB"/>
        </w:rPr>
        <w:t xml:space="preserve"> the characteristics</w:t>
      </w:r>
      <w:r w:rsidR="004965D0">
        <w:rPr>
          <w:lang w:val="en-GB"/>
        </w:rPr>
        <w:t xml:space="preserve"> </w:t>
      </w:r>
      <w:r w:rsidR="00833B5D">
        <w:rPr>
          <w:lang w:val="en-GB"/>
        </w:rPr>
        <w:t xml:space="preserve">of </w:t>
      </w:r>
      <w:r w:rsidR="004965D0">
        <w:rPr>
          <w:lang w:val="en-GB"/>
        </w:rPr>
        <w:t>the Hake ‘</w:t>
      </w:r>
      <w:r w:rsidR="004965D0" w:rsidRPr="004965D0">
        <w:rPr>
          <w:lang w:val="en-GB"/>
        </w:rPr>
        <w:t>which beyond all fishes shrinks from the bitter assault of the Dog-</w:t>
      </w:r>
      <w:r w:rsidR="00413A78">
        <w:rPr>
          <w:lang w:val="en-GB"/>
        </w:rPr>
        <w:t>s</w:t>
      </w:r>
      <w:r w:rsidR="004965D0" w:rsidRPr="004965D0">
        <w:rPr>
          <w:lang w:val="en-GB"/>
        </w:rPr>
        <w:t>tar in summer, and remains retired within</w:t>
      </w:r>
      <w:r w:rsidR="004965D0">
        <w:rPr>
          <w:lang w:val="en-GB"/>
        </w:rPr>
        <w:t xml:space="preserve"> </w:t>
      </w:r>
      <w:r w:rsidR="004965D0" w:rsidRPr="004965D0">
        <w:rPr>
          <w:lang w:val="en-GB"/>
        </w:rPr>
        <w:t>his dark recess and comes not forth so long as the breath of the fierce star prevails</w:t>
      </w:r>
      <w:r w:rsidR="000C4664">
        <w:rPr>
          <w:lang w:val="en-GB"/>
        </w:rPr>
        <w:t>’.</w:t>
      </w:r>
      <w:r w:rsidR="004965D0">
        <w:rPr>
          <w:rStyle w:val="Funotenzeichen"/>
          <w:lang w:val="en-GB"/>
        </w:rPr>
        <w:footnoteReference w:id="45"/>
      </w:r>
      <w:r w:rsidR="0045349B">
        <w:rPr>
          <w:lang w:val="en-GB"/>
        </w:rPr>
        <w:t xml:space="preserve"> </w:t>
      </w:r>
      <w:r w:rsidR="00A55744">
        <w:rPr>
          <w:lang w:val="en-GB"/>
        </w:rPr>
        <w:t>Ausonius also refers in one of his poems to the heat-bringing Dog-Star, saying that ‘</w:t>
      </w:r>
      <w:r w:rsidR="00A55744" w:rsidRPr="00A55744">
        <w:rPr>
          <w:lang w:val="en-GB"/>
        </w:rPr>
        <w:t>The rainy Spring flits by lacking its flower, the heat-bringing Dog-Star parches, Pomona brings not variety of sweet autumn fruits, and with outpoured water Aquarius makes gloomy all the winter</w:t>
      </w:r>
      <w:r w:rsidR="00A55744">
        <w:rPr>
          <w:lang w:val="en-GB"/>
        </w:rPr>
        <w:t>’</w:t>
      </w:r>
      <w:r w:rsidR="00A55744" w:rsidRPr="00A55744">
        <w:rPr>
          <w:lang w:val="en-GB"/>
        </w:rPr>
        <w:t>.</w:t>
      </w:r>
      <w:r w:rsidR="00A55744">
        <w:rPr>
          <w:rStyle w:val="Funotenzeichen"/>
          <w:lang w:val="en-GB"/>
        </w:rPr>
        <w:footnoteReference w:id="46"/>
      </w:r>
      <w:r w:rsidR="00BD4434">
        <w:rPr>
          <w:lang w:val="en-GB"/>
        </w:rPr>
        <w:t xml:space="preserve"> The reception of Sirius in this (didactical) poems show clear evidence, that in the Greek and Gallo-Roman culture this star was not perceived as beneficial </w:t>
      </w:r>
      <w:r w:rsidR="00344F40">
        <w:rPr>
          <w:lang w:val="en-GB"/>
        </w:rPr>
        <w:t>like</w:t>
      </w:r>
      <w:r w:rsidR="00BD4434">
        <w:rPr>
          <w:lang w:val="en-GB"/>
        </w:rPr>
        <w:t xml:space="preserve"> in Egypt, e.g. by assigning Sirius a bad impact on the Hakes. </w:t>
      </w:r>
      <w:r w:rsidR="00C47E42">
        <w:rPr>
          <w:lang w:val="en-GB"/>
        </w:rPr>
        <w:t>However, Sirius’ perception is not only diverse throughout the Western cultures: in the southern hemispheres, the rising of Sirius takes place in winter and therefore</w:t>
      </w:r>
      <w:r w:rsidR="00CB4295">
        <w:rPr>
          <w:lang w:val="en-GB"/>
        </w:rPr>
        <w:t xml:space="preserve"> </w:t>
      </w:r>
      <w:r w:rsidR="00C47E42">
        <w:rPr>
          <w:lang w:val="en-GB"/>
        </w:rPr>
        <w:t xml:space="preserve">different </w:t>
      </w:r>
      <w:r w:rsidR="00CB4295">
        <w:rPr>
          <w:lang w:val="en-GB"/>
        </w:rPr>
        <w:t>meanings</w:t>
      </w:r>
      <w:r w:rsidR="00C47E42">
        <w:rPr>
          <w:lang w:val="en-GB"/>
        </w:rPr>
        <w:t xml:space="preserve"> </w:t>
      </w:r>
      <w:r w:rsidR="00CB4295">
        <w:rPr>
          <w:lang w:val="en-GB"/>
        </w:rPr>
        <w:t>were</w:t>
      </w:r>
      <w:r w:rsidR="00C47E42">
        <w:rPr>
          <w:lang w:val="en-GB"/>
        </w:rPr>
        <w:t xml:space="preserve"> </w:t>
      </w:r>
      <w:r w:rsidR="00CB4295">
        <w:rPr>
          <w:lang w:val="en-GB"/>
        </w:rPr>
        <w:t>attributed</w:t>
      </w:r>
      <w:r w:rsidR="00C47E42">
        <w:rPr>
          <w:lang w:val="en-GB"/>
        </w:rPr>
        <w:t xml:space="preserve"> to him.</w:t>
      </w:r>
      <w:r w:rsidR="00C47E42">
        <w:rPr>
          <w:rStyle w:val="Funotenzeichen"/>
          <w:lang w:val="en-GB"/>
        </w:rPr>
        <w:footnoteReference w:id="47"/>
      </w:r>
      <w:r w:rsidR="00CB4295">
        <w:rPr>
          <w:lang w:val="en-GB"/>
        </w:rPr>
        <w:t xml:space="preserve"> </w:t>
      </w:r>
      <w:r w:rsidR="004F6665">
        <w:rPr>
          <w:lang w:val="en-GB"/>
        </w:rPr>
        <w:t>When in South Africa Sirius is rising in winter, bringing along the greatest cold of the year, the Bushmen try to heat up the chilling star by pointing to it with a burning piece of wood.</w:t>
      </w:r>
      <w:r w:rsidR="004F6665">
        <w:rPr>
          <w:rStyle w:val="Funotenzeichen"/>
          <w:lang w:val="en-GB"/>
        </w:rPr>
        <w:footnoteReference w:id="48"/>
      </w:r>
      <w:r w:rsidR="003F5DF6">
        <w:rPr>
          <w:lang w:val="en-GB"/>
        </w:rPr>
        <w:t xml:space="preserve"> Analogous to the Egyptian goddess Isis or the hunting-dog of Orion in the Western World, the Bushmen called Sirius the grandmother of Canopus, because Sirius rises after Canopus and for the Bushmen the elderly usually follow the more agile youths.</w:t>
      </w:r>
      <w:r w:rsidR="003F5DF6">
        <w:rPr>
          <w:rStyle w:val="Funotenzeichen"/>
          <w:lang w:val="en-GB"/>
        </w:rPr>
        <w:footnoteReference w:id="49"/>
      </w:r>
      <w:r w:rsidR="003F5DF6">
        <w:rPr>
          <w:lang w:val="en-GB"/>
        </w:rPr>
        <w:t xml:space="preserve"> </w:t>
      </w:r>
      <w:r w:rsidR="004F6665">
        <w:rPr>
          <w:lang w:val="en-GB"/>
        </w:rPr>
        <w:t>Th</w:t>
      </w:r>
      <w:r w:rsidR="003F5DF6">
        <w:rPr>
          <w:lang w:val="en-GB"/>
        </w:rPr>
        <w:t>e</w:t>
      </w:r>
      <w:r w:rsidR="004F6665">
        <w:rPr>
          <w:lang w:val="en-GB"/>
        </w:rPr>
        <w:t xml:space="preserve"> </w:t>
      </w:r>
      <w:r w:rsidR="003945C7">
        <w:rPr>
          <w:lang w:val="en-GB"/>
        </w:rPr>
        <w:t>example</w:t>
      </w:r>
      <w:r w:rsidR="003F5DF6">
        <w:rPr>
          <w:lang w:val="en-GB"/>
        </w:rPr>
        <w:t xml:space="preserve"> of the South African Bushmen</w:t>
      </w:r>
      <w:r w:rsidR="004F6665">
        <w:rPr>
          <w:lang w:val="en-GB"/>
        </w:rPr>
        <w:t xml:space="preserve"> </w:t>
      </w:r>
      <w:r w:rsidR="003945C7">
        <w:rPr>
          <w:lang w:val="en-GB"/>
        </w:rPr>
        <w:t>provides clear</w:t>
      </w:r>
      <w:r w:rsidR="004F6665">
        <w:rPr>
          <w:lang w:val="en-GB"/>
        </w:rPr>
        <w:t xml:space="preserve"> similarities with the confounding between the meaning of the twelve solar zodiac signs and the seasonal changes in the northern hemisphere</w:t>
      </w:r>
      <w:r w:rsidR="003945C7">
        <w:rPr>
          <w:lang w:val="en-GB"/>
        </w:rPr>
        <w:t>, however, in the case of Sirius an adapted interpretation for southern latitudes is given</w:t>
      </w:r>
      <w:r w:rsidR="001D1336">
        <w:rPr>
          <w:lang w:val="en-GB"/>
        </w:rPr>
        <w:t xml:space="preserve"> by the Bushmen</w:t>
      </w:r>
      <w:r w:rsidR="003945C7">
        <w:rPr>
          <w:lang w:val="en-GB"/>
        </w:rPr>
        <w:t xml:space="preserve">. </w:t>
      </w:r>
      <w:r w:rsidR="003F5DF6">
        <w:rPr>
          <w:lang w:val="en-GB"/>
        </w:rPr>
        <w:t xml:space="preserve">Comparing the examples of Egypt, the Western World and South Africa, varying meanings of Sirius </w:t>
      </w:r>
      <w:r w:rsidR="00E606C2">
        <w:rPr>
          <w:lang w:val="en-GB"/>
        </w:rPr>
        <w:t>can be traced along two main criteria</w:t>
      </w:r>
      <w:r w:rsidR="00413A78">
        <w:rPr>
          <w:lang w:val="en-GB"/>
        </w:rPr>
        <w:t xml:space="preserve"> again</w:t>
      </w:r>
      <w:r w:rsidR="00E606C2">
        <w:rPr>
          <w:lang w:val="en-GB"/>
        </w:rPr>
        <w:t xml:space="preserve">: </w:t>
      </w:r>
      <w:r w:rsidR="00601435">
        <w:rPr>
          <w:lang w:val="en-GB"/>
        </w:rPr>
        <w:t>a</w:t>
      </w:r>
      <w:r w:rsidR="00A974C6">
        <w:rPr>
          <w:lang w:val="en-GB"/>
        </w:rPr>
        <w:t xml:space="preserve">griculture and </w:t>
      </w:r>
      <w:r w:rsidR="00601435">
        <w:rPr>
          <w:lang w:val="en-GB"/>
        </w:rPr>
        <w:t>m</w:t>
      </w:r>
      <w:r w:rsidR="00A974C6">
        <w:rPr>
          <w:lang w:val="en-GB"/>
        </w:rPr>
        <w:t xml:space="preserve">yth / </w:t>
      </w:r>
      <w:r w:rsidR="00601435">
        <w:rPr>
          <w:lang w:val="en-GB"/>
        </w:rPr>
        <w:t>r</w:t>
      </w:r>
      <w:r w:rsidR="00A974C6">
        <w:rPr>
          <w:lang w:val="en-GB"/>
        </w:rPr>
        <w:t>eligion. Considering the agricultural and environmental aspect, Sirius was perceived as fertilising in Egypt, as parching especially in the Greek and Roman part of the Western World and chilling in South Africa. Looking at the myt</w:t>
      </w:r>
      <w:r w:rsidR="00C15F46">
        <w:rPr>
          <w:lang w:val="en-GB"/>
        </w:rPr>
        <w:t>hological or religious meanings, Sirius was associated with the</w:t>
      </w:r>
      <w:r w:rsidR="00344F40">
        <w:rPr>
          <w:lang w:val="en-GB"/>
        </w:rPr>
        <w:t xml:space="preserve"> live-spending</w:t>
      </w:r>
      <w:r w:rsidR="00C15F46">
        <w:rPr>
          <w:lang w:val="en-GB"/>
        </w:rPr>
        <w:t xml:space="preserve"> goddess Isis in Egypt, with the hunting-dog of Orion in the Western World and as the grandmother of Canopus in South Africa. </w:t>
      </w:r>
      <w:r w:rsidR="008B4321">
        <w:rPr>
          <w:lang w:val="en-GB"/>
        </w:rPr>
        <w:t xml:space="preserve">Taking into consideration </w:t>
      </w:r>
      <w:r w:rsidR="001D1336">
        <w:rPr>
          <w:lang w:val="en-GB"/>
        </w:rPr>
        <w:t>the</w:t>
      </w:r>
      <w:r w:rsidR="00C15F46">
        <w:rPr>
          <w:lang w:val="en-GB"/>
        </w:rPr>
        <w:t>se</w:t>
      </w:r>
      <w:r w:rsidR="001D1336">
        <w:rPr>
          <w:lang w:val="en-GB"/>
        </w:rPr>
        <w:t xml:space="preserve"> various interpretations </w:t>
      </w:r>
      <w:r w:rsidR="00955EC5">
        <w:rPr>
          <w:lang w:val="en-GB"/>
        </w:rPr>
        <w:t>of the star</w:t>
      </w:r>
      <w:r w:rsidR="001D1336">
        <w:rPr>
          <w:lang w:val="en-GB"/>
        </w:rPr>
        <w:t xml:space="preserve"> Sirius</w:t>
      </w:r>
      <w:r w:rsidR="00C15F46">
        <w:rPr>
          <w:lang w:val="en-GB"/>
        </w:rPr>
        <w:t xml:space="preserve">, </w:t>
      </w:r>
      <w:r w:rsidR="00955EC5">
        <w:rPr>
          <w:lang w:val="en-GB"/>
        </w:rPr>
        <w:t xml:space="preserve">convincing evidence for the cultural impact on perceptions of the cosmos can be outlined. </w:t>
      </w:r>
    </w:p>
    <w:p w:rsidR="001C55FB" w:rsidRPr="00EB111A" w:rsidRDefault="00601435" w:rsidP="00410478">
      <w:pPr>
        <w:spacing w:line="276" w:lineRule="auto"/>
        <w:divId w:val="889610246"/>
        <w:rPr>
          <w:lang w:val="en-GB"/>
        </w:rPr>
      </w:pPr>
      <w:r>
        <w:rPr>
          <w:lang w:val="en-GB"/>
        </w:rPr>
        <w:tab/>
        <w:t xml:space="preserve">To conclude the </w:t>
      </w:r>
      <w:r w:rsidR="00341095">
        <w:rPr>
          <w:lang w:val="en-GB"/>
        </w:rPr>
        <w:t>discussion</w:t>
      </w:r>
      <w:r>
        <w:rPr>
          <w:lang w:val="en-GB"/>
        </w:rPr>
        <w:t xml:space="preserve"> of the question whether perceptions of the cosmos are culturally conditioned or not</w:t>
      </w:r>
      <w:r w:rsidR="000B745E">
        <w:rPr>
          <w:lang w:val="en-GB"/>
        </w:rPr>
        <w:t xml:space="preserve">, </w:t>
      </w:r>
      <w:r w:rsidR="00341095">
        <w:rPr>
          <w:lang w:val="en-GB"/>
        </w:rPr>
        <w:t>the analysis throughout three different topics of astrological assumptions provide clear indications for the impact of cultural practices</w:t>
      </w:r>
      <w:r w:rsidR="00452B7B">
        <w:rPr>
          <w:lang w:val="en-GB"/>
        </w:rPr>
        <w:t xml:space="preserve"> and beliefs</w:t>
      </w:r>
      <w:r w:rsidR="00341095">
        <w:rPr>
          <w:lang w:val="en-GB"/>
        </w:rPr>
        <w:t xml:space="preserve"> on how the cosmos </w:t>
      </w:r>
      <w:r w:rsidR="00341095">
        <w:rPr>
          <w:lang w:val="en-GB"/>
        </w:rPr>
        <w:lastRenderedPageBreak/>
        <w:t xml:space="preserve">is perceived. </w:t>
      </w:r>
      <w:r w:rsidR="00452B7B">
        <w:rPr>
          <w:lang w:val="en-GB"/>
        </w:rPr>
        <w:t>T</w:t>
      </w:r>
      <w:r w:rsidR="00341095">
        <w:rPr>
          <w:lang w:val="en-GB"/>
        </w:rPr>
        <w:t xml:space="preserve">he investigation of </w:t>
      </w:r>
      <w:r>
        <w:rPr>
          <w:lang w:val="en-GB"/>
        </w:rPr>
        <w:t xml:space="preserve">how </w:t>
      </w:r>
      <w:r w:rsidR="00341095">
        <w:rPr>
          <w:lang w:val="en-GB"/>
        </w:rPr>
        <w:t>masculinity and femininity</w:t>
      </w:r>
      <w:r>
        <w:rPr>
          <w:lang w:val="en-GB"/>
        </w:rPr>
        <w:t xml:space="preserve"> is ascribed to the Sun and the Moon, </w:t>
      </w:r>
      <w:r w:rsidR="00452B7B">
        <w:rPr>
          <w:lang w:val="en-GB"/>
        </w:rPr>
        <w:t>considering</w:t>
      </w:r>
      <w:r w:rsidR="00341095">
        <w:rPr>
          <w:lang w:val="en-GB"/>
        </w:rPr>
        <w:t xml:space="preserve"> the stories and myths</w:t>
      </w:r>
      <w:r w:rsidR="00452B7B">
        <w:rPr>
          <w:lang w:val="en-GB"/>
        </w:rPr>
        <w:t xml:space="preserve"> about the luminaries</w:t>
      </w:r>
      <w:r w:rsidR="00341095">
        <w:rPr>
          <w:lang w:val="en-GB"/>
        </w:rPr>
        <w:t xml:space="preserve"> </w:t>
      </w:r>
      <w:r w:rsidR="00452B7B">
        <w:rPr>
          <w:lang w:val="en-GB"/>
        </w:rPr>
        <w:t xml:space="preserve">in the </w:t>
      </w:r>
      <w:r w:rsidR="00341095">
        <w:rPr>
          <w:lang w:val="en-GB"/>
        </w:rPr>
        <w:t>Western world,</w:t>
      </w:r>
      <w:r w:rsidR="00452B7B">
        <w:rPr>
          <w:lang w:val="en-GB"/>
        </w:rPr>
        <w:t xml:space="preserve"> India, America and Africa, revealed varying associations with male or female characteristics.</w:t>
      </w:r>
      <w:r w:rsidR="00F84644">
        <w:rPr>
          <w:lang w:val="en-GB"/>
        </w:rPr>
        <w:t xml:space="preserve"> Furthermore, the </w:t>
      </w:r>
      <w:r w:rsidR="006F4386">
        <w:rPr>
          <w:lang w:val="en-GB"/>
        </w:rPr>
        <w:t xml:space="preserve">fact that the characteristics of the solar zodiac described by Ptolemy in his </w:t>
      </w:r>
      <w:r w:rsidR="006F4386" w:rsidRPr="006F4386">
        <w:rPr>
          <w:i/>
          <w:lang w:val="en-GB"/>
        </w:rPr>
        <w:t xml:space="preserve">Tetrabiblos </w:t>
      </w:r>
      <w:r w:rsidR="006F4386">
        <w:rPr>
          <w:lang w:val="en-GB"/>
        </w:rPr>
        <w:t xml:space="preserve">are only valid for the northern latitudes </w:t>
      </w:r>
      <w:r w:rsidR="00632BDD">
        <w:rPr>
          <w:lang w:val="en-GB"/>
        </w:rPr>
        <w:t>demonstrates</w:t>
      </w:r>
      <w:r w:rsidR="006F4386">
        <w:rPr>
          <w:lang w:val="en-GB"/>
        </w:rPr>
        <w:t xml:space="preserve"> </w:t>
      </w:r>
      <w:r w:rsidR="00632BDD">
        <w:rPr>
          <w:lang w:val="en-GB"/>
        </w:rPr>
        <w:t xml:space="preserve">the remarkable influence of the local environment on </w:t>
      </w:r>
      <w:r w:rsidR="008B5CA1">
        <w:rPr>
          <w:lang w:val="en-GB"/>
        </w:rPr>
        <w:t xml:space="preserve">his </w:t>
      </w:r>
      <w:r w:rsidR="00632BDD">
        <w:rPr>
          <w:lang w:val="en-GB"/>
        </w:rPr>
        <w:t>assumptions. As shown in both</w:t>
      </w:r>
      <w:r w:rsidR="00CB0CDB">
        <w:rPr>
          <w:lang w:val="en-GB"/>
        </w:rPr>
        <w:t xml:space="preserve"> – </w:t>
      </w:r>
      <w:r w:rsidR="00632BDD">
        <w:rPr>
          <w:lang w:val="en-GB"/>
        </w:rPr>
        <w:t xml:space="preserve">the analysis of the </w:t>
      </w:r>
      <w:r w:rsidR="008B5CA1">
        <w:rPr>
          <w:lang w:val="en-GB"/>
        </w:rPr>
        <w:t xml:space="preserve">Western </w:t>
      </w:r>
      <w:r w:rsidR="00632BDD">
        <w:rPr>
          <w:lang w:val="en-GB"/>
        </w:rPr>
        <w:t xml:space="preserve">solar zodiac and </w:t>
      </w:r>
      <w:r w:rsidR="00CB0CDB">
        <w:rPr>
          <w:lang w:val="en-GB"/>
        </w:rPr>
        <w:t xml:space="preserve">of the Dog-Star Sirius – properties of the local environment get merged with myths </w:t>
      </w:r>
      <w:r w:rsidR="00684229">
        <w:rPr>
          <w:lang w:val="en-GB"/>
        </w:rPr>
        <w:t>or</w:t>
      </w:r>
      <w:r w:rsidR="00CB0CDB">
        <w:rPr>
          <w:lang w:val="en-GB"/>
        </w:rPr>
        <w:t xml:space="preserve"> religious practices, shaping the perception of the cosmos. </w:t>
      </w:r>
      <w:r w:rsidR="00CA540E">
        <w:rPr>
          <w:lang w:val="en-GB"/>
        </w:rPr>
        <w:t xml:space="preserve">Ptolemy did that implicitly by referring to the Sun as a male body by nature, however, the historical </w:t>
      </w:r>
      <w:r w:rsidR="0032133A">
        <w:rPr>
          <w:lang w:val="en-GB"/>
        </w:rPr>
        <w:t xml:space="preserve">and cultural </w:t>
      </w:r>
      <w:r w:rsidR="00CA540E">
        <w:rPr>
          <w:lang w:val="en-GB"/>
        </w:rPr>
        <w:t xml:space="preserve">roots of his assumptions </w:t>
      </w:r>
      <w:r w:rsidR="008B5CA1">
        <w:rPr>
          <w:lang w:val="en-GB"/>
        </w:rPr>
        <w:t>may</w:t>
      </w:r>
      <w:r w:rsidR="0032133A">
        <w:rPr>
          <w:lang w:val="en-GB"/>
        </w:rPr>
        <w:t xml:space="preserve"> be traced back to the Greek and Hellenistic myths of Apollo and Helios, the male sun-gods. </w:t>
      </w:r>
      <w:r w:rsidR="00CB0CDB">
        <w:rPr>
          <w:lang w:val="en-GB"/>
        </w:rPr>
        <w:t xml:space="preserve">In the case of Sirius, the local fact of his heliacal rising in Egypt correlating with the annual flooding of the Nile was combined with religious practices and beliefs concerning the goddess Isis. </w:t>
      </w:r>
      <w:r w:rsidR="008B5CA1">
        <w:rPr>
          <w:lang w:val="en-GB"/>
        </w:rPr>
        <w:t xml:space="preserve">Both cases </w:t>
      </w:r>
      <w:r w:rsidR="00404C7A">
        <w:rPr>
          <w:lang w:val="en-GB"/>
        </w:rPr>
        <w:t>provide clear evidence, that locality is vital for the perception of the cosmos</w:t>
      </w:r>
      <w:r w:rsidR="00AE56EB">
        <w:rPr>
          <w:lang w:val="en-GB"/>
        </w:rPr>
        <w:t xml:space="preserve">, because the cosmos itself can only be observed from a certain </w:t>
      </w:r>
      <w:r w:rsidR="00AE56EB">
        <w:rPr>
          <w:i/>
          <w:lang w:val="en-GB"/>
        </w:rPr>
        <w:t xml:space="preserve">point of view </w:t>
      </w:r>
      <w:r w:rsidR="00AE56EB">
        <w:rPr>
          <w:lang w:val="en-GB"/>
        </w:rPr>
        <w:t xml:space="preserve">as long as cosmos is defined as the way how human beings relate themselves to it. </w:t>
      </w:r>
      <w:r w:rsidR="00EB111A">
        <w:rPr>
          <w:lang w:val="en-GB"/>
        </w:rPr>
        <w:t>Therefore,</w:t>
      </w:r>
      <w:r w:rsidR="00413A78">
        <w:rPr>
          <w:lang w:val="en-GB"/>
        </w:rPr>
        <w:t xml:space="preserve"> using this kind of definition of ‘cosmos’,</w:t>
      </w:r>
      <w:r w:rsidR="00EB111A">
        <w:rPr>
          <w:lang w:val="en-GB"/>
        </w:rPr>
        <w:t xml:space="preserve"> the perceptions of the cosmos will always be culturally conditioned, because human being</w:t>
      </w:r>
      <w:r w:rsidR="00413A78">
        <w:rPr>
          <w:lang w:val="en-GB"/>
        </w:rPr>
        <w:t xml:space="preserve">s </w:t>
      </w:r>
      <w:r w:rsidR="00EB111A">
        <w:rPr>
          <w:lang w:val="en-GB"/>
        </w:rPr>
        <w:t xml:space="preserve">can not perceive the cosmos from a </w:t>
      </w:r>
      <w:r w:rsidR="00EB111A">
        <w:rPr>
          <w:i/>
          <w:lang w:val="en-GB"/>
        </w:rPr>
        <w:t>non-local</w:t>
      </w:r>
      <w:r w:rsidR="00EB111A">
        <w:rPr>
          <w:lang w:val="en-GB"/>
        </w:rPr>
        <w:t xml:space="preserve"> point of view – otherwise, they already would be </w:t>
      </w:r>
      <w:r w:rsidR="00EB111A">
        <w:rPr>
          <w:i/>
          <w:lang w:val="en-GB"/>
        </w:rPr>
        <w:t>outside</w:t>
      </w:r>
      <w:r w:rsidR="00EB111A">
        <w:rPr>
          <w:lang w:val="en-GB"/>
        </w:rPr>
        <w:t xml:space="preserve"> the cosmos</w:t>
      </w:r>
      <w:r w:rsidR="001655DE">
        <w:rPr>
          <w:lang w:val="en-GB"/>
        </w:rPr>
        <w:t xml:space="preserve">, a contradiction </w:t>
      </w:r>
      <w:r w:rsidR="00684229">
        <w:rPr>
          <w:lang w:val="en-GB"/>
        </w:rPr>
        <w:t xml:space="preserve">to its </w:t>
      </w:r>
      <w:r w:rsidR="001655DE">
        <w:rPr>
          <w:lang w:val="en-GB"/>
        </w:rPr>
        <w:t>anthropological definition</w:t>
      </w:r>
      <w:r w:rsidR="00D23EDB">
        <w:rPr>
          <w:lang w:val="en-GB"/>
        </w:rPr>
        <w:t xml:space="preserve">. </w:t>
      </w:r>
    </w:p>
    <w:p w:rsidR="00053DBC" w:rsidRPr="00FF63E9" w:rsidRDefault="00053DBC" w:rsidP="00CD6621">
      <w:pPr>
        <w:spacing w:line="276" w:lineRule="auto"/>
        <w:ind w:left="708"/>
        <w:divId w:val="889610246"/>
        <w:rPr>
          <w:lang w:val="en-GB"/>
        </w:rPr>
      </w:pPr>
    </w:p>
    <w:p w:rsidR="00DC73CF" w:rsidRDefault="00DC73CF">
      <w:pPr>
        <w:spacing w:line="240" w:lineRule="auto"/>
        <w:contextualSpacing w:val="0"/>
        <w:jc w:val="left"/>
        <w:rPr>
          <w:lang w:val="en-GB"/>
        </w:rPr>
      </w:pPr>
      <w:r>
        <w:rPr>
          <w:lang w:val="en-GB"/>
        </w:rPr>
        <w:br w:type="page"/>
      </w:r>
    </w:p>
    <w:p w:rsidR="00DC73CF" w:rsidRDefault="00DC73CF" w:rsidP="00DC73CF">
      <w:pPr>
        <w:spacing w:line="276" w:lineRule="auto"/>
        <w:rPr>
          <w:b/>
          <w:sz w:val="28"/>
          <w:lang w:val="en-GB"/>
        </w:rPr>
      </w:pPr>
      <w:r w:rsidRPr="00DC73CF">
        <w:rPr>
          <w:b/>
          <w:sz w:val="28"/>
          <w:lang w:val="en-GB"/>
        </w:rPr>
        <w:lastRenderedPageBreak/>
        <w:t>Bibliography</w:t>
      </w:r>
    </w:p>
    <w:p w:rsidR="00DC73CF" w:rsidRDefault="00DC73CF" w:rsidP="00DC73CF">
      <w:pPr>
        <w:spacing w:line="276" w:lineRule="auto"/>
        <w:rPr>
          <w:lang w:val="en-GB"/>
        </w:rPr>
      </w:pPr>
    </w:p>
    <w:p w:rsidR="006C0C6D" w:rsidRPr="006C0C6D" w:rsidRDefault="006C0C6D" w:rsidP="00A6538C">
      <w:pPr>
        <w:spacing w:line="276" w:lineRule="auto"/>
        <w:ind w:left="284" w:hanging="284"/>
        <w:rPr>
          <w:b/>
          <w:lang w:val="en-GB"/>
        </w:rPr>
      </w:pPr>
      <w:r w:rsidRPr="006C0C6D">
        <w:rPr>
          <w:b/>
          <w:lang w:val="en-GB"/>
        </w:rPr>
        <w:t>Primary Sources:</w:t>
      </w:r>
    </w:p>
    <w:p w:rsidR="006C0C6D" w:rsidRDefault="006C0C6D" w:rsidP="00A6538C">
      <w:pPr>
        <w:spacing w:line="276" w:lineRule="auto"/>
        <w:ind w:left="284" w:hanging="284"/>
        <w:rPr>
          <w:lang w:val="en-GB"/>
        </w:rPr>
      </w:pPr>
    </w:p>
    <w:p w:rsidR="001E3B26" w:rsidRPr="001E3B26" w:rsidRDefault="001E3B26" w:rsidP="001E3B26">
      <w:pPr>
        <w:spacing w:line="276" w:lineRule="auto"/>
        <w:ind w:left="284" w:hanging="284"/>
        <w:rPr>
          <w:lang w:val="en-US"/>
        </w:rPr>
      </w:pPr>
      <w:r w:rsidRPr="001E3B26">
        <w:rPr>
          <w:lang w:val="en-US"/>
        </w:rPr>
        <w:t xml:space="preserve">Ausonius and Paulinus Pellaeus, </w:t>
      </w:r>
      <w:r w:rsidRPr="001E3B26">
        <w:rPr>
          <w:i/>
          <w:lang w:val="en-US"/>
        </w:rPr>
        <w:t>Volume II: Books 18-20. Paulinus Pellaeus: Eucharisticus</w:t>
      </w:r>
      <w:r w:rsidRPr="001E3B26">
        <w:rPr>
          <w:lang w:val="en-US"/>
        </w:rPr>
        <w:t>, trans. by Hugh G. Evelyn-White (Cambridge, MA: Harvard University Press, 1921).</w:t>
      </w:r>
    </w:p>
    <w:p w:rsidR="001E3B26" w:rsidRDefault="001E3B26" w:rsidP="003923E1">
      <w:pPr>
        <w:spacing w:line="276" w:lineRule="auto"/>
        <w:ind w:left="284" w:hanging="284"/>
        <w:rPr>
          <w:lang w:val="en-US"/>
        </w:rPr>
      </w:pPr>
    </w:p>
    <w:p w:rsidR="000C3FF7" w:rsidRPr="001E3B26" w:rsidRDefault="000C3FF7" w:rsidP="003923E1">
      <w:pPr>
        <w:spacing w:line="276" w:lineRule="auto"/>
        <w:ind w:left="284" w:hanging="284"/>
        <w:rPr>
          <w:lang w:val="en-US"/>
        </w:rPr>
      </w:pPr>
      <w:r w:rsidRPr="001E3B26">
        <w:rPr>
          <w:lang w:val="en-US"/>
        </w:rPr>
        <w:t xml:space="preserve">Campion, </w:t>
      </w:r>
      <w:r w:rsidR="003923E1" w:rsidRPr="001E3B26">
        <w:rPr>
          <w:lang w:val="en-US"/>
        </w:rPr>
        <w:t>Nicholas</w:t>
      </w:r>
      <w:r w:rsidR="00CC5EAF">
        <w:rPr>
          <w:lang w:val="en-US"/>
        </w:rPr>
        <w:t>.</w:t>
      </w:r>
      <w:r w:rsidR="003923E1" w:rsidRPr="001E3B26">
        <w:rPr>
          <w:lang w:val="en-US"/>
        </w:rPr>
        <w:t xml:space="preserve"> </w:t>
      </w:r>
      <w:r w:rsidRPr="001E3B26">
        <w:rPr>
          <w:lang w:val="en-US"/>
        </w:rPr>
        <w:t xml:space="preserve">‘The Importance of Cosmology in Culture: Contexts and Consequences’, in </w:t>
      </w:r>
      <w:r w:rsidRPr="001E3B26">
        <w:rPr>
          <w:i/>
          <w:lang w:val="en-US"/>
        </w:rPr>
        <w:t>Cosmology</w:t>
      </w:r>
      <w:r w:rsidRPr="001E3B26">
        <w:rPr>
          <w:lang w:val="en-US"/>
        </w:rPr>
        <w:t>, ed. by Abraao Jesse Capistrano de Souza</w:t>
      </w:r>
      <w:r w:rsidR="003923E1" w:rsidRPr="001E3B26">
        <w:rPr>
          <w:lang w:val="en-US"/>
        </w:rPr>
        <w:t xml:space="preserve">, </w:t>
      </w:r>
      <w:r w:rsidR="003923E1" w:rsidRPr="001E3B26">
        <w:rPr>
          <w:lang w:val="en-US"/>
        </w:rPr>
        <w:t>pp. 3-17</w:t>
      </w:r>
      <w:r w:rsidR="003923E1" w:rsidRPr="001E3B26">
        <w:rPr>
          <w:lang w:val="en-US"/>
        </w:rPr>
        <w:t xml:space="preserve"> </w:t>
      </w:r>
      <w:r w:rsidRPr="001E3B26">
        <w:rPr>
          <w:lang w:val="en-US"/>
        </w:rPr>
        <w:t xml:space="preserve">(IntechOpen: 2017), </w:t>
      </w:r>
      <w:r w:rsidR="003923E1" w:rsidRPr="001E3B26">
        <w:rPr>
          <w:lang w:val="en-US"/>
        </w:rPr>
        <w:t xml:space="preserve">  </w:t>
      </w:r>
      <w:hyperlink r:id="rId11" w:history="1">
        <w:r w:rsidR="003923E1" w:rsidRPr="001E3B26">
          <w:rPr>
            <w:rStyle w:val="Hyperlink"/>
            <w:lang w:val="en-US"/>
          </w:rPr>
          <w:t>https://www.intechopen.com/books/trends-in-modern-cosmology/the-importance-of-cosmology-in-culture-con</w:t>
        </w:r>
        <w:r w:rsidR="003923E1" w:rsidRPr="001E3B26">
          <w:rPr>
            <w:rStyle w:val="Hyperlink"/>
            <w:lang w:val="en-US"/>
          </w:rPr>
          <w:t>t</w:t>
        </w:r>
        <w:r w:rsidR="003923E1" w:rsidRPr="001E3B26">
          <w:rPr>
            <w:rStyle w:val="Hyperlink"/>
            <w:lang w:val="en-US"/>
          </w:rPr>
          <w:t>exts-and-consequences</w:t>
        </w:r>
      </w:hyperlink>
    </w:p>
    <w:p w:rsidR="000C3FF7" w:rsidRPr="001E3B26" w:rsidRDefault="000C3FF7" w:rsidP="000C3FF7">
      <w:pPr>
        <w:spacing w:line="276" w:lineRule="auto"/>
        <w:rPr>
          <w:lang w:val="en-GB"/>
        </w:rPr>
      </w:pPr>
    </w:p>
    <w:p w:rsidR="000C3FF7" w:rsidRPr="001E3B26" w:rsidRDefault="000C3FF7" w:rsidP="006C0C6D">
      <w:pPr>
        <w:spacing w:line="276" w:lineRule="auto"/>
        <w:ind w:left="284" w:hanging="284"/>
        <w:rPr>
          <w:lang w:val="en-GB"/>
        </w:rPr>
      </w:pPr>
      <w:r w:rsidRPr="001E3B26">
        <w:rPr>
          <w:lang w:val="en-US"/>
        </w:rPr>
        <w:t>Eagleton,</w:t>
      </w:r>
      <w:r w:rsidR="003923E1" w:rsidRPr="001E3B26">
        <w:rPr>
          <w:lang w:val="en-US"/>
        </w:rPr>
        <w:t xml:space="preserve"> Terry,</w:t>
      </w:r>
      <w:r w:rsidRPr="001E3B26">
        <w:rPr>
          <w:lang w:val="en-US"/>
        </w:rPr>
        <w:t xml:space="preserve"> </w:t>
      </w:r>
      <w:r w:rsidRPr="001E3B26">
        <w:rPr>
          <w:i/>
          <w:lang w:val="en-US"/>
        </w:rPr>
        <w:t>The Idea of Culture</w:t>
      </w:r>
      <w:r w:rsidRPr="001E3B26">
        <w:rPr>
          <w:lang w:val="en-US"/>
        </w:rPr>
        <w:t xml:space="preserve"> (London: Blackwell Publishers Ltd, 2000)</w:t>
      </w:r>
      <w:r w:rsidR="003923E1" w:rsidRPr="001E3B26">
        <w:rPr>
          <w:lang w:val="en-US"/>
        </w:rPr>
        <w:t>.</w:t>
      </w:r>
    </w:p>
    <w:p w:rsidR="001E3B26" w:rsidRDefault="001E3B26" w:rsidP="001E3B26">
      <w:pPr>
        <w:spacing w:line="276" w:lineRule="auto"/>
        <w:ind w:left="284" w:hanging="284"/>
        <w:rPr>
          <w:lang w:val="en-US"/>
        </w:rPr>
      </w:pPr>
    </w:p>
    <w:p w:rsidR="001E3B26" w:rsidRPr="00C857B7" w:rsidRDefault="001E3B26" w:rsidP="001E3B26">
      <w:pPr>
        <w:spacing w:line="276" w:lineRule="auto"/>
        <w:ind w:left="284" w:hanging="284"/>
        <w:rPr>
          <w:lang w:val="en-US"/>
        </w:rPr>
      </w:pPr>
      <w:r w:rsidRPr="001E3B26">
        <w:rPr>
          <w:lang w:val="en-US"/>
        </w:rPr>
        <w:t xml:space="preserve">Frazer, James G., </w:t>
      </w:r>
      <w:r w:rsidRPr="001E3B26">
        <w:rPr>
          <w:i/>
          <w:lang w:val="en-US"/>
        </w:rPr>
        <w:t>The Golden Bough: Part VII, Balder the Beautiful. The Fire-Festivals of Europe and the Doctrine of the External Soul, Volume 1</w:t>
      </w:r>
      <w:r w:rsidRPr="001E3B26">
        <w:rPr>
          <w:lang w:val="en-US"/>
        </w:rPr>
        <w:t xml:space="preserve"> (London: Macmillan and Co., 1913).</w:t>
      </w:r>
    </w:p>
    <w:p w:rsidR="001E3B26" w:rsidRDefault="001E3B26" w:rsidP="001E3B26">
      <w:pPr>
        <w:spacing w:line="276" w:lineRule="auto"/>
        <w:ind w:left="284" w:hanging="284"/>
        <w:rPr>
          <w:lang w:val="en-US"/>
        </w:rPr>
      </w:pPr>
    </w:p>
    <w:p w:rsidR="001E3B26" w:rsidRPr="001E3B26" w:rsidRDefault="001E3B26" w:rsidP="001E3B26">
      <w:pPr>
        <w:spacing w:line="276" w:lineRule="auto"/>
        <w:ind w:left="284" w:hanging="284"/>
        <w:rPr>
          <w:lang w:val="en-GB"/>
        </w:rPr>
      </w:pPr>
      <w:r w:rsidRPr="001E3B26">
        <w:rPr>
          <w:lang w:val="en-US"/>
        </w:rPr>
        <w:t xml:space="preserve">Mooney, James, </w:t>
      </w:r>
      <w:r w:rsidRPr="001E3B26">
        <w:rPr>
          <w:i/>
          <w:lang w:val="en-US"/>
        </w:rPr>
        <w:t xml:space="preserve">Myths of the Cherokee </w:t>
      </w:r>
      <w:r w:rsidRPr="001E3B26">
        <w:rPr>
          <w:lang w:val="en-US"/>
        </w:rPr>
        <w:t>(Washington: Government Printing Office, 1902).</w:t>
      </w:r>
    </w:p>
    <w:p w:rsidR="001E3B26" w:rsidRDefault="001E3B26" w:rsidP="001E3B26">
      <w:pPr>
        <w:spacing w:line="276" w:lineRule="auto"/>
        <w:ind w:left="284" w:hanging="284"/>
        <w:rPr>
          <w:lang w:val="en-US"/>
        </w:rPr>
      </w:pPr>
    </w:p>
    <w:p w:rsidR="001E3B26" w:rsidRPr="001E3B26" w:rsidRDefault="001E3B26" w:rsidP="001E3B26">
      <w:pPr>
        <w:spacing w:line="276" w:lineRule="auto"/>
        <w:ind w:left="284" w:hanging="284"/>
        <w:rPr>
          <w:lang w:val="en-US"/>
        </w:rPr>
      </w:pPr>
      <w:r w:rsidRPr="001E3B26">
        <w:rPr>
          <w:lang w:val="en-US"/>
        </w:rPr>
        <w:t xml:space="preserve">Oppian, Colluthus and Tryphiodorus, </w:t>
      </w:r>
      <w:r w:rsidRPr="001E3B26">
        <w:rPr>
          <w:i/>
          <w:lang w:val="en-US"/>
        </w:rPr>
        <w:t>Oppian, Colluthus, and Tryphiodorus</w:t>
      </w:r>
      <w:r w:rsidRPr="001E3B26">
        <w:rPr>
          <w:lang w:val="en-US"/>
        </w:rPr>
        <w:t>, trans. by A. W. Mair (Cambridge, MA: Harvard University Press, 1928).</w:t>
      </w:r>
    </w:p>
    <w:p w:rsidR="006C0C6D" w:rsidRPr="001E3B26" w:rsidRDefault="006C0C6D" w:rsidP="006C0C6D">
      <w:pPr>
        <w:spacing w:line="276" w:lineRule="auto"/>
        <w:rPr>
          <w:lang w:val="en-GB"/>
        </w:rPr>
      </w:pPr>
    </w:p>
    <w:p w:rsidR="006C0C6D" w:rsidRPr="001E3B26" w:rsidRDefault="006C0C6D" w:rsidP="006C0C6D">
      <w:pPr>
        <w:spacing w:line="276" w:lineRule="auto"/>
        <w:rPr>
          <w:lang w:val="en-GB"/>
        </w:rPr>
      </w:pPr>
      <w:r w:rsidRPr="001E3B26">
        <w:rPr>
          <w:lang w:val="en-GB"/>
        </w:rPr>
        <w:t>Pingree, David, 'Hellenophilia Versus the History of Science', </w:t>
      </w:r>
      <w:r w:rsidRPr="001E3B26">
        <w:rPr>
          <w:i/>
          <w:iCs/>
          <w:lang w:val="en-GB"/>
        </w:rPr>
        <w:t>Isis, </w:t>
      </w:r>
      <w:r w:rsidRPr="001E3B26">
        <w:rPr>
          <w:lang w:val="en-GB"/>
        </w:rPr>
        <w:t xml:space="preserve">83 (1992), 554-563. </w:t>
      </w:r>
    </w:p>
    <w:p w:rsidR="006C0C6D" w:rsidRPr="001E3B26" w:rsidRDefault="006C0C6D" w:rsidP="00A6538C">
      <w:pPr>
        <w:spacing w:line="276" w:lineRule="auto"/>
        <w:ind w:left="284" w:hanging="284"/>
        <w:rPr>
          <w:lang w:val="en-GB"/>
        </w:rPr>
      </w:pPr>
    </w:p>
    <w:p w:rsidR="000C3FF7" w:rsidRPr="001E3B26" w:rsidRDefault="000C3FF7" w:rsidP="003923E1">
      <w:pPr>
        <w:spacing w:line="276" w:lineRule="auto"/>
        <w:ind w:left="284" w:hanging="284"/>
        <w:rPr>
          <w:lang w:val="en-US"/>
        </w:rPr>
      </w:pPr>
      <w:r w:rsidRPr="001E3B26">
        <w:rPr>
          <w:lang w:val="en-US"/>
        </w:rPr>
        <w:t xml:space="preserve">Ptolemaeus, </w:t>
      </w:r>
      <w:r w:rsidR="003923E1" w:rsidRPr="001E3B26">
        <w:rPr>
          <w:lang w:val="en-US"/>
        </w:rPr>
        <w:t xml:space="preserve">Claudius, </w:t>
      </w:r>
      <w:r w:rsidRPr="001E3B26">
        <w:rPr>
          <w:i/>
          <w:lang w:val="en-US"/>
        </w:rPr>
        <w:t>Tetrabiblos</w:t>
      </w:r>
      <w:r w:rsidRPr="001E3B26">
        <w:rPr>
          <w:lang w:val="en-US"/>
        </w:rPr>
        <w:t>, ed. by Reinhardt Stiehle (Tübingen: Chiron Verlag, 2012)</w:t>
      </w:r>
      <w:r w:rsidR="003923E1" w:rsidRPr="001E3B26">
        <w:rPr>
          <w:lang w:val="en-US"/>
        </w:rPr>
        <w:t>.</w:t>
      </w:r>
    </w:p>
    <w:p w:rsidR="00C857B7" w:rsidRDefault="00C857B7" w:rsidP="001E3B26">
      <w:pPr>
        <w:spacing w:line="276" w:lineRule="auto"/>
        <w:rPr>
          <w:lang w:val="en-US"/>
        </w:rPr>
      </w:pPr>
    </w:p>
    <w:p w:rsidR="00CC5EAF" w:rsidRDefault="00CC5EAF">
      <w:pPr>
        <w:spacing w:line="240" w:lineRule="auto"/>
        <w:contextualSpacing w:val="0"/>
        <w:jc w:val="left"/>
        <w:rPr>
          <w:lang w:val="en-GB"/>
        </w:rPr>
      </w:pPr>
      <w:r>
        <w:rPr>
          <w:lang w:val="en-GB"/>
        </w:rPr>
        <w:br w:type="page"/>
      </w:r>
    </w:p>
    <w:p w:rsidR="006C0C6D" w:rsidRPr="006C0C6D" w:rsidRDefault="006C0C6D" w:rsidP="00CC5EAF">
      <w:pPr>
        <w:spacing w:line="276" w:lineRule="auto"/>
        <w:rPr>
          <w:b/>
          <w:lang w:val="en-GB"/>
        </w:rPr>
      </w:pPr>
      <w:r w:rsidRPr="006C0C6D">
        <w:rPr>
          <w:b/>
          <w:lang w:val="en-GB"/>
        </w:rPr>
        <w:lastRenderedPageBreak/>
        <w:t>Secondary Sources:</w:t>
      </w:r>
    </w:p>
    <w:p w:rsidR="006C0C6D" w:rsidRDefault="006C0C6D" w:rsidP="00A6538C">
      <w:pPr>
        <w:spacing w:line="276" w:lineRule="auto"/>
        <w:ind w:left="284" w:hanging="284"/>
        <w:rPr>
          <w:lang w:val="en-GB"/>
        </w:rPr>
      </w:pPr>
    </w:p>
    <w:p w:rsidR="00C857B7" w:rsidRDefault="00C857B7" w:rsidP="00CC5EAF">
      <w:pPr>
        <w:spacing w:line="276" w:lineRule="auto"/>
        <w:ind w:left="284" w:hanging="284"/>
        <w:rPr>
          <w:lang w:val="en-US"/>
        </w:rPr>
      </w:pPr>
      <w:r w:rsidRPr="00CC5EAF">
        <w:rPr>
          <w:lang w:val="en-GB"/>
        </w:rPr>
        <w:t xml:space="preserve">Astronomical Society of Southern Africa, </w:t>
      </w:r>
      <w:r w:rsidRPr="00CC5EAF">
        <w:rPr>
          <w:i/>
          <w:lang w:val="en-GB"/>
        </w:rPr>
        <w:t>African ethnoastronomy</w:t>
      </w:r>
      <w:r w:rsidR="00CC5EAF">
        <w:rPr>
          <w:i/>
          <w:lang w:val="en-GB"/>
        </w:rPr>
        <w:t xml:space="preserve">. </w:t>
      </w:r>
      <w:r w:rsidRPr="00CC5EAF">
        <w:rPr>
          <w:i/>
          <w:lang w:val="en-GB"/>
        </w:rPr>
        <w:t>The sky and the stars</w:t>
      </w:r>
      <w:r w:rsidRPr="00CC5EAF">
        <w:rPr>
          <w:lang w:val="en-GB"/>
        </w:rPr>
        <w:t xml:space="preserve">, </w:t>
      </w:r>
      <w:r w:rsidR="00CC5EAF">
        <w:rPr>
          <w:lang w:val="en-GB"/>
        </w:rPr>
        <w:t xml:space="preserve">           </w:t>
      </w:r>
      <w:r>
        <w:rPr>
          <w:lang w:val="en-US"/>
        </w:rPr>
        <w:t xml:space="preserve">&lt; </w:t>
      </w:r>
      <w:hyperlink r:id="rId12" w:history="1">
        <w:r w:rsidRPr="00283E3B">
          <w:rPr>
            <w:rStyle w:val="Hyperlink"/>
            <w:lang w:val="en-US"/>
          </w:rPr>
          <w:t>http://assa.saao.ac.za/astronomy-in-south-africa/ethnoastronomy/</w:t>
        </w:r>
      </w:hyperlink>
      <w:r>
        <w:rPr>
          <w:lang w:val="en-US"/>
        </w:rPr>
        <w:t xml:space="preserve"> &gt;, [accessed 9</w:t>
      </w:r>
      <w:r>
        <w:rPr>
          <w:vertAlign w:val="superscript"/>
          <w:lang w:val="en-US"/>
        </w:rPr>
        <w:t xml:space="preserve"> </w:t>
      </w:r>
      <w:r>
        <w:rPr>
          <w:lang w:val="en-US"/>
        </w:rPr>
        <w:t>December 2018].</w:t>
      </w:r>
    </w:p>
    <w:p w:rsidR="001666A7" w:rsidRDefault="001666A7" w:rsidP="001666A7">
      <w:pPr>
        <w:spacing w:line="276" w:lineRule="auto"/>
        <w:ind w:left="284" w:hanging="284"/>
        <w:rPr>
          <w:lang w:val="en-US"/>
        </w:rPr>
      </w:pPr>
    </w:p>
    <w:p w:rsidR="001666A7" w:rsidRDefault="001666A7" w:rsidP="001666A7">
      <w:pPr>
        <w:spacing w:line="276" w:lineRule="auto"/>
        <w:ind w:left="284" w:hanging="284"/>
        <w:rPr>
          <w:lang w:val="en-US"/>
        </w:rPr>
      </w:pPr>
      <w:r>
        <w:rPr>
          <w:lang w:val="en-US"/>
        </w:rPr>
        <w:t xml:space="preserve">Brady, Bernadette. ‘The Horoscope as an Imago Mundi: Rethinking the Nature of the Astrologer’s Map’, in </w:t>
      </w:r>
      <w:r>
        <w:rPr>
          <w:i/>
          <w:lang w:val="en-US"/>
        </w:rPr>
        <w:t>Astrologies. Plurality and Diversity</w:t>
      </w:r>
      <w:r>
        <w:rPr>
          <w:lang w:val="en-US"/>
        </w:rPr>
        <w:t>, ed. by Nicholas Campion and Liz Greene, pp. 47-62 (UK: Sophia Centre Press, 2011).</w:t>
      </w:r>
    </w:p>
    <w:p w:rsidR="001666A7" w:rsidRDefault="001666A7" w:rsidP="001666A7">
      <w:pPr>
        <w:spacing w:line="276" w:lineRule="auto"/>
        <w:ind w:left="284" w:hanging="284"/>
        <w:rPr>
          <w:lang w:val="en-US"/>
        </w:rPr>
      </w:pPr>
    </w:p>
    <w:p w:rsidR="001666A7" w:rsidRDefault="001666A7" w:rsidP="001666A7">
      <w:pPr>
        <w:spacing w:line="276" w:lineRule="auto"/>
        <w:ind w:left="284" w:hanging="284"/>
        <w:rPr>
          <w:lang w:val="en-US"/>
        </w:rPr>
      </w:pPr>
      <w:r w:rsidRPr="00F44D0A">
        <w:rPr>
          <w:lang w:val="en-US"/>
        </w:rPr>
        <w:t xml:space="preserve">Broadbent, </w:t>
      </w:r>
      <w:r>
        <w:rPr>
          <w:lang w:val="en-US"/>
        </w:rPr>
        <w:t xml:space="preserve">Christine, ‘Celestial Magic as the ‘Love Path’: The Spiritual Cosmology of Ibn ‘Arabi’, </w:t>
      </w:r>
      <w:r w:rsidRPr="00B12ACC">
        <w:rPr>
          <w:i/>
          <w:lang w:val="en-US"/>
        </w:rPr>
        <w:t>Celestial Magic</w:t>
      </w:r>
      <w:r>
        <w:rPr>
          <w:lang w:val="en-US"/>
        </w:rPr>
        <w:t xml:space="preserve">, special issue of </w:t>
      </w:r>
      <w:r w:rsidRPr="00B12ACC">
        <w:rPr>
          <w:i/>
          <w:lang w:val="en-US"/>
        </w:rPr>
        <w:t>Culture and Cosmos</w:t>
      </w:r>
      <w:r>
        <w:rPr>
          <w:lang w:val="en-US"/>
        </w:rPr>
        <w:t xml:space="preserve">, 19 (2015), pp. 1-23, </w:t>
      </w:r>
      <w:hyperlink r:id="rId13" w:history="1">
        <w:r w:rsidRPr="00283E3B">
          <w:rPr>
            <w:rStyle w:val="Hyperlink"/>
            <w:lang w:val="en-US"/>
          </w:rPr>
          <w:t>http://www.cultureandcosmos.org/pdfs/19/19-1_christine_broadbent_ibn_arabi.pdf</w:t>
        </w:r>
      </w:hyperlink>
    </w:p>
    <w:p w:rsidR="00C857B7" w:rsidRDefault="00C857B7" w:rsidP="00A6538C">
      <w:pPr>
        <w:spacing w:line="276" w:lineRule="auto"/>
        <w:ind w:left="284" w:hanging="284"/>
        <w:rPr>
          <w:lang w:val="en-GB"/>
        </w:rPr>
      </w:pPr>
    </w:p>
    <w:p w:rsidR="001666A7" w:rsidRDefault="001666A7" w:rsidP="00AF23A1">
      <w:pPr>
        <w:spacing w:line="276" w:lineRule="auto"/>
        <w:ind w:left="284" w:hanging="284"/>
        <w:rPr>
          <w:lang w:val="en-GB"/>
        </w:rPr>
      </w:pPr>
      <w:r w:rsidRPr="0086165B">
        <w:rPr>
          <w:lang w:val="en-US"/>
        </w:rPr>
        <w:t>Campion,</w:t>
      </w:r>
      <w:r>
        <w:rPr>
          <w:lang w:val="en-US"/>
        </w:rPr>
        <w:t xml:space="preserve"> Nicholas,</w:t>
      </w:r>
      <w:r w:rsidRPr="0086165B">
        <w:rPr>
          <w:lang w:val="en-US"/>
        </w:rPr>
        <w:t xml:space="preserve"> </w:t>
      </w:r>
      <w:r>
        <w:rPr>
          <w:i/>
          <w:lang w:val="en-US"/>
        </w:rPr>
        <w:t xml:space="preserve">A History of Western Astrology. Volume 1 </w:t>
      </w:r>
      <w:r>
        <w:rPr>
          <w:lang w:val="en-US"/>
        </w:rPr>
        <w:t>(Great Britain: Bloomsbury, 2008).</w:t>
      </w:r>
    </w:p>
    <w:p w:rsidR="001666A7" w:rsidRDefault="001666A7" w:rsidP="00A6538C">
      <w:pPr>
        <w:spacing w:line="276" w:lineRule="auto"/>
        <w:ind w:left="284" w:hanging="284"/>
        <w:rPr>
          <w:lang w:val="en-GB"/>
        </w:rPr>
      </w:pPr>
    </w:p>
    <w:p w:rsidR="00BE73AE" w:rsidRDefault="00E65142" w:rsidP="00A6538C">
      <w:pPr>
        <w:spacing w:line="276" w:lineRule="auto"/>
        <w:ind w:left="284" w:hanging="284"/>
        <w:rPr>
          <w:lang w:val="en-GB"/>
        </w:rPr>
      </w:pPr>
      <w:r w:rsidRPr="00E65142">
        <w:rPr>
          <w:lang w:val="en-GB"/>
        </w:rPr>
        <w:t>Campion, N</w:t>
      </w:r>
      <w:r w:rsidR="00C1033F">
        <w:rPr>
          <w:lang w:val="en-GB"/>
        </w:rPr>
        <w:t>icholas,</w:t>
      </w:r>
      <w:r w:rsidR="00BE73AE">
        <w:rPr>
          <w:lang w:val="en-GB"/>
        </w:rPr>
        <w:t xml:space="preserve"> </w:t>
      </w:r>
      <w:r w:rsidRPr="00E65142">
        <w:rPr>
          <w:i/>
          <w:iCs/>
          <w:lang w:val="en-GB"/>
        </w:rPr>
        <w:t>Astrology and Cosmology in the World's Religions</w:t>
      </w:r>
      <w:r w:rsidR="00BE73AE">
        <w:rPr>
          <w:lang w:val="en-GB"/>
        </w:rPr>
        <w:t xml:space="preserve"> </w:t>
      </w:r>
      <w:r w:rsidR="00C1033F">
        <w:rPr>
          <w:lang w:val="en-GB"/>
        </w:rPr>
        <w:t>(</w:t>
      </w:r>
      <w:r w:rsidRPr="00E65142">
        <w:rPr>
          <w:lang w:val="en-GB"/>
        </w:rPr>
        <w:t>New York: New York University Press</w:t>
      </w:r>
      <w:r w:rsidR="00716C6D">
        <w:rPr>
          <w:lang w:val="en-GB"/>
        </w:rPr>
        <w:t>,</w:t>
      </w:r>
      <w:r w:rsidR="00C1033F">
        <w:rPr>
          <w:lang w:val="en-GB"/>
        </w:rPr>
        <w:t xml:space="preserve"> 2012)</w:t>
      </w:r>
      <w:r w:rsidR="00BE73AE">
        <w:rPr>
          <w:lang w:val="en-GB"/>
        </w:rPr>
        <w:t xml:space="preserve">. </w:t>
      </w:r>
    </w:p>
    <w:p w:rsidR="003F48AC" w:rsidRDefault="003F48AC" w:rsidP="00A6538C">
      <w:pPr>
        <w:spacing w:line="276" w:lineRule="auto"/>
        <w:ind w:left="284" w:hanging="284"/>
        <w:rPr>
          <w:lang w:val="en-GB"/>
        </w:rPr>
      </w:pPr>
    </w:p>
    <w:p w:rsidR="000C3FF7" w:rsidRDefault="000C3FF7" w:rsidP="00A6538C">
      <w:pPr>
        <w:spacing w:line="276" w:lineRule="auto"/>
        <w:ind w:left="284" w:hanging="284"/>
        <w:rPr>
          <w:lang w:val="en-GB"/>
        </w:rPr>
      </w:pPr>
      <w:r>
        <w:rPr>
          <w:lang w:val="en-US"/>
        </w:rPr>
        <w:t>Cashford,</w:t>
      </w:r>
      <w:r w:rsidR="00CC5EAF">
        <w:rPr>
          <w:lang w:val="en-US"/>
        </w:rPr>
        <w:t xml:space="preserve"> Juels</w:t>
      </w:r>
      <w:r w:rsidR="001666A7">
        <w:rPr>
          <w:lang w:val="en-US"/>
        </w:rPr>
        <w:t>.</w:t>
      </w:r>
      <w:r>
        <w:rPr>
          <w:lang w:val="en-US"/>
        </w:rPr>
        <w:t xml:space="preserve"> ‘Imagining Eternity: Weaving ‘The Heavens’ Embroidered Cloths’’, in </w:t>
      </w:r>
      <w:r w:rsidRPr="006408F0">
        <w:rPr>
          <w:i/>
          <w:lang w:val="en-US"/>
        </w:rPr>
        <w:t>Sky and Psyche</w:t>
      </w:r>
      <w:r>
        <w:rPr>
          <w:i/>
          <w:lang w:val="en-US"/>
        </w:rPr>
        <w:t>. The Relationship Between Cosmos and Consciousness</w:t>
      </w:r>
      <w:r>
        <w:rPr>
          <w:lang w:val="en-US"/>
        </w:rPr>
        <w:t>, ed. by Nicholas Campion and Patrick Curry</w:t>
      </w:r>
      <w:r w:rsidR="00CC5EAF" w:rsidRPr="0086165B">
        <w:rPr>
          <w:lang w:val="en-US"/>
        </w:rPr>
        <w:t>, p</w:t>
      </w:r>
      <w:r w:rsidR="00CC5EAF">
        <w:rPr>
          <w:lang w:val="en-US"/>
        </w:rPr>
        <w:t>p</w:t>
      </w:r>
      <w:r w:rsidR="00CC5EAF" w:rsidRPr="0086165B">
        <w:rPr>
          <w:lang w:val="en-US"/>
        </w:rPr>
        <w:t xml:space="preserve">. </w:t>
      </w:r>
      <w:r w:rsidR="00837393">
        <w:rPr>
          <w:lang w:val="en-US"/>
        </w:rPr>
        <w:t xml:space="preserve">83-104 </w:t>
      </w:r>
      <w:r>
        <w:rPr>
          <w:lang w:val="en-US"/>
        </w:rPr>
        <w:t>(Great Britain: Floris Books, 2006)</w:t>
      </w:r>
      <w:r w:rsidR="00837393">
        <w:rPr>
          <w:lang w:val="en-US"/>
        </w:rPr>
        <w:t>.</w:t>
      </w:r>
    </w:p>
    <w:p w:rsidR="00C857B7" w:rsidRDefault="00C857B7" w:rsidP="000C3FF7">
      <w:pPr>
        <w:spacing w:line="276" w:lineRule="auto"/>
        <w:rPr>
          <w:lang w:val="en-US"/>
        </w:rPr>
      </w:pPr>
    </w:p>
    <w:p w:rsidR="00C857B7" w:rsidRDefault="00C857B7" w:rsidP="001666A7">
      <w:pPr>
        <w:spacing w:line="276" w:lineRule="auto"/>
        <w:ind w:left="284" w:hanging="284"/>
        <w:rPr>
          <w:lang w:val="en-US"/>
        </w:rPr>
      </w:pPr>
      <w:r>
        <w:rPr>
          <w:lang w:val="en-US"/>
        </w:rPr>
        <w:t>Holbrook,</w:t>
      </w:r>
      <w:r w:rsidR="001666A7">
        <w:rPr>
          <w:lang w:val="en-US"/>
        </w:rPr>
        <w:t xml:space="preserve"> Jarita C. </w:t>
      </w:r>
      <w:r>
        <w:rPr>
          <w:lang w:val="en-US"/>
        </w:rPr>
        <w:t xml:space="preserve">‘Sun Gods and Moon Deities in Africa’, in </w:t>
      </w:r>
      <w:r w:rsidRPr="006408F0">
        <w:rPr>
          <w:i/>
          <w:lang w:val="en-US"/>
        </w:rPr>
        <w:t>Sky and Psyche</w:t>
      </w:r>
      <w:r>
        <w:rPr>
          <w:i/>
          <w:lang w:val="en-US"/>
        </w:rPr>
        <w:t>. The Relationship Between Cosmos and Consciousness</w:t>
      </w:r>
      <w:r>
        <w:rPr>
          <w:lang w:val="en-US"/>
        </w:rPr>
        <w:t>, ed. by Nicholas Campion and Patrick Curry</w:t>
      </w:r>
      <w:r w:rsidR="001666A7" w:rsidRPr="0086165B">
        <w:rPr>
          <w:lang w:val="en-US"/>
        </w:rPr>
        <w:t>, p</w:t>
      </w:r>
      <w:r w:rsidR="001666A7">
        <w:rPr>
          <w:lang w:val="en-US"/>
        </w:rPr>
        <w:t>p</w:t>
      </w:r>
      <w:r w:rsidR="001666A7" w:rsidRPr="0086165B">
        <w:rPr>
          <w:lang w:val="en-US"/>
        </w:rPr>
        <w:t xml:space="preserve">. </w:t>
      </w:r>
      <w:r w:rsidR="001666A7">
        <w:rPr>
          <w:lang w:val="en-US"/>
        </w:rPr>
        <w:t>157-168</w:t>
      </w:r>
      <w:r>
        <w:rPr>
          <w:lang w:val="en-US"/>
        </w:rPr>
        <w:t xml:space="preserve"> (Great Britain: Floris Books, 2006)</w:t>
      </w:r>
      <w:r w:rsidRPr="0086165B">
        <w:rPr>
          <w:lang w:val="en-US"/>
        </w:rPr>
        <w:t>.</w:t>
      </w:r>
    </w:p>
    <w:p w:rsidR="00C857B7" w:rsidRDefault="00C857B7" w:rsidP="000C3FF7">
      <w:pPr>
        <w:spacing w:line="276" w:lineRule="auto"/>
        <w:rPr>
          <w:lang w:val="de-AT"/>
        </w:rPr>
      </w:pPr>
    </w:p>
    <w:p w:rsidR="00297310" w:rsidRDefault="00297310" w:rsidP="00297310">
      <w:pPr>
        <w:spacing w:line="276" w:lineRule="auto"/>
        <w:rPr>
          <w:b/>
          <w:lang w:val="en-GB"/>
        </w:rPr>
      </w:pPr>
      <w:r w:rsidRPr="006C0C6D">
        <w:rPr>
          <w:b/>
          <w:lang w:val="en-GB"/>
        </w:rPr>
        <w:t>Secondary Sources</w:t>
      </w:r>
      <w:r>
        <w:rPr>
          <w:b/>
          <w:lang w:val="en-GB"/>
        </w:rPr>
        <w:t xml:space="preserve"> (JSTOR)</w:t>
      </w:r>
      <w:r w:rsidRPr="006C0C6D">
        <w:rPr>
          <w:b/>
          <w:lang w:val="en-GB"/>
        </w:rPr>
        <w:t>:</w:t>
      </w:r>
    </w:p>
    <w:p w:rsidR="00297310" w:rsidRDefault="00297310" w:rsidP="00297310">
      <w:pPr>
        <w:spacing w:line="276" w:lineRule="auto"/>
        <w:ind w:left="284" w:hanging="284"/>
        <w:rPr>
          <w:lang w:val="en-US"/>
        </w:rPr>
      </w:pPr>
    </w:p>
    <w:p w:rsidR="00297310" w:rsidRPr="000C3FF7" w:rsidRDefault="00297310" w:rsidP="00297310">
      <w:pPr>
        <w:spacing w:line="276" w:lineRule="auto"/>
        <w:ind w:left="284" w:hanging="284"/>
        <w:rPr>
          <w:lang w:val="en-US"/>
        </w:rPr>
      </w:pPr>
      <w:r w:rsidRPr="008F5569">
        <w:rPr>
          <w:lang w:val="en-US"/>
        </w:rPr>
        <w:t>Bilić,</w:t>
      </w:r>
      <w:r>
        <w:rPr>
          <w:lang w:val="en-US"/>
        </w:rPr>
        <w:t xml:space="preserve"> </w:t>
      </w:r>
      <w:r w:rsidRPr="008F5569">
        <w:rPr>
          <w:lang w:val="en-US"/>
        </w:rPr>
        <w:t>Tomislav</w:t>
      </w:r>
      <w:r>
        <w:rPr>
          <w:lang w:val="en-US"/>
        </w:rPr>
        <w:t xml:space="preserve">, ‘Apollo, Helios, and the Solstices in the Athenian, Delphian, and Delian Calendars’, </w:t>
      </w:r>
      <w:r w:rsidRPr="00B12ACC">
        <w:rPr>
          <w:i/>
          <w:lang w:val="en-US"/>
        </w:rPr>
        <w:t>Numen</w:t>
      </w:r>
      <w:r>
        <w:rPr>
          <w:lang w:val="en-US"/>
        </w:rPr>
        <w:t>, 59 (2012)</w:t>
      </w:r>
      <w:r w:rsidRPr="008F5569">
        <w:rPr>
          <w:lang w:val="en-US"/>
        </w:rPr>
        <w:t>, p</w:t>
      </w:r>
      <w:r>
        <w:rPr>
          <w:lang w:val="en-US"/>
        </w:rPr>
        <w:t>p. 5</w:t>
      </w:r>
      <w:r w:rsidRPr="008F5569">
        <w:rPr>
          <w:lang w:val="en-US"/>
        </w:rPr>
        <w:t>12</w:t>
      </w:r>
      <w:r>
        <w:rPr>
          <w:lang w:val="en-US"/>
        </w:rPr>
        <w:t>-516</w:t>
      </w:r>
      <w:r w:rsidRPr="008F5569">
        <w:rPr>
          <w:lang w:val="en-US"/>
        </w:rPr>
        <w:t>.</w:t>
      </w:r>
    </w:p>
    <w:p w:rsidR="00297310" w:rsidRDefault="00297310" w:rsidP="00297310">
      <w:pPr>
        <w:spacing w:line="276" w:lineRule="auto"/>
        <w:ind w:left="284" w:hanging="284"/>
        <w:rPr>
          <w:lang w:val="en-US"/>
        </w:rPr>
      </w:pPr>
    </w:p>
    <w:p w:rsidR="00297310" w:rsidRDefault="00297310" w:rsidP="00297310">
      <w:pPr>
        <w:spacing w:line="276" w:lineRule="auto"/>
        <w:ind w:left="284" w:hanging="284"/>
        <w:rPr>
          <w:lang w:val="en-US"/>
        </w:rPr>
      </w:pPr>
      <w:r w:rsidRPr="00860FE4">
        <w:rPr>
          <w:lang w:val="en-US"/>
        </w:rPr>
        <w:t>Cunningham,</w:t>
      </w:r>
      <w:r>
        <w:rPr>
          <w:lang w:val="en-US"/>
        </w:rPr>
        <w:t xml:space="preserve"> Francis A., ’The Sothic Cycle Used by the Egyptians’, </w:t>
      </w:r>
      <w:r w:rsidRPr="001666A7">
        <w:rPr>
          <w:i/>
          <w:lang w:val="en-US"/>
        </w:rPr>
        <w:t>Journal of the American Oriental Society</w:t>
      </w:r>
      <w:r>
        <w:rPr>
          <w:lang w:val="en-US"/>
        </w:rPr>
        <w:t>, 34 (1915),</w:t>
      </w:r>
      <w:r w:rsidRPr="00860FE4">
        <w:rPr>
          <w:lang w:val="en-US"/>
        </w:rPr>
        <w:t xml:space="preserve"> p</w:t>
      </w:r>
      <w:r>
        <w:rPr>
          <w:lang w:val="en-US"/>
        </w:rPr>
        <w:t>p.</w:t>
      </w:r>
      <w:r w:rsidRPr="00860FE4">
        <w:rPr>
          <w:lang w:val="en-US"/>
        </w:rPr>
        <w:t xml:space="preserve"> 369</w:t>
      </w:r>
      <w:r>
        <w:rPr>
          <w:lang w:val="en-US"/>
        </w:rPr>
        <w:t>-373.</w:t>
      </w:r>
    </w:p>
    <w:p w:rsidR="00297310" w:rsidRDefault="00297310" w:rsidP="00297310">
      <w:pPr>
        <w:spacing w:line="276" w:lineRule="auto"/>
        <w:ind w:left="284" w:hanging="284"/>
        <w:rPr>
          <w:lang w:val="en-US"/>
        </w:rPr>
      </w:pPr>
    </w:p>
    <w:p w:rsidR="00297310" w:rsidRDefault="00297310" w:rsidP="00297310">
      <w:pPr>
        <w:spacing w:line="276" w:lineRule="auto"/>
        <w:ind w:left="284" w:hanging="284"/>
        <w:rPr>
          <w:lang w:val="en-US"/>
        </w:rPr>
      </w:pPr>
      <w:r w:rsidRPr="00B12ACC">
        <w:rPr>
          <w:lang w:val="en-US"/>
        </w:rPr>
        <w:t>Hoffmann,</w:t>
      </w:r>
      <w:r>
        <w:rPr>
          <w:lang w:val="en-US"/>
        </w:rPr>
        <w:t xml:space="preserve"> Herbert,</w:t>
      </w:r>
      <w:r w:rsidRPr="00B12ACC">
        <w:rPr>
          <w:lang w:val="en-US"/>
        </w:rPr>
        <w:t xml:space="preserve"> ‘Helios’, </w:t>
      </w:r>
      <w:r w:rsidRPr="00B12ACC">
        <w:rPr>
          <w:i/>
          <w:lang w:val="en-US"/>
        </w:rPr>
        <w:t>Journal of the American Research Center in Egypt</w:t>
      </w:r>
      <w:r w:rsidRPr="00B12ACC">
        <w:rPr>
          <w:lang w:val="en-US"/>
        </w:rPr>
        <w:t xml:space="preserve">, 2 (1963), </w:t>
      </w:r>
      <w:r>
        <w:rPr>
          <w:lang w:val="en-US"/>
        </w:rPr>
        <w:t>p</w:t>
      </w:r>
      <w:r w:rsidRPr="00B12ACC">
        <w:rPr>
          <w:lang w:val="en-US"/>
        </w:rPr>
        <w:t>p. 117</w:t>
      </w:r>
      <w:r>
        <w:rPr>
          <w:lang w:val="en-US"/>
        </w:rPr>
        <w:t>-124</w:t>
      </w:r>
      <w:r>
        <w:rPr>
          <w:lang w:val="en-US"/>
        </w:rPr>
        <w:t>.</w:t>
      </w:r>
      <w:r w:rsidRPr="00297310">
        <w:rPr>
          <w:lang w:val="en-US"/>
        </w:rPr>
        <w:t xml:space="preserve"> </w:t>
      </w:r>
    </w:p>
    <w:p w:rsidR="00297310" w:rsidRDefault="00297310" w:rsidP="00297310">
      <w:pPr>
        <w:spacing w:line="276" w:lineRule="auto"/>
        <w:ind w:left="284" w:hanging="284"/>
        <w:rPr>
          <w:lang w:val="en-US"/>
        </w:rPr>
      </w:pPr>
    </w:p>
    <w:p w:rsidR="00297310" w:rsidRDefault="00297310" w:rsidP="00297310">
      <w:pPr>
        <w:spacing w:line="276" w:lineRule="auto"/>
        <w:ind w:left="284" w:hanging="284"/>
        <w:rPr>
          <w:lang w:val="en-US"/>
        </w:rPr>
      </w:pPr>
      <w:r w:rsidRPr="008F70B7">
        <w:rPr>
          <w:lang w:val="en-US"/>
        </w:rPr>
        <w:t>Long</w:t>
      </w:r>
      <w:r>
        <w:rPr>
          <w:lang w:val="en-US"/>
        </w:rPr>
        <w:t xml:space="preserve">, Eleanor R., ‘How the Dog Got Its Days: A Skeptical Inquiry into Traditional Star and Weather Lore’, </w:t>
      </w:r>
      <w:r w:rsidRPr="001666A7">
        <w:rPr>
          <w:i/>
          <w:lang w:val="en-US"/>
        </w:rPr>
        <w:t>Western Folklore</w:t>
      </w:r>
      <w:r>
        <w:rPr>
          <w:lang w:val="en-US"/>
        </w:rPr>
        <w:t>, 43 (1984), p. 256-264.</w:t>
      </w:r>
    </w:p>
    <w:p w:rsidR="00297310" w:rsidRPr="00C857B7" w:rsidRDefault="00297310" w:rsidP="00297310">
      <w:pPr>
        <w:spacing w:line="276" w:lineRule="auto"/>
        <w:ind w:left="284" w:hanging="284"/>
        <w:rPr>
          <w:lang w:val="en-US"/>
        </w:rPr>
      </w:pPr>
    </w:p>
    <w:p w:rsidR="00297310" w:rsidRPr="00297310" w:rsidRDefault="00297310" w:rsidP="00297310">
      <w:pPr>
        <w:spacing w:line="276" w:lineRule="auto"/>
        <w:ind w:left="284" w:hanging="284"/>
        <w:rPr>
          <w:lang w:val="de-AT"/>
        </w:rPr>
      </w:pPr>
      <w:r w:rsidRPr="009C691A">
        <w:rPr>
          <w:lang w:val="de-AT"/>
        </w:rPr>
        <w:t>Prell,</w:t>
      </w:r>
      <w:r>
        <w:rPr>
          <w:lang w:val="de-AT"/>
        </w:rPr>
        <w:t xml:space="preserve"> Silvia,</w:t>
      </w:r>
      <w:r w:rsidRPr="009C691A">
        <w:rPr>
          <w:lang w:val="de-AT"/>
        </w:rPr>
        <w:t xml:space="preserve"> ‘Der Nil, seine Überschwemmung und sein Kult in </w:t>
      </w:r>
      <w:r>
        <w:rPr>
          <w:lang w:val="de-AT"/>
        </w:rPr>
        <w:t xml:space="preserve">Ägypten‘, </w:t>
      </w:r>
      <w:r w:rsidRPr="001666A7">
        <w:rPr>
          <w:i/>
          <w:lang w:val="de-AT"/>
        </w:rPr>
        <w:t>Studien zur Altägyptischen Kultur</w:t>
      </w:r>
      <w:r>
        <w:rPr>
          <w:lang w:val="de-AT"/>
        </w:rPr>
        <w:t>, 38 (2009),</w:t>
      </w:r>
      <w:r w:rsidRPr="009C691A">
        <w:rPr>
          <w:lang w:val="de-AT"/>
        </w:rPr>
        <w:t xml:space="preserve"> p. 21</w:t>
      </w:r>
      <w:r>
        <w:rPr>
          <w:lang w:val="de-AT"/>
        </w:rPr>
        <w:t>1-257</w:t>
      </w:r>
      <w:r w:rsidRPr="009C691A">
        <w:rPr>
          <w:lang w:val="de-AT"/>
        </w:rPr>
        <w:t>.</w:t>
      </w:r>
    </w:p>
    <w:p w:rsidR="00B912E0" w:rsidRPr="00297310" w:rsidRDefault="00297310" w:rsidP="00297310">
      <w:pPr>
        <w:spacing w:line="276" w:lineRule="auto"/>
        <w:rPr>
          <w:b/>
          <w:lang w:val="de-AT"/>
        </w:rPr>
      </w:pPr>
      <w:r w:rsidRPr="00297310">
        <w:rPr>
          <w:b/>
          <w:lang w:val="de-AT"/>
        </w:rPr>
        <w:t xml:space="preserve"> </w:t>
      </w:r>
    </w:p>
    <w:sectPr w:rsidR="00B912E0" w:rsidRPr="00297310" w:rsidSect="00C54992">
      <w:headerReference w:type="default" r:id="rId14"/>
      <w:footerReference w:type="default" r:id="rId15"/>
      <w:pgSz w:w="11900" w:h="16840"/>
      <w:pgMar w:top="1417" w:right="1417" w:bottom="1134" w:left="1417"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2DE8" w:rsidRDefault="00862DE8" w:rsidP="00BA6692">
      <w:pPr>
        <w:spacing w:line="240" w:lineRule="auto"/>
      </w:pPr>
      <w:r>
        <w:separator/>
      </w:r>
    </w:p>
  </w:endnote>
  <w:endnote w:type="continuationSeparator" w:id="0">
    <w:p w:rsidR="00862DE8" w:rsidRDefault="00862DE8" w:rsidP="00BA66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008563717"/>
      <w:docPartObj>
        <w:docPartGallery w:val="Page Numbers (Bottom of Page)"/>
        <w:docPartUnique/>
      </w:docPartObj>
    </w:sdtPr>
    <w:sdtContent>
      <w:p w:rsidR="008F5569" w:rsidRDefault="008F5569" w:rsidP="001525E2">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F5569" w:rsidRDefault="008F5569">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5569" w:rsidRDefault="008F5569">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2DE8" w:rsidRDefault="00862DE8" w:rsidP="00BA6692">
      <w:pPr>
        <w:spacing w:line="240" w:lineRule="auto"/>
      </w:pPr>
      <w:r>
        <w:separator/>
      </w:r>
    </w:p>
  </w:footnote>
  <w:footnote w:type="continuationSeparator" w:id="0">
    <w:p w:rsidR="00862DE8" w:rsidRDefault="00862DE8" w:rsidP="00BA6692">
      <w:pPr>
        <w:spacing w:line="240" w:lineRule="auto"/>
      </w:pPr>
      <w:r>
        <w:continuationSeparator/>
      </w:r>
    </w:p>
  </w:footnote>
  <w:footnote w:id="1">
    <w:p w:rsidR="008F5569" w:rsidRPr="004E48A4" w:rsidRDefault="008F5569">
      <w:pPr>
        <w:pStyle w:val="Funotentext"/>
        <w:rPr>
          <w:lang w:val="en-US"/>
        </w:rPr>
      </w:pPr>
      <w:r>
        <w:rPr>
          <w:rStyle w:val="Funotenzeichen"/>
        </w:rPr>
        <w:footnoteRef/>
      </w:r>
      <w:r w:rsidRPr="004E48A4">
        <w:rPr>
          <w:lang w:val="en-US"/>
        </w:rPr>
        <w:t xml:space="preserve"> </w:t>
      </w:r>
      <w:r>
        <w:rPr>
          <w:lang w:val="en-US"/>
        </w:rPr>
        <w:t xml:space="preserve">Nicholas </w:t>
      </w:r>
      <w:r w:rsidRPr="004E48A4">
        <w:rPr>
          <w:lang w:val="en-US"/>
        </w:rPr>
        <w:t xml:space="preserve">Campion, </w:t>
      </w:r>
      <w:r w:rsidRPr="00431B32">
        <w:rPr>
          <w:lang w:val="en-US"/>
        </w:rPr>
        <w:t xml:space="preserve">‘The Importance of Cosmology in Culture: Contexts and Consequences’, in </w:t>
      </w:r>
      <w:r w:rsidRPr="00F91B13">
        <w:rPr>
          <w:i/>
          <w:lang w:val="en-US"/>
        </w:rPr>
        <w:t>Cosmology</w:t>
      </w:r>
      <w:r>
        <w:rPr>
          <w:i/>
          <w:lang w:val="en-US"/>
        </w:rPr>
        <w:t>,</w:t>
      </w:r>
      <w:r w:rsidRPr="00431B32">
        <w:rPr>
          <w:lang w:val="en-US"/>
        </w:rPr>
        <w:t xml:space="preserve"> </w:t>
      </w:r>
      <w:r>
        <w:rPr>
          <w:lang w:val="en-US"/>
        </w:rPr>
        <w:t xml:space="preserve">ed. by </w:t>
      </w:r>
      <w:r w:rsidRPr="00431B32">
        <w:rPr>
          <w:lang w:val="en-US"/>
        </w:rPr>
        <w:t>Abraao Jesse Capistrano de Souza</w:t>
      </w:r>
      <w:r>
        <w:rPr>
          <w:lang w:val="en-US"/>
        </w:rPr>
        <w:t xml:space="preserve"> (</w:t>
      </w:r>
      <w:r w:rsidRPr="00431B32">
        <w:rPr>
          <w:lang w:val="en-US"/>
        </w:rPr>
        <w:t>In</w:t>
      </w:r>
      <w:r>
        <w:rPr>
          <w:lang w:val="en-US"/>
        </w:rPr>
        <w:t>t</w:t>
      </w:r>
      <w:r w:rsidRPr="00431B32">
        <w:rPr>
          <w:lang w:val="en-US"/>
        </w:rPr>
        <w:t>echOpen</w:t>
      </w:r>
      <w:r>
        <w:rPr>
          <w:lang w:val="en-US"/>
        </w:rPr>
        <w:t>:</w:t>
      </w:r>
      <w:r w:rsidRPr="00431B32">
        <w:rPr>
          <w:lang w:val="en-US"/>
        </w:rPr>
        <w:t xml:space="preserve"> 2017</w:t>
      </w:r>
      <w:r>
        <w:rPr>
          <w:lang w:val="en-US"/>
        </w:rPr>
        <w:t>)</w:t>
      </w:r>
      <w:r w:rsidRPr="00431B32">
        <w:rPr>
          <w:lang w:val="en-US"/>
        </w:rPr>
        <w:t>, pp. 3-17</w:t>
      </w:r>
      <w:r>
        <w:rPr>
          <w:lang w:val="en-US"/>
        </w:rPr>
        <w:t xml:space="preserve">, </w:t>
      </w:r>
      <w:hyperlink r:id="rId1" w:history="1">
        <w:r w:rsidRPr="00283E3B">
          <w:rPr>
            <w:rStyle w:val="Hyperlink"/>
            <w:lang w:val="en-US"/>
          </w:rPr>
          <w:t>https://www.intechopen.com/books/trends-in-modern-cosmology/the-importance-of-cosmology-in-culture-contexts-and-consequences</w:t>
        </w:r>
      </w:hyperlink>
    </w:p>
  </w:footnote>
  <w:footnote w:id="2">
    <w:p w:rsidR="008F5569" w:rsidRPr="00CD6621" w:rsidRDefault="008F5569" w:rsidP="00252200">
      <w:pPr>
        <w:pStyle w:val="Funotentext"/>
        <w:rPr>
          <w:lang w:val="en-US"/>
        </w:rPr>
      </w:pPr>
      <w:r>
        <w:rPr>
          <w:rStyle w:val="Funotenzeichen"/>
        </w:rPr>
        <w:footnoteRef/>
      </w:r>
      <w:r w:rsidRPr="00CD6621">
        <w:rPr>
          <w:lang w:val="en-US"/>
        </w:rPr>
        <w:t xml:space="preserve"> </w:t>
      </w:r>
      <w:r>
        <w:rPr>
          <w:lang w:val="en-US"/>
        </w:rPr>
        <w:t xml:space="preserve">Terry </w:t>
      </w:r>
      <w:r w:rsidRPr="00CD6621">
        <w:rPr>
          <w:lang w:val="en-US"/>
        </w:rPr>
        <w:t>Eagleton,</w:t>
      </w:r>
      <w:r>
        <w:rPr>
          <w:lang w:val="en-US"/>
        </w:rPr>
        <w:t xml:space="preserve"> </w:t>
      </w:r>
      <w:r w:rsidRPr="00EA7DA2">
        <w:rPr>
          <w:i/>
          <w:lang w:val="en-US"/>
        </w:rPr>
        <w:t>The Idea of Culture</w:t>
      </w:r>
      <w:r>
        <w:rPr>
          <w:lang w:val="en-US"/>
        </w:rPr>
        <w:t xml:space="preserve"> (London: Blackwell Publishers Ltd, 2000),</w:t>
      </w:r>
      <w:r w:rsidRPr="00CD6621">
        <w:rPr>
          <w:lang w:val="en-US"/>
        </w:rPr>
        <w:t xml:space="preserve"> p.</w:t>
      </w:r>
      <w:r>
        <w:rPr>
          <w:lang w:val="en-US"/>
        </w:rPr>
        <w:t xml:space="preserve"> 1.</w:t>
      </w:r>
    </w:p>
  </w:footnote>
  <w:footnote w:id="3">
    <w:p w:rsidR="008F5569" w:rsidRPr="0020702D" w:rsidRDefault="008F5569">
      <w:pPr>
        <w:pStyle w:val="Funotentext"/>
        <w:rPr>
          <w:lang w:val="en-US"/>
        </w:rPr>
      </w:pPr>
      <w:r>
        <w:rPr>
          <w:rStyle w:val="Funotenzeichen"/>
        </w:rPr>
        <w:footnoteRef/>
      </w:r>
      <w:r w:rsidRPr="0020702D">
        <w:rPr>
          <w:lang w:val="en-US"/>
        </w:rPr>
        <w:t xml:space="preserve"> Eagleton, </w:t>
      </w:r>
      <w:r>
        <w:rPr>
          <w:i/>
          <w:lang w:val="en-US"/>
        </w:rPr>
        <w:t xml:space="preserve">The Idea of </w:t>
      </w:r>
      <w:r w:rsidRPr="00761426">
        <w:rPr>
          <w:i/>
          <w:lang w:val="en-US"/>
        </w:rPr>
        <w:t>Culture</w:t>
      </w:r>
      <w:r>
        <w:rPr>
          <w:lang w:val="en-US"/>
        </w:rPr>
        <w:t xml:space="preserve">, </w:t>
      </w:r>
      <w:r w:rsidRPr="00EA7DA2">
        <w:rPr>
          <w:lang w:val="en-US"/>
        </w:rPr>
        <w:t>p</w:t>
      </w:r>
      <w:r w:rsidRPr="0020702D">
        <w:rPr>
          <w:lang w:val="en-US"/>
        </w:rPr>
        <w:t>. 2.</w:t>
      </w:r>
    </w:p>
  </w:footnote>
  <w:footnote w:id="4">
    <w:p w:rsidR="008F5569" w:rsidRPr="00D30AC1" w:rsidRDefault="008F5569">
      <w:pPr>
        <w:pStyle w:val="Funotentext"/>
        <w:rPr>
          <w:lang w:val="en-US"/>
        </w:rPr>
      </w:pPr>
      <w:r>
        <w:rPr>
          <w:rStyle w:val="Funotenzeichen"/>
        </w:rPr>
        <w:footnoteRef/>
      </w:r>
      <w:r w:rsidRPr="00D30AC1">
        <w:rPr>
          <w:lang w:val="en-US"/>
        </w:rPr>
        <w:t xml:space="preserve"> </w:t>
      </w:r>
      <w:r>
        <w:rPr>
          <w:lang w:val="en-US"/>
        </w:rPr>
        <w:t xml:space="preserve">Claudius </w:t>
      </w:r>
      <w:r w:rsidRPr="00D30AC1">
        <w:rPr>
          <w:lang w:val="en-US"/>
        </w:rPr>
        <w:t xml:space="preserve">Ptolemaeus, </w:t>
      </w:r>
      <w:r w:rsidRPr="00EA7DA2">
        <w:rPr>
          <w:i/>
          <w:lang w:val="en-US"/>
        </w:rPr>
        <w:t>Tetrabiblos</w:t>
      </w:r>
      <w:r>
        <w:rPr>
          <w:lang w:val="en-US"/>
        </w:rPr>
        <w:t xml:space="preserve">, ed. by Reinhardt Stiehle (Tübingen: Chiron Verlag, 2012), </w:t>
      </w:r>
      <w:r w:rsidRPr="00EA7DA2">
        <w:rPr>
          <w:lang w:val="en-US"/>
        </w:rPr>
        <w:t>p</w:t>
      </w:r>
      <w:r>
        <w:rPr>
          <w:lang w:val="en-US"/>
        </w:rPr>
        <w:t>p</w:t>
      </w:r>
      <w:r w:rsidRPr="00D30AC1">
        <w:rPr>
          <w:lang w:val="en-US"/>
        </w:rPr>
        <w:t>. 14</w:t>
      </w:r>
      <w:r>
        <w:rPr>
          <w:lang w:val="en-US"/>
        </w:rPr>
        <w:t>-16.</w:t>
      </w:r>
    </w:p>
  </w:footnote>
  <w:footnote w:id="5">
    <w:p w:rsidR="008F5569" w:rsidRPr="0086165B" w:rsidRDefault="008F5569">
      <w:pPr>
        <w:pStyle w:val="Funotentext"/>
        <w:rPr>
          <w:lang w:val="en-US"/>
        </w:rPr>
      </w:pPr>
      <w:r>
        <w:rPr>
          <w:rStyle w:val="Funotenzeichen"/>
        </w:rPr>
        <w:footnoteRef/>
      </w:r>
      <w:r w:rsidRPr="0086165B">
        <w:rPr>
          <w:lang w:val="en-US"/>
        </w:rPr>
        <w:t xml:space="preserve"> </w:t>
      </w:r>
      <w:r>
        <w:rPr>
          <w:lang w:val="en-US"/>
        </w:rPr>
        <w:t xml:space="preserve">Nicholas </w:t>
      </w:r>
      <w:r w:rsidRPr="0086165B">
        <w:rPr>
          <w:lang w:val="en-US"/>
        </w:rPr>
        <w:t xml:space="preserve">Campion, </w:t>
      </w:r>
      <w:r>
        <w:rPr>
          <w:i/>
          <w:lang w:val="en-US"/>
        </w:rPr>
        <w:t xml:space="preserve">A History of Western Astrology. Volume 1 </w:t>
      </w:r>
      <w:r>
        <w:rPr>
          <w:lang w:val="en-US"/>
        </w:rPr>
        <w:t>(Great Britain: Bloomsbury, 2008)</w:t>
      </w:r>
      <w:r w:rsidRPr="0086165B">
        <w:rPr>
          <w:lang w:val="en-US"/>
        </w:rPr>
        <w:t>, p. 54.</w:t>
      </w:r>
    </w:p>
  </w:footnote>
  <w:footnote w:id="6">
    <w:p w:rsidR="008F5569" w:rsidRPr="0086165B" w:rsidRDefault="008F5569">
      <w:pPr>
        <w:pStyle w:val="Funotentext"/>
        <w:rPr>
          <w:lang w:val="en-US"/>
        </w:rPr>
      </w:pPr>
      <w:r>
        <w:rPr>
          <w:rStyle w:val="Funotenzeichen"/>
        </w:rPr>
        <w:footnoteRef/>
      </w:r>
      <w:r w:rsidRPr="0086165B">
        <w:rPr>
          <w:lang w:val="en-US"/>
        </w:rPr>
        <w:t xml:space="preserve"> </w:t>
      </w:r>
      <w:r>
        <w:rPr>
          <w:lang w:val="en-US"/>
        </w:rPr>
        <w:t xml:space="preserve">Jules Cashford, ‘Imagining Eternity: Weaving ‘The Heavens’ Embroidered Cloths’’, in </w:t>
      </w:r>
      <w:r w:rsidRPr="006408F0">
        <w:rPr>
          <w:i/>
          <w:lang w:val="en-US"/>
        </w:rPr>
        <w:t>Sky and Psyche</w:t>
      </w:r>
      <w:r>
        <w:rPr>
          <w:i/>
          <w:lang w:val="en-US"/>
        </w:rPr>
        <w:t>. The Relationship Between Cosmos and Consciousness</w:t>
      </w:r>
      <w:r>
        <w:rPr>
          <w:lang w:val="en-US"/>
        </w:rPr>
        <w:t>, ed. by Nicholas Campion and Patrick Curry (Great Britain: Floris Books, 2006)</w:t>
      </w:r>
      <w:r w:rsidRPr="0086165B">
        <w:rPr>
          <w:lang w:val="en-US"/>
        </w:rPr>
        <w:t>, p. 92.</w:t>
      </w:r>
    </w:p>
  </w:footnote>
  <w:footnote w:id="7">
    <w:p w:rsidR="008F5569" w:rsidRPr="00D30AC1" w:rsidRDefault="008F5569">
      <w:pPr>
        <w:pStyle w:val="Funotentext"/>
        <w:rPr>
          <w:lang w:val="en-US"/>
        </w:rPr>
      </w:pPr>
      <w:r>
        <w:rPr>
          <w:rStyle w:val="Funotenzeichen"/>
        </w:rPr>
        <w:footnoteRef/>
      </w:r>
      <w:r w:rsidRPr="00D30AC1">
        <w:rPr>
          <w:lang w:val="en-US"/>
        </w:rPr>
        <w:t xml:space="preserve"> </w:t>
      </w:r>
      <w:r>
        <w:rPr>
          <w:lang w:val="en-US"/>
        </w:rPr>
        <w:t xml:space="preserve">Cashford, ‘Imaging Eternity’, p. 92. </w:t>
      </w:r>
    </w:p>
  </w:footnote>
  <w:footnote w:id="8">
    <w:p w:rsidR="008F5569" w:rsidRPr="00D30AC1" w:rsidRDefault="008F5569">
      <w:pPr>
        <w:pStyle w:val="Funotentext"/>
        <w:rPr>
          <w:lang w:val="en-US"/>
        </w:rPr>
      </w:pPr>
      <w:r>
        <w:rPr>
          <w:rStyle w:val="Funotenzeichen"/>
        </w:rPr>
        <w:footnoteRef/>
      </w:r>
      <w:r w:rsidRPr="00D30AC1">
        <w:rPr>
          <w:lang w:val="en-US"/>
        </w:rPr>
        <w:t xml:space="preserve"> Pto</w:t>
      </w:r>
      <w:r>
        <w:rPr>
          <w:lang w:val="en-US"/>
        </w:rPr>
        <w:t xml:space="preserve">lemaeus, </w:t>
      </w:r>
      <w:r>
        <w:rPr>
          <w:i/>
          <w:lang w:val="en-US"/>
        </w:rPr>
        <w:t>Tetrabiblos</w:t>
      </w:r>
      <w:r>
        <w:rPr>
          <w:lang w:val="en-US"/>
        </w:rPr>
        <w:t>,</w:t>
      </w:r>
      <w:r w:rsidRPr="00D30AC1">
        <w:rPr>
          <w:lang w:val="en-US"/>
        </w:rPr>
        <w:t xml:space="preserve"> p. 35</w:t>
      </w:r>
      <w:r>
        <w:rPr>
          <w:lang w:val="en-US"/>
        </w:rPr>
        <w:t>.</w:t>
      </w:r>
    </w:p>
  </w:footnote>
  <w:footnote w:id="9">
    <w:p w:rsidR="008F5569" w:rsidRPr="008F5569" w:rsidRDefault="008F5569">
      <w:pPr>
        <w:pStyle w:val="Funotentext"/>
        <w:rPr>
          <w:lang w:val="en-US"/>
        </w:rPr>
      </w:pPr>
      <w:r>
        <w:rPr>
          <w:rStyle w:val="Funotenzeichen"/>
        </w:rPr>
        <w:footnoteRef/>
      </w:r>
      <w:r w:rsidRPr="008F5569">
        <w:rPr>
          <w:lang w:val="en-US"/>
        </w:rPr>
        <w:t xml:space="preserve"> Tomislav Bilić,</w:t>
      </w:r>
      <w:r>
        <w:rPr>
          <w:lang w:val="en-US"/>
        </w:rPr>
        <w:t xml:space="preserve"> ‘Apollo, Helios, and the Solstices in the Athenian, Delphian, and Delian Calendars’, Numen, 59 (2012)</w:t>
      </w:r>
      <w:r w:rsidRPr="008F5569">
        <w:rPr>
          <w:lang w:val="en-US"/>
        </w:rPr>
        <w:t>, p</w:t>
      </w:r>
      <w:r>
        <w:rPr>
          <w:lang w:val="en-US"/>
        </w:rPr>
        <w:t>p. 5</w:t>
      </w:r>
      <w:r w:rsidRPr="008F5569">
        <w:rPr>
          <w:lang w:val="en-US"/>
        </w:rPr>
        <w:t>12</w:t>
      </w:r>
      <w:r>
        <w:rPr>
          <w:lang w:val="en-US"/>
        </w:rPr>
        <w:t>-516</w:t>
      </w:r>
      <w:r w:rsidRPr="008F5569">
        <w:rPr>
          <w:lang w:val="en-US"/>
        </w:rPr>
        <w:t>.</w:t>
      </w:r>
    </w:p>
  </w:footnote>
  <w:footnote w:id="10">
    <w:p w:rsidR="008F5569" w:rsidRPr="00C752C6" w:rsidRDefault="008F5569">
      <w:pPr>
        <w:pStyle w:val="Funotentext"/>
        <w:rPr>
          <w:lang w:val="en-US"/>
        </w:rPr>
      </w:pPr>
      <w:r>
        <w:rPr>
          <w:rStyle w:val="Funotenzeichen"/>
        </w:rPr>
        <w:footnoteRef/>
      </w:r>
      <w:r w:rsidRPr="00C752C6">
        <w:rPr>
          <w:lang w:val="en-US"/>
        </w:rPr>
        <w:t xml:space="preserve"> Bilić</w:t>
      </w:r>
      <w:r w:rsidR="00C752C6" w:rsidRPr="00C752C6">
        <w:rPr>
          <w:lang w:val="en-US"/>
        </w:rPr>
        <w:t>,‘Apollo, Helio</w:t>
      </w:r>
      <w:r w:rsidR="00C752C6">
        <w:rPr>
          <w:lang w:val="en-US"/>
        </w:rPr>
        <w:t xml:space="preserve">s and the Solstices’, pp. 512-516. </w:t>
      </w:r>
    </w:p>
  </w:footnote>
  <w:footnote w:id="11">
    <w:p w:rsidR="008F5569" w:rsidRPr="00C752C6" w:rsidRDefault="008F5569">
      <w:pPr>
        <w:pStyle w:val="Funotentext"/>
        <w:rPr>
          <w:lang w:val="en-US"/>
        </w:rPr>
      </w:pPr>
      <w:r>
        <w:rPr>
          <w:rStyle w:val="Funotenzeichen"/>
        </w:rPr>
        <w:footnoteRef/>
      </w:r>
      <w:r w:rsidRPr="00C752C6">
        <w:rPr>
          <w:lang w:val="en-US"/>
        </w:rPr>
        <w:t xml:space="preserve"> </w:t>
      </w:r>
      <w:r w:rsidR="00107A27">
        <w:rPr>
          <w:lang w:val="en-US"/>
        </w:rPr>
        <w:t xml:space="preserve">Herbert </w:t>
      </w:r>
      <w:r w:rsidRPr="00C752C6">
        <w:rPr>
          <w:lang w:val="en-US"/>
        </w:rPr>
        <w:t xml:space="preserve">Hoffmann, </w:t>
      </w:r>
      <w:r w:rsidR="00107A27">
        <w:rPr>
          <w:lang w:val="en-US"/>
        </w:rPr>
        <w:t xml:space="preserve">‘Helios’, Journal of the American Research Center in Egypt, 2 (1963), </w:t>
      </w:r>
      <w:r w:rsidRPr="00C752C6">
        <w:rPr>
          <w:lang w:val="en-US"/>
        </w:rPr>
        <w:t>p. 117.</w:t>
      </w:r>
    </w:p>
  </w:footnote>
  <w:footnote w:id="12">
    <w:p w:rsidR="008F5569" w:rsidRPr="00F44D0A" w:rsidRDefault="008F5569">
      <w:pPr>
        <w:pStyle w:val="Funotentext"/>
        <w:rPr>
          <w:lang w:val="en-US"/>
        </w:rPr>
      </w:pPr>
      <w:r>
        <w:rPr>
          <w:rStyle w:val="Funotenzeichen"/>
        </w:rPr>
        <w:footnoteRef/>
      </w:r>
      <w:r w:rsidRPr="00F44D0A">
        <w:rPr>
          <w:lang w:val="en-US"/>
        </w:rPr>
        <w:t xml:space="preserve"> </w:t>
      </w:r>
      <w:r w:rsidR="00BB6C2E">
        <w:rPr>
          <w:lang w:val="en-US"/>
        </w:rPr>
        <w:t xml:space="preserve">Christine </w:t>
      </w:r>
      <w:r w:rsidRPr="00F44D0A">
        <w:rPr>
          <w:lang w:val="en-US"/>
        </w:rPr>
        <w:t xml:space="preserve">Broadbent, </w:t>
      </w:r>
      <w:r w:rsidR="00BB6C2E">
        <w:rPr>
          <w:lang w:val="en-US"/>
        </w:rPr>
        <w:t>‘Celestial Magic as the ‘Love Path’: The Spiritual Cosmology of Ibn ‘Arabi’, Celestial Magic, special issue of Culture and Cosmos, 19 (2015), pp. 1-</w:t>
      </w:r>
      <w:r w:rsidR="003C526A">
        <w:rPr>
          <w:lang w:val="en-US"/>
        </w:rPr>
        <w:t xml:space="preserve">23, </w:t>
      </w:r>
      <w:hyperlink r:id="rId2" w:history="1">
        <w:r w:rsidR="003C526A" w:rsidRPr="00283E3B">
          <w:rPr>
            <w:rStyle w:val="Hyperlink"/>
            <w:lang w:val="en-US"/>
          </w:rPr>
          <w:t>http://www.cultureandcosmos.org/pdfs/19/19-1_christine_broadbent_ibn_arabi.pdf</w:t>
        </w:r>
      </w:hyperlink>
      <w:r w:rsidR="003C526A">
        <w:rPr>
          <w:lang w:val="en-US"/>
        </w:rPr>
        <w:t xml:space="preserve"> </w:t>
      </w:r>
    </w:p>
  </w:footnote>
  <w:footnote w:id="13">
    <w:p w:rsidR="008F5569" w:rsidRPr="00F44D0A" w:rsidRDefault="008F5569">
      <w:pPr>
        <w:pStyle w:val="Funotentext"/>
        <w:rPr>
          <w:lang w:val="en-US"/>
        </w:rPr>
      </w:pPr>
      <w:r>
        <w:rPr>
          <w:rStyle w:val="Funotenzeichen"/>
        </w:rPr>
        <w:footnoteRef/>
      </w:r>
      <w:r w:rsidRPr="00F44D0A">
        <w:rPr>
          <w:lang w:val="en-US"/>
        </w:rPr>
        <w:t xml:space="preserve"> </w:t>
      </w:r>
      <w:r>
        <w:rPr>
          <w:lang w:val="en-US"/>
        </w:rPr>
        <w:t>Broadbent</w:t>
      </w:r>
      <w:r w:rsidR="003C526A">
        <w:rPr>
          <w:lang w:val="en-US"/>
        </w:rPr>
        <w:t>, ‘Celestial Magic as the ‘Love Path’’, pp. 4-6.</w:t>
      </w:r>
    </w:p>
  </w:footnote>
  <w:footnote w:id="14">
    <w:p w:rsidR="008F5569" w:rsidRPr="00F44D0A" w:rsidRDefault="008F5569">
      <w:pPr>
        <w:pStyle w:val="Funotentext"/>
        <w:rPr>
          <w:lang w:val="en-US"/>
        </w:rPr>
      </w:pPr>
      <w:r>
        <w:rPr>
          <w:rStyle w:val="Funotenzeichen"/>
        </w:rPr>
        <w:footnoteRef/>
      </w:r>
      <w:r w:rsidRPr="00F44D0A">
        <w:rPr>
          <w:lang w:val="en-US"/>
        </w:rPr>
        <w:t xml:space="preserve"> Broadbent,</w:t>
      </w:r>
      <w:r w:rsidR="003C526A">
        <w:rPr>
          <w:lang w:val="en-US"/>
        </w:rPr>
        <w:t xml:space="preserve"> </w:t>
      </w:r>
      <w:r w:rsidR="003C526A">
        <w:rPr>
          <w:lang w:val="en-US"/>
        </w:rPr>
        <w:t>‘Celestial Magic as the ‘Love Path</w:t>
      </w:r>
      <w:r w:rsidR="003C526A">
        <w:rPr>
          <w:lang w:val="en-US"/>
        </w:rPr>
        <w:t>’’,</w:t>
      </w:r>
      <w:r w:rsidRPr="00F44D0A">
        <w:rPr>
          <w:lang w:val="en-US"/>
        </w:rPr>
        <w:t xml:space="preserve"> </w:t>
      </w:r>
      <w:r w:rsidR="003C526A">
        <w:rPr>
          <w:lang w:val="en-US"/>
        </w:rPr>
        <w:t>p</w:t>
      </w:r>
      <w:r w:rsidRPr="00F44D0A">
        <w:rPr>
          <w:lang w:val="en-US"/>
        </w:rPr>
        <w:t>p. 9</w:t>
      </w:r>
      <w:r w:rsidR="003C526A">
        <w:rPr>
          <w:lang w:val="en-US"/>
        </w:rPr>
        <w:t>-10</w:t>
      </w:r>
      <w:r w:rsidRPr="00F44D0A">
        <w:rPr>
          <w:lang w:val="en-US"/>
        </w:rPr>
        <w:t>.</w:t>
      </w:r>
    </w:p>
  </w:footnote>
  <w:footnote w:id="15">
    <w:p w:rsidR="008F5569" w:rsidRPr="00F44D0A" w:rsidRDefault="008F5569">
      <w:pPr>
        <w:pStyle w:val="Funotentext"/>
        <w:rPr>
          <w:lang w:val="en-US"/>
        </w:rPr>
      </w:pPr>
      <w:r>
        <w:rPr>
          <w:rStyle w:val="Funotenzeichen"/>
        </w:rPr>
        <w:footnoteRef/>
      </w:r>
      <w:r w:rsidRPr="00F44D0A">
        <w:rPr>
          <w:lang w:val="en-US"/>
        </w:rPr>
        <w:t xml:space="preserve"> </w:t>
      </w:r>
      <w:r w:rsidR="003C526A" w:rsidRPr="00F44D0A">
        <w:rPr>
          <w:lang w:val="en-US"/>
        </w:rPr>
        <w:t>Broadbent,</w:t>
      </w:r>
      <w:r w:rsidR="003C526A">
        <w:rPr>
          <w:lang w:val="en-US"/>
        </w:rPr>
        <w:t xml:space="preserve"> ‘Celestial Magic as the ‘Love Path’’,</w:t>
      </w:r>
      <w:r w:rsidR="003C526A" w:rsidRPr="00F44D0A">
        <w:rPr>
          <w:lang w:val="en-US"/>
        </w:rPr>
        <w:t xml:space="preserve"> </w:t>
      </w:r>
      <w:r w:rsidR="003C526A">
        <w:rPr>
          <w:lang w:val="en-US"/>
        </w:rPr>
        <w:t>p</w:t>
      </w:r>
      <w:r w:rsidR="003C526A" w:rsidRPr="00F44D0A">
        <w:rPr>
          <w:lang w:val="en-US"/>
        </w:rPr>
        <w:t>p. 9</w:t>
      </w:r>
      <w:r w:rsidR="003C526A">
        <w:rPr>
          <w:lang w:val="en-US"/>
        </w:rPr>
        <w:t>-10</w:t>
      </w:r>
      <w:r w:rsidR="003C526A" w:rsidRPr="00F44D0A">
        <w:rPr>
          <w:lang w:val="en-US"/>
        </w:rPr>
        <w:t>.</w:t>
      </w:r>
    </w:p>
  </w:footnote>
  <w:footnote w:id="16">
    <w:p w:rsidR="008F5569" w:rsidRPr="00F44D0A" w:rsidRDefault="008F5569">
      <w:pPr>
        <w:pStyle w:val="Funotentext"/>
        <w:rPr>
          <w:lang w:val="en-US"/>
        </w:rPr>
      </w:pPr>
      <w:r>
        <w:rPr>
          <w:rStyle w:val="Funotenzeichen"/>
        </w:rPr>
        <w:footnoteRef/>
      </w:r>
      <w:r w:rsidRPr="00F44D0A">
        <w:rPr>
          <w:lang w:val="en-US"/>
        </w:rPr>
        <w:t xml:space="preserve"> </w:t>
      </w:r>
      <w:r w:rsidR="003C526A" w:rsidRPr="00F44D0A">
        <w:rPr>
          <w:lang w:val="en-US"/>
        </w:rPr>
        <w:t>Broadbent,</w:t>
      </w:r>
      <w:r w:rsidR="003C526A">
        <w:rPr>
          <w:lang w:val="en-US"/>
        </w:rPr>
        <w:t xml:space="preserve"> ‘Celestial Magic as the ‘Love Path’’,</w:t>
      </w:r>
      <w:r w:rsidR="003C526A" w:rsidRPr="00F44D0A">
        <w:rPr>
          <w:lang w:val="en-US"/>
        </w:rPr>
        <w:t xml:space="preserve"> </w:t>
      </w:r>
      <w:r w:rsidR="003C526A">
        <w:rPr>
          <w:lang w:val="en-US"/>
        </w:rPr>
        <w:t>p</w:t>
      </w:r>
      <w:r w:rsidR="003C526A" w:rsidRPr="00F44D0A">
        <w:rPr>
          <w:lang w:val="en-US"/>
        </w:rPr>
        <w:t>p. 9</w:t>
      </w:r>
      <w:r w:rsidR="003C526A">
        <w:rPr>
          <w:lang w:val="en-US"/>
        </w:rPr>
        <w:t>-10</w:t>
      </w:r>
      <w:r w:rsidR="003C526A" w:rsidRPr="00F44D0A">
        <w:rPr>
          <w:lang w:val="en-US"/>
        </w:rPr>
        <w:t>.</w:t>
      </w:r>
    </w:p>
  </w:footnote>
  <w:footnote w:id="17">
    <w:p w:rsidR="008F5569" w:rsidRPr="006A017D" w:rsidRDefault="008F5569">
      <w:pPr>
        <w:pStyle w:val="Funotentext"/>
        <w:rPr>
          <w:lang w:val="en-US"/>
        </w:rPr>
      </w:pPr>
      <w:r>
        <w:rPr>
          <w:rStyle w:val="Funotenzeichen"/>
        </w:rPr>
        <w:footnoteRef/>
      </w:r>
      <w:r w:rsidRPr="006A017D">
        <w:rPr>
          <w:lang w:val="en-US"/>
        </w:rPr>
        <w:t xml:space="preserve"> </w:t>
      </w:r>
      <w:r w:rsidR="00FD0A99">
        <w:rPr>
          <w:lang w:val="en-US"/>
        </w:rPr>
        <w:t xml:space="preserve">James </w:t>
      </w:r>
      <w:r w:rsidRPr="006A017D">
        <w:rPr>
          <w:lang w:val="en-US"/>
        </w:rPr>
        <w:t>Mooney,</w:t>
      </w:r>
      <w:r w:rsidR="00FD0A99">
        <w:rPr>
          <w:lang w:val="en-US"/>
        </w:rPr>
        <w:t xml:space="preserve"> </w:t>
      </w:r>
      <w:r w:rsidR="00FD0A99">
        <w:rPr>
          <w:i/>
          <w:lang w:val="en-US"/>
        </w:rPr>
        <w:t xml:space="preserve">Myths of the Cherokee </w:t>
      </w:r>
      <w:r w:rsidR="00FD0A99">
        <w:rPr>
          <w:lang w:val="en-US"/>
        </w:rPr>
        <w:t>(Washington: Government Printing Office, 1902)</w:t>
      </w:r>
      <w:r w:rsidRPr="006A017D">
        <w:rPr>
          <w:lang w:val="en-US"/>
        </w:rPr>
        <w:t xml:space="preserve"> p</w:t>
      </w:r>
      <w:r w:rsidR="00FD0A99">
        <w:rPr>
          <w:lang w:val="en-US"/>
        </w:rPr>
        <w:t>p</w:t>
      </w:r>
      <w:r w:rsidRPr="006A017D">
        <w:rPr>
          <w:lang w:val="en-US"/>
        </w:rPr>
        <w:t>. 2</w:t>
      </w:r>
      <w:r>
        <w:rPr>
          <w:lang w:val="en-US"/>
        </w:rPr>
        <w:t>56</w:t>
      </w:r>
      <w:r w:rsidR="00FD0A99">
        <w:rPr>
          <w:lang w:val="en-US"/>
        </w:rPr>
        <w:t>-258</w:t>
      </w:r>
      <w:r>
        <w:rPr>
          <w:lang w:val="en-US"/>
        </w:rPr>
        <w:t>.</w:t>
      </w:r>
    </w:p>
  </w:footnote>
  <w:footnote w:id="18">
    <w:p w:rsidR="008F5569" w:rsidRPr="006A017D" w:rsidRDefault="008F5569">
      <w:pPr>
        <w:pStyle w:val="Funotentext"/>
        <w:rPr>
          <w:lang w:val="en-US"/>
        </w:rPr>
      </w:pPr>
      <w:r>
        <w:rPr>
          <w:rStyle w:val="Funotenzeichen"/>
        </w:rPr>
        <w:footnoteRef/>
      </w:r>
      <w:r w:rsidRPr="006A017D">
        <w:rPr>
          <w:lang w:val="en-US"/>
        </w:rPr>
        <w:t xml:space="preserve"> Mooney</w:t>
      </w:r>
      <w:r w:rsidR="00FD0A99">
        <w:rPr>
          <w:lang w:val="en-US"/>
        </w:rPr>
        <w:t xml:space="preserve">, </w:t>
      </w:r>
      <w:r w:rsidR="00FD0A99">
        <w:rPr>
          <w:i/>
          <w:lang w:val="en-US"/>
        </w:rPr>
        <w:t>Myths of the Cherokee</w:t>
      </w:r>
      <w:r w:rsidR="00FD0A99">
        <w:rPr>
          <w:i/>
          <w:lang w:val="en-US"/>
        </w:rPr>
        <w:t>,</w:t>
      </w:r>
      <w:r w:rsidR="00FD0A99" w:rsidRPr="00FD0A99">
        <w:rPr>
          <w:lang w:val="en-US"/>
        </w:rPr>
        <w:t xml:space="preserve"> pp. 256-258.</w:t>
      </w:r>
    </w:p>
  </w:footnote>
  <w:footnote w:id="19">
    <w:p w:rsidR="008F5569" w:rsidRPr="006A017D" w:rsidRDefault="008F5569">
      <w:pPr>
        <w:pStyle w:val="Funotentext"/>
        <w:rPr>
          <w:lang w:val="en-US"/>
        </w:rPr>
      </w:pPr>
      <w:r>
        <w:rPr>
          <w:rStyle w:val="Funotenzeichen"/>
        </w:rPr>
        <w:footnoteRef/>
      </w:r>
      <w:r w:rsidRPr="006A017D">
        <w:rPr>
          <w:lang w:val="en-US"/>
        </w:rPr>
        <w:t xml:space="preserve"> </w:t>
      </w:r>
      <w:r w:rsidR="006724EB">
        <w:rPr>
          <w:lang w:val="en-US"/>
        </w:rPr>
        <w:t xml:space="preserve">Jarita C. Holbrook, ‘Sun Gods and Moon Deities in Africa’, </w:t>
      </w:r>
      <w:r w:rsidR="00043C12">
        <w:rPr>
          <w:lang w:val="en-US"/>
        </w:rPr>
        <w:t xml:space="preserve">in </w:t>
      </w:r>
      <w:r w:rsidR="00043C12" w:rsidRPr="006408F0">
        <w:rPr>
          <w:i/>
          <w:lang w:val="en-US"/>
        </w:rPr>
        <w:t>Sky and Psyche</w:t>
      </w:r>
      <w:r w:rsidR="00043C12">
        <w:rPr>
          <w:i/>
          <w:lang w:val="en-US"/>
        </w:rPr>
        <w:t>. The Relationship Between Cosmos and Consciousness</w:t>
      </w:r>
      <w:r w:rsidR="00043C12">
        <w:rPr>
          <w:lang w:val="en-US"/>
        </w:rPr>
        <w:t>, ed. by Nicholas Campion and Patrick Curry (Great Britain: Floris Books, 2006)</w:t>
      </w:r>
      <w:r w:rsidR="00043C12" w:rsidRPr="0086165B">
        <w:rPr>
          <w:lang w:val="en-US"/>
        </w:rPr>
        <w:t xml:space="preserve">, p. </w:t>
      </w:r>
      <w:r w:rsidR="00043C12">
        <w:rPr>
          <w:lang w:val="en-US"/>
        </w:rPr>
        <w:t>159</w:t>
      </w:r>
      <w:r w:rsidR="00043C12" w:rsidRPr="0086165B">
        <w:rPr>
          <w:lang w:val="en-US"/>
        </w:rPr>
        <w:t>.</w:t>
      </w:r>
    </w:p>
  </w:footnote>
  <w:footnote w:id="20">
    <w:p w:rsidR="008F5569" w:rsidRPr="006A017D" w:rsidRDefault="008F5569">
      <w:pPr>
        <w:pStyle w:val="Funotentext"/>
        <w:rPr>
          <w:lang w:val="en-US"/>
        </w:rPr>
      </w:pPr>
      <w:r>
        <w:rPr>
          <w:rStyle w:val="Funotenzeichen"/>
        </w:rPr>
        <w:footnoteRef/>
      </w:r>
      <w:r w:rsidRPr="006A017D">
        <w:rPr>
          <w:lang w:val="en-US"/>
        </w:rPr>
        <w:t xml:space="preserve"> </w:t>
      </w:r>
      <w:r w:rsidR="006724EB">
        <w:rPr>
          <w:lang w:val="en-US"/>
        </w:rPr>
        <w:t xml:space="preserve">Holbrook, </w:t>
      </w:r>
      <w:r w:rsidR="006724EB">
        <w:rPr>
          <w:lang w:val="en-US"/>
        </w:rPr>
        <w:t>‘Sun Gods and Moon Deities in Africa’</w:t>
      </w:r>
      <w:r w:rsidR="006724EB">
        <w:rPr>
          <w:lang w:val="en-US"/>
        </w:rPr>
        <w:t>, pp.</w:t>
      </w:r>
      <w:r w:rsidRPr="006A017D">
        <w:rPr>
          <w:lang w:val="en-US"/>
        </w:rPr>
        <w:t xml:space="preserve"> 162</w:t>
      </w:r>
      <w:r w:rsidR="006724EB">
        <w:rPr>
          <w:lang w:val="en-US"/>
        </w:rPr>
        <w:t>-165</w:t>
      </w:r>
      <w:r w:rsidRPr="006A017D">
        <w:rPr>
          <w:lang w:val="en-US"/>
        </w:rPr>
        <w:t>.</w:t>
      </w:r>
    </w:p>
  </w:footnote>
  <w:footnote w:id="21">
    <w:p w:rsidR="008F5569" w:rsidRPr="00F44D0A" w:rsidRDefault="008F5569">
      <w:pPr>
        <w:pStyle w:val="Funotentext"/>
        <w:rPr>
          <w:lang w:val="en-US"/>
        </w:rPr>
      </w:pPr>
      <w:r>
        <w:rPr>
          <w:rStyle w:val="Funotenzeichen"/>
        </w:rPr>
        <w:footnoteRef/>
      </w:r>
      <w:r w:rsidRPr="00F44D0A">
        <w:rPr>
          <w:lang w:val="en-US"/>
        </w:rPr>
        <w:t xml:space="preserve"> </w:t>
      </w:r>
      <w:r w:rsidR="00962CFC" w:rsidRPr="00BB3887">
        <w:rPr>
          <w:lang w:val="en-GB"/>
        </w:rPr>
        <w:t>N</w:t>
      </w:r>
      <w:r w:rsidR="00962CFC">
        <w:rPr>
          <w:lang w:val="en-GB"/>
        </w:rPr>
        <w:t>icholas</w:t>
      </w:r>
      <w:r w:rsidR="00962CFC" w:rsidRPr="00BB3887">
        <w:rPr>
          <w:lang w:val="en-GB"/>
        </w:rPr>
        <w:t xml:space="preserve"> Campion, </w:t>
      </w:r>
      <w:r w:rsidR="00962CFC" w:rsidRPr="00BB3887">
        <w:rPr>
          <w:i/>
          <w:lang w:val="en-GB"/>
        </w:rPr>
        <w:t>Astrology and Cosmology in the World's Religions</w:t>
      </w:r>
      <w:r w:rsidR="00962CFC" w:rsidRPr="00BB3887">
        <w:rPr>
          <w:lang w:val="en-GB"/>
        </w:rPr>
        <w:t xml:space="preserve"> (New York: New York University Press, 2012) p.</w:t>
      </w:r>
      <w:r w:rsidR="00962CFC">
        <w:rPr>
          <w:lang w:val="en-GB"/>
        </w:rPr>
        <w:t xml:space="preserve"> </w:t>
      </w:r>
      <w:r w:rsidR="00962CFC">
        <w:rPr>
          <w:lang w:val="en-GB"/>
        </w:rPr>
        <w:t>128</w:t>
      </w:r>
      <w:r w:rsidR="00962CFC" w:rsidRPr="00BB3887">
        <w:rPr>
          <w:lang w:val="en-GB"/>
        </w:rPr>
        <w:t>.</w:t>
      </w:r>
    </w:p>
  </w:footnote>
  <w:footnote w:id="22">
    <w:p w:rsidR="008F5569" w:rsidRPr="00F44D0A" w:rsidRDefault="008F5569">
      <w:pPr>
        <w:pStyle w:val="Funotentext"/>
        <w:rPr>
          <w:lang w:val="en-US"/>
        </w:rPr>
      </w:pPr>
      <w:r>
        <w:rPr>
          <w:rStyle w:val="Funotenzeichen"/>
        </w:rPr>
        <w:footnoteRef/>
      </w:r>
      <w:r w:rsidRPr="00F44D0A">
        <w:rPr>
          <w:lang w:val="en-US"/>
        </w:rPr>
        <w:t xml:space="preserve"> Ptolemaeus, </w:t>
      </w:r>
      <w:r w:rsidRPr="00AD17DD">
        <w:rPr>
          <w:i/>
          <w:lang w:val="en-US"/>
        </w:rPr>
        <w:t>Tetrabiblos</w:t>
      </w:r>
      <w:r w:rsidRPr="00F44D0A">
        <w:rPr>
          <w:lang w:val="en-US"/>
        </w:rPr>
        <w:t xml:space="preserve">, </w:t>
      </w:r>
      <w:r w:rsidR="00AD17DD">
        <w:rPr>
          <w:lang w:val="en-US"/>
        </w:rPr>
        <w:t>p</w:t>
      </w:r>
      <w:r w:rsidRPr="00F44D0A">
        <w:rPr>
          <w:lang w:val="en-US"/>
        </w:rPr>
        <w:t xml:space="preserve">. 44. </w:t>
      </w:r>
    </w:p>
  </w:footnote>
  <w:footnote w:id="23">
    <w:p w:rsidR="008F5569" w:rsidRPr="00CD6621" w:rsidRDefault="008F5569">
      <w:pPr>
        <w:pStyle w:val="Funotentext"/>
        <w:rPr>
          <w:lang w:val="en-US"/>
        </w:rPr>
      </w:pPr>
      <w:r>
        <w:rPr>
          <w:rStyle w:val="Funotenzeichen"/>
        </w:rPr>
        <w:footnoteRef/>
      </w:r>
      <w:r w:rsidRPr="00CD6621">
        <w:rPr>
          <w:lang w:val="en-US"/>
        </w:rPr>
        <w:t xml:space="preserve"> </w:t>
      </w:r>
      <w:r w:rsidR="00AD17DD" w:rsidRPr="00F44D0A">
        <w:rPr>
          <w:lang w:val="en-US"/>
        </w:rPr>
        <w:t xml:space="preserve">Ptolemaeus, </w:t>
      </w:r>
      <w:r w:rsidR="00AD17DD" w:rsidRPr="00AD17DD">
        <w:rPr>
          <w:i/>
          <w:lang w:val="en-US"/>
        </w:rPr>
        <w:t>Tetrabiblos</w:t>
      </w:r>
      <w:r w:rsidR="00AD17DD" w:rsidRPr="00F44D0A">
        <w:rPr>
          <w:lang w:val="en-US"/>
        </w:rPr>
        <w:t xml:space="preserve">, </w:t>
      </w:r>
      <w:r w:rsidR="00AD17DD">
        <w:rPr>
          <w:lang w:val="en-US"/>
        </w:rPr>
        <w:t>p</w:t>
      </w:r>
      <w:r w:rsidR="00AD17DD" w:rsidRPr="00F44D0A">
        <w:rPr>
          <w:lang w:val="en-US"/>
        </w:rPr>
        <w:t>. 44</w:t>
      </w:r>
      <w:r w:rsidR="00AD17DD">
        <w:rPr>
          <w:lang w:val="en-US"/>
        </w:rPr>
        <w:t>-45</w:t>
      </w:r>
      <w:r w:rsidR="00AD17DD" w:rsidRPr="00F44D0A">
        <w:rPr>
          <w:lang w:val="en-US"/>
        </w:rPr>
        <w:t>.</w:t>
      </w:r>
    </w:p>
  </w:footnote>
  <w:footnote w:id="24">
    <w:p w:rsidR="008F5569" w:rsidRPr="00601435" w:rsidRDefault="008F5569">
      <w:pPr>
        <w:pStyle w:val="Funotentext"/>
        <w:rPr>
          <w:lang w:val="en-US"/>
        </w:rPr>
      </w:pPr>
      <w:r>
        <w:rPr>
          <w:rStyle w:val="Funotenzeichen"/>
        </w:rPr>
        <w:footnoteRef/>
      </w:r>
      <w:r w:rsidRPr="00601435">
        <w:rPr>
          <w:lang w:val="en-US"/>
        </w:rPr>
        <w:t xml:space="preserve"> </w:t>
      </w:r>
      <w:r w:rsidR="00AD17DD" w:rsidRPr="00F44D0A">
        <w:rPr>
          <w:lang w:val="en-US"/>
        </w:rPr>
        <w:t xml:space="preserve">Ptolemaeus, </w:t>
      </w:r>
      <w:r w:rsidR="00AD17DD" w:rsidRPr="00AD17DD">
        <w:rPr>
          <w:i/>
          <w:lang w:val="en-US"/>
        </w:rPr>
        <w:t>Tetrabiblos</w:t>
      </w:r>
      <w:r w:rsidR="00AD17DD" w:rsidRPr="00F44D0A">
        <w:rPr>
          <w:lang w:val="en-US"/>
        </w:rPr>
        <w:t xml:space="preserve">, </w:t>
      </w:r>
      <w:r w:rsidR="00AD17DD">
        <w:rPr>
          <w:lang w:val="en-US"/>
        </w:rPr>
        <w:t>pp</w:t>
      </w:r>
      <w:r w:rsidR="00AD17DD" w:rsidRPr="00F44D0A">
        <w:rPr>
          <w:lang w:val="en-US"/>
        </w:rPr>
        <w:t>. 44</w:t>
      </w:r>
      <w:r w:rsidR="00AD17DD">
        <w:rPr>
          <w:lang w:val="en-US"/>
        </w:rPr>
        <w:t>-46</w:t>
      </w:r>
      <w:r w:rsidR="00AD17DD" w:rsidRPr="00F44D0A">
        <w:rPr>
          <w:lang w:val="en-US"/>
        </w:rPr>
        <w:t>.</w:t>
      </w:r>
    </w:p>
  </w:footnote>
  <w:footnote w:id="25">
    <w:p w:rsidR="008F5569" w:rsidRPr="00CD6621" w:rsidRDefault="008F5569">
      <w:pPr>
        <w:pStyle w:val="Funotentext"/>
        <w:rPr>
          <w:lang w:val="en-US"/>
        </w:rPr>
      </w:pPr>
      <w:r>
        <w:rPr>
          <w:rStyle w:val="Funotenzeichen"/>
        </w:rPr>
        <w:footnoteRef/>
      </w:r>
      <w:r w:rsidRPr="00CD6621">
        <w:rPr>
          <w:lang w:val="en-US"/>
        </w:rPr>
        <w:t xml:space="preserve"> </w:t>
      </w:r>
      <w:r w:rsidR="00AD17DD" w:rsidRPr="00F44D0A">
        <w:rPr>
          <w:lang w:val="en-US"/>
        </w:rPr>
        <w:t xml:space="preserve">Ptolemaeus, </w:t>
      </w:r>
      <w:r w:rsidR="00AD17DD" w:rsidRPr="00AD17DD">
        <w:rPr>
          <w:i/>
          <w:lang w:val="en-US"/>
        </w:rPr>
        <w:t>Tetrabiblos</w:t>
      </w:r>
      <w:r w:rsidR="00AD17DD" w:rsidRPr="00F44D0A">
        <w:rPr>
          <w:lang w:val="en-US"/>
        </w:rPr>
        <w:t xml:space="preserve">, </w:t>
      </w:r>
      <w:r w:rsidRPr="00CD6621">
        <w:rPr>
          <w:lang w:val="en-US"/>
        </w:rPr>
        <w:t>p. 15.</w:t>
      </w:r>
    </w:p>
  </w:footnote>
  <w:footnote w:id="26">
    <w:p w:rsidR="008F5569" w:rsidRPr="00CD6621" w:rsidRDefault="008F5569">
      <w:pPr>
        <w:pStyle w:val="Funotentext"/>
        <w:rPr>
          <w:lang w:val="en-US"/>
        </w:rPr>
      </w:pPr>
      <w:r>
        <w:rPr>
          <w:rStyle w:val="Funotenzeichen"/>
        </w:rPr>
        <w:footnoteRef/>
      </w:r>
      <w:r w:rsidRPr="00CD6621">
        <w:rPr>
          <w:lang w:val="en-US"/>
        </w:rPr>
        <w:t xml:space="preserve"> </w:t>
      </w:r>
      <w:r w:rsidR="00832609" w:rsidRPr="00D30AC1">
        <w:rPr>
          <w:lang w:val="en-US"/>
        </w:rPr>
        <w:t>Pto</w:t>
      </w:r>
      <w:r w:rsidR="00832609">
        <w:rPr>
          <w:lang w:val="en-US"/>
        </w:rPr>
        <w:t xml:space="preserve">lemaeus, </w:t>
      </w:r>
      <w:r w:rsidR="00832609">
        <w:rPr>
          <w:i/>
          <w:lang w:val="en-US"/>
        </w:rPr>
        <w:t>Tetrabiblos</w:t>
      </w:r>
      <w:r w:rsidR="00832609">
        <w:rPr>
          <w:lang w:val="en-US"/>
        </w:rPr>
        <w:t>,</w:t>
      </w:r>
      <w:r w:rsidR="00832609" w:rsidRPr="00D30AC1">
        <w:rPr>
          <w:lang w:val="en-US"/>
        </w:rPr>
        <w:t xml:space="preserve"> </w:t>
      </w:r>
      <w:r w:rsidRPr="00CD6621">
        <w:rPr>
          <w:lang w:val="en-US"/>
        </w:rPr>
        <w:t>p. 54.</w:t>
      </w:r>
    </w:p>
  </w:footnote>
  <w:footnote w:id="27">
    <w:p w:rsidR="008F5569" w:rsidRPr="00CD6621" w:rsidRDefault="008F5569">
      <w:pPr>
        <w:pStyle w:val="Funotentext"/>
        <w:rPr>
          <w:lang w:val="en-US"/>
        </w:rPr>
      </w:pPr>
      <w:r>
        <w:rPr>
          <w:rStyle w:val="Funotenzeichen"/>
        </w:rPr>
        <w:footnoteRef/>
      </w:r>
      <w:r w:rsidRPr="00CD6621">
        <w:rPr>
          <w:lang w:val="en-US"/>
        </w:rPr>
        <w:t xml:space="preserve"> </w:t>
      </w:r>
      <w:r w:rsidR="00832609" w:rsidRPr="00D30AC1">
        <w:rPr>
          <w:lang w:val="en-US"/>
        </w:rPr>
        <w:t>Pto</w:t>
      </w:r>
      <w:r w:rsidR="00832609">
        <w:rPr>
          <w:lang w:val="en-US"/>
        </w:rPr>
        <w:t xml:space="preserve">lemaeus, </w:t>
      </w:r>
      <w:r w:rsidR="00832609">
        <w:rPr>
          <w:i/>
          <w:lang w:val="en-US"/>
        </w:rPr>
        <w:t>Tetrabiblos</w:t>
      </w:r>
      <w:r w:rsidR="00832609">
        <w:rPr>
          <w:lang w:val="en-US"/>
        </w:rPr>
        <w:t>,</w:t>
      </w:r>
      <w:r w:rsidR="00832609" w:rsidRPr="00D30AC1">
        <w:rPr>
          <w:lang w:val="en-US"/>
        </w:rPr>
        <w:t xml:space="preserve"> </w:t>
      </w:r>
      <w:r w:rsidRPr="00CD6621">
        <w:rPr>
          <w:lang w:val="en-US"/>
        </w:rPr>
        <w:t>p. 54.</w:t>
      </w:r>
    </w:p>
  </w:footnote>
  <w:footnote w:id="28">
    <w:p w:rsidR="008F5569" w:rsidRPr="00CD6621" w:rsidRDefault="008F5569">
      <w:pPr>
        <w:pStyle w:val="Funotentext"/>
        <w:rPr>
          <w:lang w:val="en-US"/>
        </w:rPr>
      </w:pPr>
      <w:r>
        <w:rPr>
          <w:rStyle w:val="Funotenzeichen"/>
        </w:rPr>
        <w:footnoteRef/>
      </w:r>
      <w:r w:rsidRPr="00CD6621">
        <w:rPr>
          <w:lang w:val="en-US"/>
        </w:rPr>
        <w:t xml:space="preserve"> </w:t>
      </w:r>
      <w:r w:rsidR="00832609" w:rsidRPr="00D30AC1">
        <w:rPr>
          <w:lang w:val="en-US"/>
        </w:rPr>
        <w:t>Pto</w:t>
      </w:r>
      <w:r w:rsidR="00832609">
        <w:rPr>
          <w:lang w:val="en-US"/>
        </w:rPr>
        <w:t xml:space="preserve">lemaeus, </w:t>
      </w:r>
      <w:r w:rsidR="00832609">
        <w:rPr>
          <w:i/>
          <w:lang w:val="en-US"/>
        </w:rPr>
        <w:t>Tetrabiblos</w:t>
      </w:r>
      <w:r w:rsidR="00832609">
        <w:rPr>
          <w:lang w:val="en-US"/>
        </w:rPr>
        <w:t>,</w:t>
      </w:r>
      <w:r w:rsidR="00832609" w:rsidRPr="00D30AC1">
        <w:rPr>
          <w:lang w:val="en-US"/>
        </w:rPr>
        <w:t xml:space="preserve"> </w:t>
      </w:r>
      <w:r w:rsidRPr="00CD6621">
        <w:rPr>
          <w:lang w:val="en-US"/>
        </w:rPr>
        <w:t>p. 55.</w:t>
      </w:r>
    </w:p>
  </w:footnote>
  <w:footnote w:id="29">
    <w:p w:rsidR="008F5569" w:rsidRPr="00CD6621" w:rsidRDefault="008F5569">
      <w:pPr>
        <w:pStyle w:val="Funotentext"/>
        <w:rPr>
          <w:lang w:val="en-US"/>
        </w:rPr>
      </w:pPr>
      <w:r>
        <w:rPr>
          <w:rStyle w:val="Funotenzeichen"/>
        </w:rPr>
        <w:footnoteRef/>
      </w:r>
      <w:r w:rsidRPr="00CD6621">
        <w:rPr>
          <w:lang w:val="en-US"/>
        </w:rPr>
        <w:t xml:space="preserve"> </w:t>
      </w:r>
      <w:r w:rsidR="00832609" w:rsidRPr="00D30AC1">
        <w:rPr>
          <w:lang w:val="en-US"/>
        </w:rPr>
        <w:t>Pto</w:t>
      </w:r>
      <w:r w:rsidR="00832609">
        <w:rPr>
          <w:lang w:val="en-US"/>
        </w:rPr>
        <w:t xml:space="preserve">lemaeus, </w:t>
      </w:r>
      <w:r w:rsidR="00832609">
        <w:rPr>
          <w:i/>
          <w:lang w:val="en-US"/>
        </w:rPr>
        <w:t>Tetrabiblos</w:t>
      </w:r>
      <w:r w:rsidR="00832609">
        <w:rPr>
          <w:lang w:val="en-US"/>
        </w:rPr>
        <w:t>,</w:t>
      </w:r>
      <w:r w:rsidR="00832609" w:rsidRPr="00D30AC1">
        <w:rPr>
          <w:lang w:val="en-US"/>
        </w:rPr>
        <w:t xml:space="preserve"> </w:t>
      </w:r>
      <w:r w:rsidRPr="00CD6621">
        <w:rPr>
          <w:lang w:val="en-US"/>
        </w:rPr>
        <w:t>pp. 55</w:t>
      </w:r>
      <w:r w:rsidR="00832609">
        <w:rPr>
          <w:lang w:val="en-US"/>
        </w:rPr>
        <w:t>-56</w:t>
      </w:r>
      <w:r w:rsidRPr="00CD6621">
        <w:rPr>
          <w:lang w:val="en-US"/>
        </w:rPr>
        <w:t>.</w:t>
      </w:r>
    </w:p>
  </w:footnote>
  <w:footnote w:id="30">
    <w:p w:rsidR="008F5569" w:rsidRPr="00CD6621" w:rsidRDefault="008F5569">
      <w:pPr>
        <w:pStyle w:val="Funotentext"/>
        <w:rPr>
          <w:lang w:val="en-US"/>
        </w:rPr>
      </w:pPr>
      <w:r>
        <w:rPr>
          <w:rStyle w:val="Funotenzeichen"/>
        </w:rPr>
        <w:footnoteRef/>
      </w:r>
      <w:r w:rsidRPr="00CD6621">
        <w:rPr>
          <w:lang w:val="en-US"/>
        </w:rPr>
        <w:t xml:space="preserve"> </w:t>
      </w:r>
      <w:r w:rsidR="00832609">
        <w:rPr>
          <w:lang w:val="en-US"/>
        </w:rPr>
        <w:t xml:space="preserve">Bernadette Brady, ‘The Horoscope as an Imago Mundi: Rethinking the Nature of the Astrologer’s Map’, in </w:t>
      </w:r>
      <w:r w:rsidR="00832609">
        <w:rPr>
          <w:i/>
          <w:lang w:val="en-US"/>
        </w:rPr>
        <w:t>Astrologies. Plurality and Diversity</w:t>
      </w:r>
      <w:r w:rsidR="00832609">
        <w:rPr>
          <w:lang w:val="en-US"/>
        </w:rPr>
        <w:t>, ed. by Nicholas Campion and Liz Greene (UK: Sophia Centre Press, 2011), pp. 52-53.</w:t>
      </w:r>
    </w:p>
  </w:footnote>
  <w:footnote w:id="31">
    <w:p w:rsidR="008F5569" w:rsidRPr="00CD6621" w:rsidRDefault="008F5569">
      <w:pPr>
        <w:pStyle w:val="Funotentext"/>
        <w:rPr>
          <w:lang w:val="en-US"/>
        </w:rPr>
      </w:pPr>
      <w:r>
        <w:rPr>
          <w:rStyle w:val="Funotenzeichen"/>
        </w:rPr>
        <w:footnoteRef/>
      </w:r>
      <w:r w:rsidRPr="00CD6621">
        <w:rPr>
          <w:lang w:val="en-US"/>
        </w:rPr>
        <w:t xml:space="preserve"> </w:t>
      </w:r>
      <w:r w:rsidR="00832609">
        <w:rPr>
          <w:lang w:val="en-US"/>
        </w:rPr>
        <w:t>Brady, ‘The Horoscope as an Imago Mundi’, pp. 52-53.</w:t>
      </w:r>
    </w:p>
  </w:footnote>
  <w:footnote w:id="32">
    <w:p w:rsidR="008F5569" w:rsidRPr="00CD6621" w:rsidRDefault="008F5569">
      <w:pPr>
        <w:pStyle w:val="Funotentext"/>
        <w:rPr>
          <w:lang w:val="en-US"/>
        </w:rPr>
      </w:pPr>
      <w:r>
        <w:rPr>
          <w:rStyle w:val="Funotenzeichen"/>
        </w:rPr>
        <w:footnoteRef/>
      </w:r>
      <w:r w:rsidRPr="00CD6621">
        <w:rPr>
          <w:lang w:val="en-US"/>
        </w:rPr>
        <w:t xml:space="preserve"> </w:t>
      </w:r>
      <w:r w:rsidR="00832609">
        <w:rPr>
          <w:lang w:val="en-US"/>
        </w:rPr>
        <w:t>Brady, ‘The Horoscope as an Imago Mundi’, pp. 52-53.</w:t>
      </w:r>
    </w:p>
  </w:footnote>
  <w:footnote w:id="33">
    <w:p w:rsidR="008F5569" w:rsidRPr="00057B34" w:rsidRDefault="008F5569" w:rsidP="0084118A">
      <w:pPr>
        <w:pStyle w:val="Funotentext"/>
        <w:rPr>
          <w:lang w:val="en-GB"/>
        </w:rPr>
      </w:pPr>
      <w:r w:rsidRPr="00057B34">
        <w:rPr>
          <w:rStyle w:val="Funotenzeichen"/>
          <w:lang w:val="en-GB"/>
        </w:rPr>
        <w:footnoteRef/>
      </w:r>
      <w:r w:rsidRPr="00057B34">
        <w:rPr>
          <w:lang w:val="en-GB"/>
        </w:rPr>
        <w:t xml:space="preserve"> D</w:t>
      </w:r>
      <w:r>
        <w:rPr>
          <w:lang w:val="en-GB"/>
        </w:rPr>
        <w:t>avid</w:t>
      </w:r>
      <w:r w:rsidRPr="00057B34">
        <w:rPr>
          <w:lang w:val="en-GB"/>
        </w:rPr>
        <w:t xml:space="preserve"> Pingree, 'Hellenophilia Versus the History of Science', Isis, 83 (1992), </w:t>
      </w:r>
      <w:r>
        <w:rPr>
          <w:lang w:val="en-GB"/>
        </w:rPr>
        <w:t xml:space="preserve">p. 559. </w:t>
      </w:r>
    </w:p>
  </w:footnote>
  <w:footnote w:id="34">
    <w:p w:rsidR="008F5569" w:rsidRPr="00860FE4" w:rsidRDefault="008F5569" w:rsidP="00860FE4">
      <w:pPr>
        <w:pStyle w:val="Funotentext"/>
        <w:rPr>
          <w:lang w:val="en-US"/>
        </w:rPr>
      </w:pPr>
      <w:r>
        <w:rPr>
          <w:rStyle w:val="Funotenzeichen"/>
        </w:rPr>
        <w:footnoteRef/>
      </w:r>
      <w:r w:rsidRPr="00860FE4">
        <w:rPr>
          <w:lang w:val="en-US"/>
        </w:rPr>
        <w:t xml:space="preserve"> </w:t>
      </w:r>
      <w:r w:rsidR="00BF1761">
        <w:rPr>
          <w:lang w:val="en-US"/>
        </w:rPr>
        <w:t xml:space="preserve">Francis A. </w:t>
      </w:r>
      <w:r w:rsidRPr="00860FE4">
        <w:rPr>
          <w:lang w:val="en-US"/>
        </w:rPr>
        <w:t>Cunningham,</w:t>
      </w:r>
      <w:r w:rsidR="00BF1761">
        <w:rPr>
          <w:lang w:val="en-US"/>
        </w:rPr>
        <w:t xml:space="preserve"> ’The Sothic Cycle Used by the Egyptians’, Journal of the American Oriental Society, 34 (1915),</w:t>
      </w:r>
      <w:r w:rsidRPr="00860FE4">
        <w:rPr>
          <w:lang w:val="en-US"/>
        </w:rPr>
        <w:t xml:space="preserve"> p. 369</w:t>
      </w:r>
      <w:r>
        <w:rPr>
          <w:lang w:val="en-US"/>
        </w:rPr>
        <w:t>.</w:t>
      </w:r>
    </w:p>
  </w:footnote>
  <w:footnote w:id="35">
    <w:p w:rsidR="008F5569" w:rsidRPr="00411E2B" w:rsidRDefault="008F5569">
      <w:pPr>
        <w:pStyle w:val="Funotentext"/>
        <w:rPr>
          <w:lang w:val="en-US"/>
        </w:rPr>
      </w:pPr>
      <w:r>
        <w:rPr>
          <w:rStyle w:val="Funotenzeichen"/>
        </w:rPr>
        <w:footnoteRef/>
      </w:r>
      <w:r w:rsidRPr="00411E2B">
        <w:rPr>
          <w:lang w:val="en-US"/>
        </w:rPr>
        <w:t xml:space="preserve"> </w:t>
      </w:r>
      <w:r w:rsidR="00BF1761">
        <w:rPr>
          <w:lang w:val="en-US"/>
        </w:rPr>
        <w:t>Campion</w:t>
      </w:r>
      <w:r w:rsidR="00BF1761" w:rsidRPr="00BB3887">
        <w:rPr>
          <w:lang w:val="en-GB"/>
        </w:rPr>
        <w:t xml:space="preserve">, </w:t>
      </w:r>
      <w:r w:rsidR="00BF1761" w:rsidRPr="00BB3887">
        <w:rPr>
          <w:i/>
          <w:lang w:val="en-GB"/>
        </w:rPr>
        <w:t>Astrology and Cosmology in the World's Religions</w:t>
      </w:r>
      <w:r w:rsidR="00BF1761">
        <w:rPr>
          <w:lang w:val="en-US"/>
        </w:rPr>
        <w:t>,</w:t>
      </w:r>
      <w:r w:rsidRPr="00411E2B">
        <w:rPr>
          <w:lang w:val="en-US"/>
        </w:rPr>
        <w:t xml:space="preserve"> p. 87.</w:t>
      </w:r>
    </w:p>
  </w:footnote>
  <w:footnote w:id="36">
    <w:p w:rsidR="008F5569" w:rsidRPr="00860FE4" w:rsidRDefault="008F5569" w:rsidP="00860FE4">
      <w:pPr>
        <w:pStyle w:val="Funotentext"/>
        <w:rPr>
          <w:lang w:val="en-US"/>
        </w:rPr>
      </w:pPr>
      <w:r>
        <w:rPr>
          <w:rStyle w:val="Funotenzeichen"/>
        </w:rPr>
        <w:footnoteRef/>
      </w:r>
      <w:r w:rsidRPr="00860FE4">
        <w:rPr>
          <w:lang w:val="en-US"/>
        </w:rPr>
        <w:t xml:space="preserve"> </w:t>
      </w:r>
      <w:r>
        <w:rPr>
          <w:lang w:val="en-US"/>
        </w:rPr>
        <w:t>Cunningham,</w:t>
      </w:r>
      <w:r w:rsidR="00BF1761">
        <w:rPr>
          <w:lang w:val="en-US"/>
        </w:rPr>
        <w:t xml:space="preserve"> </w:t>
      </w:r>
      <w:r w:rsidR="00BF1761">
        <w:rPr>
          <w:lang w:val="en-US"/>
        </w:rPr>
        <w:t>’The Sothic Cycle Used by the Egyptians’</w:t>
      </w:r>
      <w:r w:rsidR="00BF1761">
        <w:rPr>
          <w:lang w:val="en-US"/>
        </w:rPr>
        <w:t xml:space="preserve">, </w:t>
      </w:r>
      <w:r>
        <w:rPr>
          <w:lang w:val="en-US"/>
        </w:rPr>
        <w:t xml:space="preserve">p. 369. </w:t>
      </w:r>
    </w:p>
  </w:footnote>
  <w:footnote w:id="37">
    <w:p w:rsidR="008F5569" w:rsidRPr="009C691A" w:rsidRDefault="008F5569">
      <w:pPr>
        <w:pStyle w:val="Funotentext"/>
        <w:rPr>
          <w:lang w:val="de-AT"/>
        </w:rPr>
      </w:pPr>
      <w:r>
        <w:rPr>
          <w:rStyle w:val="Funotenzeichen"/>
        </w:rPr>
        <w:footnoteRef/>
      </w:r>
      <w:r w:rsidRPr="009C691A">
        <w:rPr>
          <w:lang w:val="de-AT"/>
        </w:rPr>
        <w:t xml:space="preserve"> </w:t>
      </w:r>
      <w:r w:rsidR="009C691A" w:rsidRPr="009C691A">
        <w:rPr>
          <w:lang w:val="de-AT"/>
        </w:rPr>
        <w:t xml:space="preserve">Silvia </w:t>
      </w:r>
      <w:r w:rsidRPr="009C691A">
        <w:rPr>
          <w:lang w:val="de-AT"/>
        </w:rPr>
        <w:t>Prell,</w:t>
      </w:r>
      <w:r w:rsidR="009C691A" w:rsidRPr="009C691A">
        <w:rPr>
          <w:lang w:val="de-AT"/>
        </w:rPr>
        <w:t xml:space="preserve"> ‘Der Nil, seine Überschwemmung und sein Kult in </w:t>
      </w:r>
      <w:r w:rsidR="009C691A">
        <w:rPr>
          <w:lang w:val="de-AT"/>
        </w:rPr>
        <w:t>Ägypten‘, Studien zur Altägyptischen Kultur, 38 (2009),</w:t>
      </w:r>
      <w:r w:rsidRPr="009C691A">
        <w:rPr>
          <w:lang w:val="de-AT"/>
        </w:rPr>
        <w:t xml:space="preserve"> p. 212.</w:t>
      </w:r>
    </w:p>
  </w:footnote>
  <w:footnote w:id="38">
    <w:p w:rsidR="008F5569" w:rsidRPr="009C691A" w:rsidRDefault="008F5569">
      <w:pPr>
        <w:pStyle w:val="Funotentext"/>
        <w:rPr>
          <w:lang w:val="de-AT"/>
        </w:rPr>
      </w:pPr>
      <w:r>
        <w:rPr>
          <w:rStyle w:val="Funotenzeichen"/>
        </w:rPr>
        <w:footnoteRef/>
      </w:r>
      <w:r w:rsidRPr="009C691A">
        <w:rPr>
          <w:lang w:val="de-AT"/>
        </w:rPr>
        <w:t xml:space="preserve"> Prell,</w:t>
      </w:r>
      <w:r w:rsidR="009C691A" w:rsidRPr="009C691A">
        <w:rPr>
          <w:lang w:val="de-AT"/>
        </w:rPr>
        <w:t xml:space="preserve"> </w:t>
      </w:r>
      <w:r w:rsidR="009C691A" w:rsidRPr="009C691A">
        <w:rPr>
          <w:lang w:val="de-AT"/>
        </w:rPr>
        <w:t xml:space="preserve">‘Der Nil, seine Überschwemmung und sein Kult in </w:t>
      </w:r>
      <w:r w:rsidR="009C691A">
        <w:rPr>
          <w:lang w:val="de-AT"/>
        </w:rPr>
        <w:t>Ägypten‘</w:t>
      </w:r>
      <w:r w:rsidR="009C691A">
        <w:rPr>
          <w:lang w:val="de-AT"/>
        </w:rPr>
        <w:t>,</w:t>
      </w:r>
      <w:r w:rsidRPr="009C691A">
        <w:rPr>
          <w:lang w:val="de-AT"/>
        </w:rPr>
        <w:t xml:space="preserve"> p. 213. </w:t>
      </w:r>
    </w:p>
  </w:footnote>
  <w:footnote w:id="39">
    <w:p w:rsidR="008F5569" w:rsidRPr="008F70B7" w:rsidRDefault="008F5569">
      <w:pPr>
        <w:pStyle w:val="Funotentext"/>
        <w:rPr>
          <w:lang w:val="en-US"/>
        </w:rPr>
      </w:pPr>
      <w:r>
        <w:rPr>
          <w:rStyle w:val="Funotenzeichen"/>
        </w:rPr>
        <w:footnoteRef/>
      </w:r>
      <w:r w:rsidRPr="008F70B7">
        <w:rPr>
          <w:lang w:val="en-US"/>
        </w:rPr>
        <w:t xml:space="preserve"> </w:t>
      </w:r>
      <w:r w:rsidR="009C691A">
        <w:rPr>
          <w:lang w:val="en-US"/>
        </w:rPr>
        <w:t>Eleanor R.</w:t>
      </w:r>
      <w:r w:rsidR="00C05A5B">
        <w:rPr>
          <w:lang w:val="en-US"/>
        </w:rPr>
        <w:t xml:space="preserve"> </w:t>
      </w:r>
      <w:r w:rsidRPr="008F70B7">
        <w:rPr>
          <w:lang w:val="en-US"/>
        </w:rPr>
        <w:t>Long</w:t>
      </w:r>
      <w:r>
        <w:rPr>
          <w:lang w:val="en-US"/>
        </w:rPr>
        <w:t>,</w:t>
      </w:r>
      <w:r w:rsidR="00C05A5B">
        <w:rPr>
          <w:lang w:val="en-US"/>
        </w:rPr>
        <w:t xml:space="preserve"> ‘How the Dog Got Its Days: A Skeptical Inquiry into Traditional Star and Weather Lore’, Western Folklore, 43 (1984),</w:t>
      </w:r>
      <w:r>
        <w:rPr>
          <w:lang w:val="en-US"/>
        </w:rPr>
        <w:t xml:space="preserve"> p. 259. </w:t>
      </w:r>
    </w:p>
  </w:footnote>
  <w:footnote w:id="40">
    <w:p w:rsidR="008F5569" w:rsidRPr="009C691A" w:rsidRDefault="008F5569">
      <w:pPr>
        <w:pStyle w:val="Funotentext"/>
        <w:rPr>
          <w:lang w:val="de-AT"/>
        </w:rPr>
      </w:pPr>
      <w:r>
        <w:rPr>
          <w:rStyle w:val="Funotenzeichen"/>
        </w:rPr>
        <w:footnoteRef/>
      </w:r>
      <w:r w:rsidRPr="009C691A">
        <w:rPr>
          <w:lang w:val="de-AT"/>
        </w:rPr>
        <w:t xml:space="preserve"> Prell,</w:t>
      </w:r>
      <w:r w:rsidR="009C691A" w:rsidRPr="009C691A">
        <w:rPr>
          <w:lang w:val="de-AT"/>
        </w:rPr>
        <w:t xml:space="preserve"> </w:t>
      </w:r>
      <w:r w:rsidR="009C691A" w:rsidRPr="009C691A">
        <w:rPr>
          <w:lang w:val="de-AT"/>
        </w:rPr>
        <w:t xml:space="preserve">‘Der Nil, seine Überschwemmung und sein Kult in </w:t>
      </w:r>
      <w:r w:rsidR="009C691A">
        <w:rPr>
          <w:lang w:val="de-AT"/>
        </w:rPr>
        <w:t>Ägypten‘</w:t>
      </w:r>
      <w:r w:rsidR="009C691A">
        <w:rPr>
          <w:lang w:val="de-AT"/>
        </w:rPr>
        <w:t>,</w:t>
      </w:r>
      <w:r w:rsidRPr="009C691A">
        <w:rPr>
          <w:lang w:val="de-AT"/>
        </w:rPr>
        <w:t xml:space="preserve"> p. 226. </w:t>
      </w:r>
    </w:p>
  </w:footnote>
  <w:footnote w:id="41">
    <w:p w:rsidR="008F5569" w:rsidRPr="009C691A" w:rsidRDefault="008F5569">
      <w:pPr>
        <w:pStyle w:val="Funotentext"/>
        <w:rPr>
          <w:lang w:val="de-AT"/>
        </w:rPr>
      </w:pPr>
      <w:r>
        <w:rPr>
          <w:rStyle w:val="Funotenzeichen"/>
        </w:rPr>
        <w:footnoteRef/>
      </w:r>
      <w:r w:rsidRPr="009C691A">
        <w:rPr>
          <w:lang w:val="de-AT"/>
        </w:rPr>
        <w:t xml:space="preserve"> Prell,</w:t>
      </w:r>
      <w:r w:rsidR="009C691A" w:rsidRPr="009C691A">
        <w:rPr>
          <w:lang w:val="de-AT"/>
        </w:rPr>
        <w:t xml:space="preserve"> </w:t>
      </w:r>
      <w:r w:rsidR="009C691A" w:rsidRPr="009C691A">
        <w:rPr>
          <w:lang w:val="de-AT"/>
        </w:rPr>
        <w:t xml:space="preserve">‘Der Nil, seine Überschwemmung und sein Kult in </w:t>
      </w:r>
      <w:r w:rsidR="009C691A">
        <w:rPr>
          <w:lang w:val="de-AT"/>
        </w:rPr>
        <w:t>Ägypten‘</w:t>
      </w:r>
      <w:r w:rsidR="009C691A">
        <w:rPr>
          <w:lang w:val="de-AT"/>
        </w:rPr>
        <w:t>,</w:t>
      </w:r>
      <w:r w:rsidRPr="009C691A">
        <w:rPr>
          <w:lang w:val="de-AT"/>
        </w:rPr>
        <w:t xml:space="preserve"> p. 227. </w:t>
      </w:r>
    </w:p>
  </w:footnote>
  <w:footnote w:id="42">
    <w:p w:rsidR="008F5569" w:rsidRPr="00601435" w:rsidRDefault="008F5569">
      <w:pPr>
        <w:pStyle w:val="Funotentext"/>
        <w:rPr>
          <w:lang w:val="en-US"/>
        </w:rPr>
      </w:pPr>
      <w:r>
        <w:rPr>
          <w:rStyle w:val="Funotenzeichen"/>
        </w:rPr>
        <w:footnoteRef/>
      </w:r>
      <w:r w:rsidRPr="00601435">
        <w:rPr>
          <w:lang w:val="en-US"/>
        </w:rPr>
        <w:t xml:space="preserve"> Long,</w:t>
      </w:r>
      <w:r w:rsidR="00C05A5B">
        <w:rPr>
          <w:lang w:val="en-US"/>
        </w:rPr>
        <w:t xml:space="preserve"> </w:t>
      </w:r>
      <w:r w:rsidR="00C05A5B">
        <w:rPr>
          <w:lang w:val="en-US"/>
        </w:rPr>
        <w:t>‘How the Dog Got Its Day</w:t>
      </w:r>
      <w:r w:rsidR="00C05A5B">
        <w:rPr>
          <w:lang w:val="en-US"/>
        </w:rPr>
        <w:t>s’,</w:t>
      </w:r>
      <w:r w:rsidRPr="00601435">
        <w:rPr>
          <w:lang w:val="en-US"/>
        </w:rPr>
        <w:t xml:space="preserve"> p. 258.</w:t>
      </w:r>
    </w:p>
  </w:footnote>
  <w:footnote w:id="43">
    <w:p w:rsidR="008F5569" w:rsidRPr="00601435" w:rsidRDefault="008F5569">
      <w:pPr>
        <w:pStyle w:val="Funotentext"/>
        <w:rPr>
          <w:lang w:val="en-US"/>
        </w:rPr>
      </w:pPr>
      <w:r>
        <w:rPr>
          <w:rStyle w:val="Funotenzeichen"/>
        </w:rPr>
        <w:footnoteRef/>
      </w:r>
      <w:r w:rsidRPr="00601435">
        <w:rPr>
          <w:lang w:val="en-US"/>
        </w:rPr>
        <w:t xml:space="preserve"> </w:t>
      </w:r>
      <w:r w:rsidR="00C05A5B" w:rsidRPr="00601435">
        <w:rPr>
          <w:lang w:val="en-US"/>
        </w:rPr>
        <w:t>Long,</w:t>
      </w:r>
      <w:r w:rsidR="00C05A5B">
        <w:rPr>
          <w:lang w:val="en-US"/>
        </w:rPr>
        <w:t xml:space="preserve"> ‘How the Dog Got Its Days’</w:t>
      </w:r>
      <w:r w:rsidRPr="00601435">
        <w:rPr>
          <w:lang w:val="en-US"/>
        </w:rPr>
        <w:t xml:space="preserve">, </w:t>
      </w:r>
      <w:r w:rsidR="00C05A5B">
        <w:rPr>
          <w:lang w:val="en-US"/>
        </w:rPr>
        <w:t>p</w:t>
      </w:r>
      <w:r w:rsidRPr="00601435">
        <w:rPr>
          <w:lang w:val="en-US"/>
        </w:rPr>
        <w:t>. 256</w:t>
      </w:r>
      <w:r w:rsidR="00C05A5B">
        <w:rPr>
          <w:lang w:val="en-US"/>
        </w:rPr>
        <w:t>-257</w:t>
      </w:r>
      <w:r w:rsidRPr="00601435">
        <w:rPr>
          <w:lang w:val="en-US"/>
        </w:rPr>
        <w:t>.</w:t>
      </w:r>
    </w:p>
  </w:footnote>
  <w:footnote w:id="44">
    <w:p w:rsidR="008F5569" w:rsidRPr="00601435" w:rsidRDefault="008F5569">
      <w:pPr>
        <w:pStyle w:val="Funotentext"/>
        <w:rPr>
          <w:lang w:val="en-US"/>
        </w:rPr>
      </w:pPr>
      <w:r>
        <w:rPr>
          <w:rStyle w:val="Funotenzeichen"/>
        </w:rPr>
        <w:footnoteRef/>
      </w:r>
      <w:r w:rsidRPr="00601435">
        <w:rPr>
          <w:lang w:val="en-US"/>
        </w:rPr>
        <w:t xml:space="preserve"> </w:t>
      </w:r>
      <w:r w:rsidR="00C05A5B" w:rsidRPr="00601435">
        <w:rPr>
          <w:lang w:val="en-US"/>
        </w:rPr>
        <w:t>Long,</w:t>
      </w:r>
      <w:r w:rsidR="00C05A5B">
        <w:rPr>
          <w:lang w:val="en-US"/>
        </w:rPr>
        <w:t xml:space="preserve"> ‘How the Dog Got Its Days’</w:t>
      </w:r>
      <w:r w:rsidR="00C05A5B" w:rsidRPr="00601435">
        <w:rPr>
          <w:lang w:val="en-US"/>
        </w:rPr>
        <w:t xml:space="preserve">, </w:t>
      </w:r>
      <w:r w:rsidR="00C05A5B">
        <w:rPr>
          <w:lang w:val="en-US"/>
        </w:rPr>
        <w:t>p</w:t>
      </w:r>
      <w:r w:rsidR="00C05A5B" w:rsidRPr="00601435">
        <w:rPr>
          <w:lang w:val="en-US"/>
        </w:rPr>
        <w:t>. 256</w:t>
      </w:r>
      <w:r w:rsidR="00C05A5B">
        <w:rPr>
          <w:lang w:val="en-US"/>
        </w:rPr>
        <w:t>-257</w:t>
      </w:r>
      <w:r w:rsidR="00C05A5B" w:rsidRPr="00601435">
        <w:rPr>
          <w:lang w:val="en-US"/>
        </w:rPr>
        <w:t>.</w:t>
      </w:r>
    </w:p>
  </w:footnote>
  <w:footnote w:id="45">
    <w:p w:rsidR="008F5569" w:rsidRPr="00601435" w:rsidRDefault="008F5569">
      <w:pPr>
        <w:pStyle w:val="Funotentext"/>
        <w:rPr>
          <w:lang w:val="en-US"/>
        </w:rPr>
      </w:pPr>
      <w:r>
        <w:rPr>
          <w:rStyle w:val="Funotenzeichen"/>
        </w:rPr>
        <w:footnoteRef/>
      </w:r>
      <w:r w:rsidRPr="00601435">
        <w:rPr>
          <w:lang w:val="en-US"/>
        </w:rPr>
        <w:t xml:space="preserve"> </w:t>
      </w:r>
      <w:r w:rsidR="00323398" w:rsidRPr="00323398">
        <w:rPr>
          <w:lang w:val="en-US"/>
        </w:rPr>
        <w:t>Oppian, Colluthus</w:t>
      </w:r>
      <w:r w:rsidR="000C2C12">
        <w:rPr>
          <w:lang w:val="en-US"/>
        </w:rPr>
        <w:t xml:space="preserve"> and</w:t>
      </w:r>
      <w:r w:rsidR="00323398" w:rsidRPr="00323398">
        <w:rPr>
          <w:lang w:val="en-US"/>
        </w:rPr>
        <w:t xml:space="preserve"> Tryphiodorus</w:t>
      </w:r>
      <w:r w:rsidR="00323398">
        <w:rPr>
          <w:lang w:val="en-US"/>
        </w:rPr>
        <w:t xml:space="preserve">, </w:t>
      </w:r>
      <w:r w:rsidR="00323398" w:rsidRPr="00323398">
        <w:rPr>
          <w:i/>
          <w:lang w:val="en-US"/>
        </w:rPr>
        <w:t>Oppian, Colluthus, and Tryphiodorus</w:t>
      </w:r>
      <w:r w:rsidR="00323398">
        <w:rPr>
          <w:lang w:val="en-US"/>
        </w:rPr>
        <w:t>,</w:t>
      </w:r>
      <w:r w:rsidR="00323398" w:rsidRPr="00323398">
        <w:rPr>
          <w:lang w:val="en-US"/>
        </w:rPr>
        <w:t xml:space="preserve"> </w:t>
      </w:r>
      <w:r w:rsidR="00323398">
        <w:rPr>
          <w:lang w:val="en-US"/>
        </w:rPr>
        <w:t>t</w:t>
      </w:r>
      <w:r w:rsidR="00323398" w:rsidRPr="00323398">
        <w:rPr>
          <w:lang w:val="en-US"/>
        </w:rPr>
        <w:t>rans</w:t>
      </w:r>
      <w:r w:rsidR="00323398">
        <w:rPr>
          <w:lang w:val="en-US"/>
        </w:rPr>
        <w:t>.</w:t>
      </w:r>
      <w:r w:rsidR="00323398" w:rsidRPr="00323398">
        <w:rPr>
          <w:lang w:val="en-US"/>
        </w:rPr>
        <w:t xml:space="preserve"> by A. W. Mair</w:t>
      </w:r>
      <w:r w:rsidR="00323398">
        <w:rPr>
          <w:lang w:val="en-US"/>
        </w:rPr>
        <w:t xml:space="preserve"> (</w:t>
      </w:r>
      <w:r w:rsidR="00323398" w:rsidRPr="00323398">
        <w:rPr>
          <w:lang w:val="en-US"/>
        </w:rPr>
        <w:t>Cambridge, MA: Harvard University Press, 1928</w:t>
      </w:r>
      <w:r w:rsidR="00323398">
        <w:rPr>
          <w:lang w:val="en-US"/>
        </w:rPr>
        <w:t xml:space="preserve">), </w:t>
      </w:r>
      <w:r w:rsidRPr="00601435">
        <w:rPr>
          <w:lang w:val="en-US"/>
        </w:rPr>
        <w:t>pp.</w:t>
      </w:r>
      <w:r w:rsidR="00323398">
        <w:rPr>
          <w:lang w:val="en-US"/>
        </w:rPr>
        <w:t xml:space="preserve"> 219-</w:t>
      </w:r>
      <w:r w:rsidRPr="00601435">
        <w:rPr>
          <w:lang w:val="en-US"/>
        </w:rPr>
        <w:t>22</w:t>
      </w:r>
      <w:r w:rsidR="00323398">
        <w:rPr>
          <w:lang w:val="en-US"/>
        </w:rPr>
        <w:t>1</w:t>
      </w:r>
      <w:r w:rsidRPr="00601435">
        <w:rPr>
          <w:lang w:val="en-US"/>
        </w:rPr>
        <w:t>.</w:t>
      </w:r>
    </w:p>
  </w:footnote>
  <w:footnote w:id="46">
    <w:p w:rsidR="008F5569" w:rsidRPr="00323398" w:rsidRDefault="008F5569">
      <w:pPr>
        <w:pStyle w:val="Funotentext"/>
        <w:rPr>
          <w:lang w:val="en-US"/>
        </w:rPr>
      </w:pPr>
      <w:r>
        <w:rPr>
          <w:rStyle w:val="Funotenzeichen"/>
        </w:rPr>
        <w:footnoteRef/>
      </w:r>
      <w:r w:rsidRPr="00323398">
        <w:rPr>
          <w:lang w:val="en-US"/>
        </w:rPr>
        <w:t xml:space="preserve"> </w:t>
      </w:r>
      <w:r w:rsidR="00323398" w:rsidRPr="00323398">
        <w:rPr>
          <w:lang w:val="en-US"/>
        </w:rPr>
        <w:t>Ausonius</w:t>
      </w:r>
      <w:r w:rsidR="000C2C12">
        <w:rPr>
          <w:lang w:val="en-US"/>
        </w:rPr>
        <w:t xml:space="preserve"> and </w:t>
      </w:r>
      <w:r w:rsidR="00323398" w:rsidRPr="00323398">
        <w:rPr>
          <w:lang w:val="en-US"/>
        </w:rPr>
        <w:t xml:space="preserve">Paulinus Pellaeus, </w:t>
      </w:r>
      <w:r w:rsidR="00323398" w:rsidRPr="00323398">
        <w:rPr>
          <w:i/>
          <w:lang w:val="en-US"/>
        </w:rPr>
        <w:t>Volume II: Books 18-20. Paulinus Pellaeus: Eucharisticus</w:t>
      </w:r>
      <w:r w:rsidR="00323398" w:rsidRPr="00323398">
        <w:rPr>
          <w:lang w:val="en-US"/>
        </w:rPr>
        <w:t xml:space="preserve">, </w:t>
      </w:r>
      <w:r w:rsidR="00323398">
        <w:rPr>
          <w:lang w:val="en-US"/>
        </w:rPr>
        <w:t>t</w:t>
      </w:r>
      <w:r w:rsidR="00323398" w:rsidRPr="00323398">
        <w:rPr>
          <w:lang w:val="en-US"/>
        </w:rPr>
        <w:t>rans</w:t>
      </w:r>
      <w:r w:rsidR="00323398">
        <w:rPr>
          <w:lang w:val="en-US"/>
        </w:rPr>
        <w:t>.</w:t>
      </w:r>
      <w:r w:rsidR="00323398" w:rsidRPr="00323398">
        <w:rPr>
          <w:lang w:val="en-US"/>
        </w:rPr>
        <w:t xml:space="preserve"> </w:t>
      </w:r>
      <w:r w:rsidR="00323398" w:rsidRPr="00323398">
        <w:rPr>
          <w:lang w:val="en-US"/>
        </w:rPr>
        <w:t>B</w:t>
      </w:r>
      <w:r w:rsidR="00323398" w:rsidRPr="00323398">
        <w:rPr>
          <w:lang w:val="en-US"/>
        </w:rPr>
        <w:t>y</w:t>
      </w:r>
      <w:r w:rsidR="00323398">
        <w:rPr>
          <w:lang w:val="en-US"/>
        </w:rPr>
        <w:t xml:space="preserve"> Hugh G. Evelyn-White</w:t>
      </w:r>
      <w:r w:rsidR="00E347CD">
        <w:rPr>
          <w:lang w:val="en-US"/>
        </w:rPr>
        <w:t xml:space="preserve"> (Cambridge, MA: Harvard University Press, 1921), p. 107. </w:t>
      </w:r>
    </w:p>
  </w:footnote>
  <w:footnote w:id="47">
    <w:p w:rsidR="008F5569" w:rsidRPr="000F4527" w:rsidRDefault="008F5569">
      <w:pPr>
        <w:pStyle w:val="Funotentext"/>
        <w:rPr>
          <w:lang w:val="en-US"/>
        </w:rPr>
      </w:pPr>
      <w:r>
        <w:rPr>
          <w:rStyle w:val="Funotenzeichen"/>
        </w:rPr>
        <w:footnoteRef/>
      </w:r>
      <w:r w:rsidRPr="000F4527">
        <w:rPr>
          <w:lang w:val="en-US"/>
        </w:rPr>
        <w:t xml:space="preserve"> </w:t>
      </w:r>
      <w:r w:rsidR="000F4527" w:rsidRPr="000F4527">
        <w:rPr>
          <w:lang w:val="en-US"/>
        </w:rPr>
        <w:t xml:space="preserve">James G. </w:t>
      </w:r>
      <w:r w:rsidRPr="000F4527">
        <w:rPr>
          <w:lang w:val="en-US"/>
        </w:rPr>
        <w:t>Frazer,</w:t>
      </w:r>
      <w:r w:rsidR="000F4527">
        <w:rPr>
          <w:lang w:val="en-US"/>
        </w:rPr>
        <w:t xml:space="preserve"> </w:t>
      </w:r>
      <w:r w:rsidR="000F4527">
        <w:rPr>
          <w:i/>
          <w:lang w:val="en-US"/>
        </w:rPr>
        <w:t xml:space="preserve">The Golden Bough: Part VII, </w:t>
      </w:r>
      <w:r w:rsidR="000F4527" w:rsidRPr="000F4527">
        <w:rPr>
          <w:i/>
          <w:lang w:val="en-US"/>
        </w:rPr>
        <w:t>Balder the Beautiful. The Fire-Festivals of Europe and the Doctrine of the External Soul</w:t>
      </w:r>
      <w:r w:rsidR="000F4527">
        <w:rPr>
          <w:i/>
          <w:lang w:val="en-US"/>
        </w:rPr>
        <w:t>, Volume 1</w:t>
      </w:r>
      <w:r w:rsidR="000F4527">
        <w:rPr>
          <w:lang w:val="en-US"/>
        </w:rPr>
        <w:t xml:space="preserve"> (London: Macmillan and Co., 1913)</w:t>
      </w:r>
      <w:r w:rsidR="000F4527" w:rsidRPr="000F4527">
        <w:rPr>
          <w:lang w:val="en-US"/>
        </w:rPr>
        <w:t xml:space="preserve"> ‚</w:t>
      </w:r>
      <w:r w:rsidRPr="000F4527">
        <w:rPr>
          <w:lang w:val="en-US"/>
        </w:rPr>
        <w:t xml:space="preserve"> p</w:t>
      </w:r>
      <w:r w:rsidR="000F4527">
        <w:rPr>
          <w:lang w:val="en-US"/>
        </w:rPr>
        <w:t>p.</w:t>
      </w:r>
      <w:r w:rsidRPr="000F4527">
        <w:rPr>
          <w:lang w:val="en-US"/>
        </w:rPr>
        <w:t xml:space="preserve"> 332</w:t>
      </w:r>
      <w:r w:rsidR="000F4527">
        <w:rPr>
          <w:lang w:val="en-US"/>
        </w:rPr>
        <w:t>-333</w:t>
      </w:r>
      <w:r w:rsidRPr="000F4527">
        <w:rPr>
          <w:lang w:val="en-US"/>
        </w:rPr>
        <w:t>.</w:t>
      </w:r>
    </w:p>
  </w:footnote>
  <w:footnote w:id="48">
    <w:p w:rsidR="008F5569" w:rsidRPr="000F4527" w:rsidRDefault="008F5569">
      <w:pPr>
        <w:pStyle w:val="Funotentext"/>
        <w:rPr>
          <w:lang w:val="en-US"/>
        </w:rPr>
      </w:pPr>
      <w:r>
        <w:rPr>
          <w:rStyle w:val="Funotenzeichen"/>
        </w:rPr>
        <w:footnoteRef/>
      </w:r>
      <w:r w:rsidRPr="000F4527">
        <w:rPr>
          <w:lang w:val="en-US"/>
        </w:rPr>
        <w:t xml:space="preserve"> Frazer, </w:t>
      </w:r>
      <w:r w:rsidR="000F4527" w:rsidRPr="000F4527">
        <w:rPr>
          <w:i/>
          <w:lang w:val="en-US"/>
        </w:rPr>
        <w:t>The Golden Bough</w:t>
      </w:r>
      <w:r w:rsidR="000F4527" w:rsidRPr="000F4527">
        <w:rPr>
          <w:lang w:val="en-US"/>
        </w:rPr>
        <w:t xml:space="preserve">, </w:t>
      </w:r>
      <w:r w:rsidRPr="000F4527">
        <w:rPr>
          <w:lang w:val="en-US"/>
        </w:rPr>
        <w:t>pp. 332</w:t>
      </w:r>
      <w:r w:rsidR="000F4527">
        <w:rPr>
          <w:lang w:val="en-US"/>
        </w:rPr>
        <w:t>-333</w:t>
      </w:r>
      <w:r w:rsidRPr="000F4527">
        <w:rPr>
          <w:lang w:val="en-US"/>
        </w:rPr>
        <w:t>.</w:t>
      </w:r>
    </w:p>
  </w:footnote>
  <w:footnote w:id="49">
    <w:p w:rsidR="00B0702A" w:rsidRDefault="008F5569">
      <w:pPr>
        <w:pStyle w:val="Funotentext"/>
        <w:rPr>
          <w:i/>
          <w:lang w:val="en-US"/>
        </w:rPr>
      </w:pPr>
      <w:r>
        <w:rPr>
          <w:rStyle w:val="Funotenzeichen"/>
        </w:rPr>
        <w:footnoteRef/>
      </w:r>
      <w:r w:rsidRPr="003F5DF6">
        <w:rPr>
          <w:lang w:val="en-US"/>
        </w:rPr>
        <w:t xml:space="preserve"> A</w:t>
      </w:r>
      <w:r w:rsidR="00E539AC">
        <w:rPr>
          <w:lang w:val="en-US"/>
        </w:rPr>
        <w:t>strono</w:t>
      </w:r>
      <w:r w:rsidR="00B0702A">
        <w:rPr>
          <w:lang w:val="en-US"/>
        </w:rPr>
        <w:t xml:space="preserve">mical Society of Southern Africa, </w:t>
      </w:r>
      <w:r w:rsidR="00B0702A">
        <w:rPr>
          <w:i/>
          <w:lang w:val="en-US"/>
        </w:rPr>
        <w:t xml:space="preserve">African ethnoastronomy. The sky and the stars, </w:t>
      </w:r>
    </w:p>
    <w:p w:rsidR="008F5569" w:rsidRPr="003F5DF6" w:rsidRDefault="00B0702A">
      <w:pPr>
        <w:pStyle w:val="Funotentext"/>
        <w:rPr>
          <w:lang w:val="en-US"/>
        </w:rPr>
      </w:pPr>
      <w:r>
        <w:rPr>
          <w:lang w:val="en-US"/>
        </w:rPr>
        <w:t xml:space="preserve">&lt; </w:t>
      </w:r>
      <w:hyperlink r:id="rId3" w:history="1">
        <w:r w:rsidRPr="00283E3B">
          <w:rPr>
            <w:rStyle w:val="Hyperlink"/>
            <w:lang w:val="en-US"/>
          </w:rPr>
          <w:t>http://assa.saao.ac.za/astronomy-in-south-africa/ethnoastronomy/</w:t>
        </w:r>
      </w:hyperlink>
      <w:r>
        <w:rPr>
          <w:lang w:val="en-US"/>
        </w:rPr>
        <w:t xml:space="preserve"> &gt;, [accessed 9</w:t>
      </w:r>
      <w:r>
        <w:rPr>
          <w:vertAlign w:val="superscript"/>
          <w:lang w:val="en-US"/>
        </w:rPr>
        <w:t xml:space="preserve"> </w:t>
      </w:r>
      <w:r>
        <w:rPr>
          <w:lang w:val="en-US"/>
        </w:rPr>
        <w:t>December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714548940"/>
      <w:docPartObj>
        <w:docPartGallery w:val="Page Numbers (Top of Page)"/>
        <w:docPartUnique/>
      </w:docPartObj>
    </w:sdtPr>
    <w:sdtContent>
      <w:p w:rsidR="008F5569" w:rsidRDefault="008F5569" w:rsidP="001525E2">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F5569" w:rsidRDefault="008F5569" w:rsidP="00C54992">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520537411"/>
      <w:docPartObj>
        <w:docPartGallery w:val="Page Numbers (Top of Page)"/>
        <w:docPartUnique/>
      </w:docPartObj>
    </w:sdtPr>
    <w:sdtContent>
      <w:p w:rsidR="008F5569" w:rsidRDefault="008F5569" w:rsidP="001525E2">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8F5569" w:rsidRPr="00C54992" w:rsidRDefault="008F5569" w:rsidP="00C54992">
    <w:pPr>
      <w:pStyle w:val="Kopfzeile"/>
      <w:ind w:right="360"/>
      <w:rPr>
        <w:rFonts w:cs="Times New Roman"/>
        <w:lang w:val="de-AT"/>
      </w:rPr>
    </w:pPr>
    <w:r w:rsidRPr="00C54992">
      <w:rPr>
        <w:rFonts w:cs="Times New Roman"/>
        <w:lang w:val="de-AT"/>
      </w:rPr>
      <w:t xml:space="preserve">Fabio Nagele </w:t>
    </w:r>
    <w:r w:rsidRPr="00C54992">
      <w:rPr>
        <w:rFonts w:cs="Times New Roman"/>
      </w:rPr>
      <w:t>1806911</w:t>
    </w:r>
    <w:r>
      <w:rPr>
        <w:rFonts w:cs="Times New Roman"/>
      </w:rPr>
      <w:t xml:space="preserve"> </w:t>
    </w:r>
    <w:r w:rsidRPr="00C54992">
      <w:rPr>
        <w:rFonts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B789E"/>
    <w:multiLevelType w:val="multilevel"/>
    <w:tmpl w:val="3CCE27DE"/>
    <w:lvl w:ilvl="0">
      <w:start w:val="1"/>
      <w:numFmt w:val="decimal"/>
      <w:lvlText w:val="%1"/>
      <w:lvlJc w:val="left"/>
      <w:pPr>
        <w:ind w:left="567" w:hanging="567"/>
      </w:pPr>
      <w:rPr>
        <w:rFonts w:hint="default"/>
      </w:rPr>
    </w:lvl>
    <w:lvl w:ilvl="1">
      <w:start w:val="1"/>
      <w:numFmt w:val="decimal"/>
      <w:lvlText w:val="%1.%2"/>
      <w:lvlJc w:val="left"/>
      <w:pPr>
        <w:ind w:left="737" w:hanging="737"/>
      </w:pPr>
      <w:rPr>
        <w:rFonts w:hint="default"/>
      </w:rPr>
    </w:lvl>
    <w:lvl w:ilvl="2">
      <w:start w:val="1"/>
      <w:numFmt w:val="decimal"/>
      <w:lvlText w:val="%1.%2.%3"/>
      <w:lvlJc w:val="left"/>
      <w:pPr>
        <w:ind w:left="907" w:hanging="907"/>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4C926AF"/>
    <w:multiLevelType w:val="multilevel"/>
    <w:tmpl w:val="530C60B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737"/>
        </w:tabs>
        <w:ind w:left="737" w:hanging="73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5050790"/>
    <w:multiLevelType w:val="multilevel"/>
    <w:tmpl w:val="E4DAFDC6"/>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680"/>
        </w:tabs>
        <w:ind w:left="680" w:hanging="680"/>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3" w15:restartNumberingAfterBreak="0">
    <w:nsid w:val="31107634"/>
    <w:multiLevelType w:val="multilevel"/>
    <w:tmpl w:val="E00CC91C"/>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680"/>
        </w:tabs>
        <w:ind w:left="680" w:hanging="680"/>
      </w:pPr>
      <w:rPr>
        <w:rFonts w:hint="default"/>
      </w:rPr>
    </w:lvl>
    <w:lvl w:ilvl="3">
      <w:start w:val="1"/>
      <w:numFmt w:val="decimal"/>
      <w:lvlText w:val="%1.%2.%3.%4."/>
      <w:lvlJc w:val="left"/>
      <w:pPr>
        <w:tabs>
          <w:tab w:val="num" w:pos="794"/>
        </w:tabs>
        <w:ind w:left="794" w:hanging="79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343511D"/>
    <w:multiLevelType w:val="multilevel"/>
    <w:tmpl w:val="20E45690"/>
    <w:lvl w:ilvl="0">
      <w:start w:val="1"/>
      <w:numFmt w:val="decimal"/>
      <w:pStyle w:val="Ebene1Uni"/>
      <w:lvlText w:val="%1"/>
      <w:lvlJc w:val="left"/>
      <w:pPr>
        <w:ind w:left="567" w:hanging="567"/>
      </w:pPr>
      <w:rPr>
        <w:rFonts w:hint="default"/>
      </w:rPr>
    </w:lvl>
    <w:lvl w:ilvl="1">
      <w:start w:val="1"/>
      <w:numFmt w:val="decimal"/>
      <w:pStyle w:val="Ebene2Uni"/>
      <w:lvlText w:val="%1.%2"/>
      <w:lvlJc w:val="left"/>
      <w:pPr>
        <w:ind w:left="737" w:hanging="737"/>
      </w:pPr>
      <w:rPr>
        <w:rFonts w:hint="default"/>
      </w:rPr>
    </w:lvl>
    <w:lvl w:ilvl="2">
      <w:start w:val="1"/>
      <w:numFmt w:val="decimal"/>
      <w:pStyle w:val="Ebene3Uni"/>
      <w:lvlText w:val="%1.%2.%3"/>
      <w:lvlJc w:val="left"/>
      <w:pPr>
        <w:ind w:left="907" w:hanging="907"/>
      </w:pPr>
      <w:rPr>
        <w:rFonts w:hint="default"/>
      </w:rPr>
    </w:lvl>
    <w:lvl w:ilvl="3">
      <w:start w:val="1"/>
      <w:numFmt w:val="decimal"/>
      <w:pStyle w:val="Ebene4Uni"/>
      <w:lvlText w:val="%1.%2.%3.%4"/>
      <w:lvlJc w:val="left"/>
      <w:pPr>
        <w:ind w:left="1077" w:hanging="1077"/>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469D2768"/>
    <w:multiLevelType w:val="multilevel"/>
    <w:tmpl w:val="F1169A78"/>
    <w:lvl w:ilvl="0">
      <w:start w:val="1"/>
      <w:numFmt w:val="decimal"/>
      <w:lvlText w:val="%1."/>
      <w:lvlJc w:val="left"/>
      <w:pPr>
        <w:tabs>
          <w:tab w:val="num" w:pos="567"/>
        </w:tabs>
        <w:ind w:left="567" w:hanging="567"/>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4B2F0AD3"/>
    <w:multiLevelType w:val="multilevel"/>
    <w:tmpl w:val="524459B0"/>
    <w:lvl w:ilvl="0">
      <w:start w:val="1"/>
      <w:numFmt w:val="none"/>
      <w:suff w:val="nothing"/>
      <w:lvlText w:val=""/>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7" w15:restartNumberingAfterBreak="0">
    <w:nsid w:val="5B662169"/>
    <w:multiLevelType w:val="multilevel"/>
    <w:tmpl w:val="00AC199E"/>
    <w:lvl w:ilvl="0">
      <w:start w:val="1"/>
      <w:numFmt w:val="decimal"/>
      <w:lvlText w:val="%1"/>
      <w:lvlJc w:val="left"/>
      <w:pPr>
        <w:tabs>
          <w:tab w:val="num" w:pos="454"/>
        </w:tabs>
        <w:ind w:left="454" w:hanging="454"/>
      </w:pPr>
      <w:rPr>
        <w:rFonts w:hint="default"/>
      </w:rPr>
    </w:lvl>
    <w:lvl w:ilvl="1">
      <w:start w:val="1"/>
      <w:numFmt w:val="decimal"/>
      <w:lvlText w:val="%1.%2"/>
      <w:lvlJc w:val="left"/>
      <w:pPr>
        <w:ind w:left="680" w:hanging="680"/>
      </w:pPr>
      <w:rPr>
        <w:rFonts w:hint="default"/>
      </w:rPr>
    </w:lvl>
    <w:lvl w:ilvl="2">
      <w:start w:val="1"/>
      <w:numFmt w:val="none"/>
      <w:lvlText w:val="1.1.1"/>
      <w:lvlJc w:val="left"/>
      <w:pPr>
        <w:tabs>
          <w:tab w:val="num" w:pos="907"/>
        </w:tabs>
        <w:ind w:left="907" w:hanging="907"/>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8" w15:restartNumberingAfterBreak="0">
    <w:nsid w:val="61C21BE8"/>
    <w:multiLevelType w:val="hybridMultilevel"/>
    <w:tmpl w:val="8CB0A01E"/>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abstractNum w:abstractNumId="9" w15:restartNumberingAfterBreak="0">
    <w:nsid w:val="6DDC699C"/>
    <w:multiLevelType w:val="multilevel"/>
    <w:tmpl w:val="9884A900"/>
    <w:lvl w:ilvl="0">
      <w:start w:val="1"/>
      <w:numFmt w:val="none"/>
      <w:pStyle w:val="EbeneleerUni"/>
      <w:lvlText w:val=""/>
      <w:lvlJc w:val="left"/>
      <w:pPr>
        <w:ind w:left="0" w:firstLine="0"/>
      </w:pPr>
      <w:rPr>
        <w:rFonts w:hint="default"/>
      </w:rPr>
    </w:lvl>
    <w:lvl w:ilvl="1">
      <w:start w:val="1"/>
      <w:numFmt w:val="decimal"/>
      <w:lvlText w:val="%1.%2."/>
      <w:lvlJc w:val="left"/>
      <w:pPr>
        <w:ind w:left="1359" w:hanging="432"/>
      </w:pPr>
      <w:rPr>
        <w:rFonts w:hint="default"/>
      </w:rPr>
    </w:lvl>
    <w:lvl w:ilvl="2">
      <w:start w:val="1"/>
      <w:numFmt w:val="decimal"/>
      <w:lvlText w:val="%1.%2.%3."/>
      <w:lvlJc w:val="left"/>
      <w:pPr>
        <w:ind w:left="1791" w:hanging="504"/>
      </w:pPr>
      <w:rPr>
        <w:rFonts w:hint="default"/>
      </w:rPr>
    </w:lvl>
    <w:lvl w:ilvl="3">
      <w:start w:val="1"/>
      <w:numFmt w:val="decimal"/>
      <w:lvlText w:val="%1.%2.%3.%4."/>
      <w:lvlJc w:val="left"/>
      <w:pPr>
        <w:ind w:left="2295" w:hanging="648"/>
      </w:pPr>
      <w:rPr>
        <w:rFonts w:hint="default"/>
      </w:rPr>
    </w:lvl>
    <w:lvl w:ilvl="4">
      <w:start w:val="1"/>
      <w:numFmt w:val="decimal"/>
      <w:lvlText w:val="%1.%2.%3.%4.%5."/>
      <w:lvlJc w:val="left"/>
      <w:pPr>
        <w:ind w:left="2799" w:hanging="792"/>
      </w:pPr>
      <w:rPr>
        <w:rFonts w:hint="default"/>
      </w:rPr>
    </w:lvl>
    <w:lvl w:ilvl="5">
      <w:start w:val="1"/>
      <w:numFmt w:val="decimal"/>
      <w:lvlText w:val="%1.%2.%3.%4.%5.%6."/>
      <w:lvlJc w:val="left"/>
      <w:pPr>
        <w:ind w:left="3303" w:hanging="936"/>
      </w:pPr>
      <w:rPr>
        <w:rFonts w:hint="default"/>
      </w:rPr>
    </w:lvl>
    <w:lvl w:ilvl="6">
      <w:start w:val="1"/>
      <w:numFmt w:val="decimal"/>
      <w:lvlText w:val="%1.%2.%3.%4.%5.%6.%7."/>
      <w:lvlJc w:val="left"/>
      <w:pPr>
        <w:ind w:left="3807" w:hanging="1080"/>
      </w:pPr>
      <w:rPr>
        <w:rFonts w:hint="default"/>
      </w:rPr>
    </w:lvl>
    <w:lvl w:ilvl="7">
      <w:start w:val="1"/>
      <w:numFmt w:val="decimal"/>
      <w:lvlText w:val="%1.%2.%3.%4.%5.%6.%7.%8."/>
      <w:lvlJc w:val="left"/>
      <w:pPr>
        <w:ind w:left="4311" w:hanging="1224"/>
      </w:pPr>
      <w:rPr>
        <w:rFonts w:hint="default"/>
      </w:rPr>
    </w:lvl>
    <w:lvl w:ilvl="8">
      <w:start w:val="1"/>
      <w:numFmt w:val="decimal"/>
      <w:lvlText w:val="%1.%2.%3.%4.%5.%6.%7.%8.%9."/>
      <w:lvlJc w:val="left"/>
      <w:pPr>
        <w:ind w:left="4887" w:hanging="1440"/>
      </w:pPr>
      <w:rPr>
        <w:rFonts w:hint="default"/>
      </w:rPr>
    </w:lvl>
  </w:abstractNum>
  <w:abstractNum w:abstractNumId="10" w15:restartNumberingAfterBreak="0">
    <w:nsid w:val="6F670731"/>
    <w:multiLevelType w:val="multilevel"/>
    <w:tmpl w:val="EA30CD78"/>
    <w:lvl w:ilvl="0">
      <w:start w:val="1"/>
      <w:numFmt w:val="decimal"/>
      <w:lvlText w:val="%1"/>
      <w:lvlJc w:val="left"/>
      <w:pPr>
        <w:tabs>
          <w:tab w:val="num" w:pos="567"/>
        </w:tabs>
        <w:ind w:left="567" w:hanging="567"/>
      </w:pPr>
      <w:rPr>
        <w:rFonts w:hint="default"/>
      </w:rPr>
    </w:lvl>
    <w:lvl w:ilvl="1">
      <w:start w:val="1"/>
      <w:numFmt w:val="decimal"/>
      <w:lvlText w:val="%1.%2."/>
      <w:lvlJc w:val="left"/>
      <w:pPr>
        <w:ind w:left="1246" w:hanging="432"/>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1" w15:restartNumberingAfterBreak="0">
    <w:nsid w:val="6FCA61AD"/>
    <w:multiLevelType w:val="multilevel"/>
    <w:tmpl w:val="E062BE6A"/>
    <w:lvl w:ilvl="0">
      <w:start w:val="1"/>
      <w:numFmt w:val="decimal"/>
      <w:lvlText w:val="%1"/>
      <w:lvlJc w:val="left"/>
      <w:pPr>
        <w:ind w:left="454" w:hanging="454"/>
      </w:pPr>
      <w:rPr>
        <w:rFonts w:hint="default"/>
      </w:rPr>
    </w:lvl>
    <w:lvl w:ilvl="1">
      <w:start w:val="1"/>
      <w:numFmt w:val="decimal"/>
      <w:lvlRestart w:val="0"/>
      <w:lvlText w:val="%1.%2"/>
      <w:lvlJc w:val="left"/>
      <w:pPr>
        <w:ind w:left="680" w:hanging="680"/>
      </w:pPr>
      <w:rPr>
        <w:rFonts w:hint="default"/>
      </w:rPr>
    </w:lvl>
    <w:lvl w:ilvl="2">
      <w:start w:val="1"/>
      <w:numFmt w:val="none"/>
      <w:lvlRestart w:val="0"/>
      <w:lvlText w:val="1.1.1"/>
      <w:lvlJc w:val="left"/>
      <w:pPr>
        <w:tabs>
          <w:tab w:val="num" w:pos="907"/>
        </w:tabs>
        <w:ind w:left="907" w:hanging="907"/>
      </w:pPr>
      <w:rPr>
        <w:rFonts w:hint="default"/>
      </w:rPr>
    </w:lvl>
    <w:lvl w:ilvl="3">
      <w:start w:val="1"/>
      <w:numFmt w:val="decimal"/>
      <w:lvlRestart w:val="0"/>
      <w:lvlText w:val="%4.1.1.1"/>
      <w:lvlJc w:val="left"/>
      <w:pPr>
        <w:ind w:left="1134" w:hanging="1134"/>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2" w15:restartNumberingAfterBreak="0">
    <w:nsid w:val="7A9D3D78"/>
    <w:multiLevelType w:val="hybridMultilevel"/>
    <w:tmpl w:val="DBAC04BA"/>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num w:numId="1">
    <w:abstractNumId w:val="3"/>
  </w:num>
  <w:num w:numId="2">
    <w:abstractNumId w:val="3"/>
  </w:num>
  <w:num w:numId="3">
    <w:abstractNumId w:val="3"/>
  </w:num>
  <w:num w:numId="4">
    <w:abstractNumId w:val="3"/>
  </w:num>
  <w:num w:numId="5">
    <w:abstractNumId w:val="6"/>
  </w:num>
  <w:num w:numId="6">
    <w:abstractNumId w:val="3"/>
  </w:num>
  <w:num w:numId="7">
    <w:abstractNumId w:val="3"/>
  </w:num>
  <w:num w:numId="8">
    <w:abstractNumId w:val="3"/>
  </w:num>
  <w:num w:numId="9">
    <w:abstractNumId w:val="3"/>
  </w:num>
  <w:num w:numId="10">
    <w:abstractNumId w:val="10"/>
  </w:num>
  <w:num w:numId="11">
    <w:abstractNumId w:val="2"/>
  </w:num>
  <w:num w:numId="12">
    <w:abstractNumId w:val="10"/>
  </w:num>
  <w:num w:numId="13">
    <w:abstractNumId w:val="7"/>
  </w:num>
  <w:num w:numId="14">
    <w:abstractNumId w:val="10"/>
  </w:num>
  <w:num w:numId="15">
    <w:abstractNumId w:val="7"/>
  </w:num>
  <w:num w:numId="16">
    <w:abstractNumId w:val="7"/>
  </w:num>
  <w:num w:numId="17">
    <w:abstractNumId w:val="11"/>
  </w:num>
  <w:num w:numId="18">
    <w:abstractNumId w:val="11"/>
  </w:num>
  <w:num w:numId="19">
    <w:abstractNumId w:val="11"/>
  </w:num>
  <w:num w:numId="20">
    <w:abstractNumId w:val="5"/>
  </w:num>
  <w:num w:numId="21">
    <w:abstractNumId w:val="1"/>
  </w:num>
  <w:num w:numId="22">
    <w:abstractNumId w:val="0"/>
  </w:num>
  <w:num w:numId="23">
    <w:abstractNumId w:val="0"/>
  </w:num>
  <w:num w:numId="24">
    <w:abstractNumId w:val="0"/>
  </w:num>
  <w:num w:numId="25">
    <w:abstractNumId w:val="4"/>
  </w:num>
  <w:num w:numId="26">
    <w:abstractNumId w:val="4"/>
  </w:num>
  <w:num w:numId="27">
    <w:abstractNumId w:val="9"/>
  </w:num>
  <w:num w:numId="28">
    <w:abstractNumId w:val="12"/>
  </w:num>
  <w:num w:numId="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defaultTabStop w:val="708"/>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6A"/>
    <w:rsid w:val="00000656"/>
    <w:rsid w:val="000019C8"/>
    <w:rsid w:val="00011A89"/>
    <w:rsid w:val="0001310E"/>
    <w:rsid w:val="00013A24"/>
    <w:rsid w:val="000222E0"/>
    <w:rsid w:val="00024219"/>
    <w:rsid w:val="0003054F"/>
    <w:rsid w:val="000330CE"/>
    <w:rsid w:val="0004088C"/>
    <w:rsid w:val="00043C12"/>
    <w:rsid w:val="000452CC"/>
    <w:rsid w:val="00045FA9"/>
    <w:rsid w:val="000471D9"/>
    <w:rsid w:val="00053DBC"/>
    <w:rsid w:val="000546B9"/>
    <w:rsid w:val="0005526B"/>
    <w:rsid w:val="00057B34"/>
    <w:rsid w:val="000631EC"/>
    <w:rsid w:val="00070408"/>
    <w:rsid w:val="00085EFB"/>
    <w:rsid w:val="000A7C59"/>
    <w:rsid w:val="000B0A7C"/>
    <w:rsid w:val="000B1AAA"/>
    <w:rsid w:val="000B442C"/>
    <w:rsid w:val="000B745E"/>
    <w:rsid w:val="000C2C12"/>
    <w:rsid w:val="000C3FF7"/>
    <w:rsid w:val="000C4664"/>
    <w:rsid w:val="000E28C5"/>
    <w:rsid w:val="000E7C46"/>
    <w:rsid w:val="000F1E8D"/>
    <w:rsid w:val="000F4527"/>
    <w:rsid w:val="00103E9F"/>
    <w:rsid w:val="00107A27"/>
    <w:rsid w:val="0011196C"/>
    <w:rsid w:val="001161CE"/>
    <w:rsid w:val="00124CC3"/>
    <w:rsid w:val="00136792"/>
    <w:rsid w:val="001525E2"/>
    <w:rsid w:val="0016157C"/>
    <w:rsid w:val="001655DE"/>
    <w:rsid w:val="001666A7"/>
    <w:rsid w:val="00181BE5"/>
    <w:rsid w:val="001871ED"/>
    <w:rsid w:val="001A0018"/>
    <w:rsid w:val="001A704B"/>
    <w:rsid w:val="001B0BA5"/>
    <w:rsid w:val="001C55FB"/>
    <w:rsid w:val="001D0CB4"/>
    <w:rsid w:val="001D1336"/>
    <w:rsid w:val="001D1688"/>
    <w:rsid w:val="001D5003"/>
    <w:rsid w:val="001D5110"/>
    <w:rsid w:val="001E3B26"/>
    <w:rsid w:val="001E6C0D"/>
    <w:rsid w:val="001F72C6"/>
    <w:rsid w:val="001F7A40"/>
    <w:rsid w:val="00205A05"/>
    <w:rsid w:val="00205DF7"/>
    <w:rsid w:val="00206538"/>
    <w:rsid w:val="0020702D"/>
    <w:rsid w:val="00211144"/>
    <w:rsid w:val="00211853"/>
    <w:rsid w:val="00222DCE"/>
    <w:rsid w:val="00233E7E"/>
    <w:rsid w:val="00237C4A"/>
    <w:rsid w:val="00252200"/>
    <w:rsid w:val="0025367B"/>
    <w:rsid w:val="002635EE"/>
    <w:rsid w:val="002657CF"/>
    <w:rsid w:val="0026766D"/>
    <w:rsid w:val="00270DC5"/>
    <w:rsid w:val="00272873"/>
    <w:rsid w:val="00272E27"/>
    <w:rsid w:val="00282B0B"/>
    <w:rsid w:val="00285BD6"/>
    <w:rsid w:val="0028683F"/>
    <w:rsid w:val="002921A1"/>
    <w:rsid w:val="00293447"/>
    <w:rsid w:val="002954D3"/>
    <w:rsid w:val="00297310"/>
    <w:rsid w:val="002B39E6"/>
    <w:rsid w:val="002B7F3A"/>
    <w:rsid w:val="002C33A6"/>
    <w:rsid w:val="002D69B8"/>
    <w:rsid w:val="002E4602"/>
    <w:rsid w:val="002E6820"/>
    <w:rsid w:val="00300735"/>
    <w:rsid w:val="003072E4"/>
    <w:rsid w:val="0032133A"/>
    <w:rsid w:val="003217E3"/>
    <w:rsid w:val="00323398"/>
    <w:rsid w:val="003241A7"/>
    <w:rsid w:val="00341095"/>
    <w:rsid w:val="00343484"/>
    <w:rsid w:val="00344F40"/>
    <w:rsid w:val="00352C09"/>
    <w:rsid w:val="00360BC9"/>
    <w:rsid w:val="00364041"/>
    <w:rsid w:val="0038021C"/>
    <w:rsid w:val="003845CA"/>
    <w:rsid w:val="003849C9"/>
    <w:rsid w:val="0038659F"/>
    <w:rsid w:val="003879BC"/>
    <w:rsid w:val="003879E4"/>
    <w:rsid w:val="003923E1"/>
    <w:rsid w:val="00393DDF"/>
    <w:rsid w:val="003945C7"/>
    <w:rsid w:val="003B144E"/>
    <w:rsid w:val="003C3BFA"/>
    <w:rsid w:val="003C526A"/>
    <w:rsid w:val="003C6127"/>
    <w:rsid w:val="003D071A"/>
    <w:rsid w:val="003D0E6C"/>
    <w:rsid w:val="003D16E3"/>
    <w:rsid w:val="003D2CD7"/>
    <w:rsid w:val="003E7AC9"/>
    <w:rsid w:val="003F48AC"/>
    <w:rsid w:val="003F5C6C"/>
    <w:rsid w:val="003F5DF6"/>
    <w:rsid w:val="003F62BE"/>
    <w:rsid w:val="00404C7A"/>
    <w:rsid w:val="00410478"/>
    <w:rsid w:val="00411E2B"/>
    <w:rsid w:val="00412C24"/>
    <w:rsid w:val="00413A78"/>
    <w:rsid w:val="00417A6B"/>
    <w:rsid w:val="00431B32"/>
    <w:rsid w:val="00452B7B"/>
    <w:rsid w:val="0045349B"/>
    <w:rsid w:val="004672B9"/>
    <w:rsid w:val="00471E9D"/>
    <w:rsid w:val="00472B4B"/>
    <w:rsid w:val="0047724F"/>
    <w:rsid w:val="00486953"/>
    <w:rsid w:val="004900F9"/>
    <w:rsid w:val="004965D0"/>
    <w:rsid w:val="004B17AB"/>
    <w:rsid w:val="004B25DB"/>
    <w:rsid w:val="004B357E"/>
    <w:rsid w:val="004B366C"/>
    <w:rsid w:val="004B6533"/>
    <w:rsid w:val="004C38BC"/>
    <w:rsid w:val="004C50F9"/>
    <w:rsid w:val="004C589F"/>
    <w:rsid w:val="004D2913"/>
    <w:rsid w:val="004D527A"/>
    <w:rsid w:val="004E48A4"/>
    <w:rsid w:val="004E5A53"/>
    <w:rsid w:val="004F2A72"/>
    <w:rsid w:val="004F41B1"/>
    <w:rsid w:val="004F4303"/>
    <w:rsid w:val="004F6665"/>
    <w:rsid w:val="004F7E4A"/>
    <w:rsid w:val="00501FD7"/>
    <w:rsid w:val="005107E6"/>
    <w:rsid w:val="005132DD"/>
    <w:rsid w:val="00521491"/>
    <w:rsid w:val="00531F88"/>
    <w:rsid w:val="005448DA"/>
    <w:rsid w:val="00545A2E"/>
    <w:rsid w:val="005460E0"/>
    <w:rsid w:val="00546979"/>
    <w:rsid w:val="00550131"/>
    <w:rsid w:val="005529EF"/>
    <w:rsid w:val="00556012"/>
    <w:rsid w:val="00564983"/>
    <w:rsid w:val="005652E9"/>
    <w:rsid w:val="005810C3"/>
    <w:rsid w:val="0058229B"/>
    <w:rsid w:val="005A3825"/>
    <w:rsid w:val="005A619F"/>
    <w:rsid w:val="005A69BD"/>
    <w:rsid w:val="005B1B7A"/>
    <w:rsid w:val="005B42C5"/>
    <w:rsid w:val="005C5F72"/>
    <w:rsid w:val="005D1352"/>
    <w:rsid w:val="005D1990"/>
    <w:rsid w:val="005D2F2F"/>
    <w:rsid w:val="005D52DE"/>
    <w:rsid w:val="005E3DC6"/>
    <w:rsid w:val="005E582F"/>
    <w:rsid w:val="005E6043"/>
    <w:rsid w:val="005F1505"/>
    <w:rsid w:val="00601435"/>
    <w:rsid w:val="00602CDE"/>
    <w:rsid w:val="00610530"/>
    <w:rsid w:val="00617E7E"/>
    <w:rsid w:val="00624550"/>
    <w:rsid w:val="006263B1"/>
    <w:rsid w:val="00632BDD"/>
    <w:rsid w:val="006357B7"/>
    <w:rsid w:val="00636E1A"/>
    <w:rsid w:val="006408F0"/>
    <w:rsid w:val="0064093B"/>
    <w:rsid w:val="006436C3"/>
    <w:rsid w:val="006460E4"/>
    <w:rsid w:val="00652A51"/>
    <w:rsid w:val="00662390"/>
    <w:rsid w:val="006673C4"/>
    <w:rsid w:val="006724EB"/>
    <w:rsid w:val="00673F9D"/>
    <w:rsid w:val="006760B6"/>
    <w:rsid w:val="0067739E"/>
    <w:rsid w:val="00680E04"/>
    <w:rsid w:val="00684229"/>
    <w:rsid w:val="00692890"/>
    <w:rsid w:val="00694535"/>
    <w:rsid w:val="00695F27"/>
    <w:rsid w:val="006A017D"/>
    <w:rsid w:val="006B1A84"/>
    <w:rsid w:val="006B2690"/>
    <w:rsid w:val="006B4B03"/>
    <w:rsid w:val="006C0C6D"/>
    <w:rsid w:val="006D04B4"/>
    <w:rsid w:val="006D5C6B"/>
    <w:rsid w:val="006E1678"/>
    <w:rsid w:val="006F3F8F"/>
    <w:rsid w:val="006F4386"/>
    <w:rsid w:val="006F7BB3"/>
    <w:rsid w:val="007038D6"/>
    <w:rsid w:val="007164E6"/>
    <w:rsid w:val="00716C6D"/>
    <w:rsid w:val="00732199"/>
    <w:rsid w:val="00755D50"/>
    <w:rsid w:val="007569EB"/>
    <w:rsid w:val="007571B9"/>
    <w:rsid w:val="007606D7"/>
    <w:rsid w:val="00760AFD"/>
    <w:rsid w:val="00761426"/>
    <w:rsid w:val="00761C4C"/>
    <w:rsid w:val="00774B00"/>
    <w:rsid w:val="00780159"/>
    <w:rsid w:val="0078653C"/>
    <w:rsid w:val="007A78BD"/>
    <w:rsid w:val="007B384A"/>
    <w:rsid w:val="007B6396"/>
    <w:rsid w:val="007C102C"/>
    <w:rsid w:val="007D1702"/>
    <w:rsid w:val="007D554B"/>
    <w:rsid w:val="007E6AD1"/>
    <w:rsid w:val="008034BD"/>
    <w:rsid w:val="0080779F"/>
    <w:rsid w:val="0081219D"/>
    <w:rsid w:val="00825A8B"/>
    <w:rsid w:val="00832609"/>
    <w:rsid w:val="00833B5D"/>
    <w:rsid w:val="00834DCD"/>
    <w:rsid w:val="00837393"/>
    <w:rsid w:val="0084118A"/>
    <w:rsid w:val="0084330E"/>
    <w:rsid w:val="00857D34"/>
    <w:rsid w:val="00860FE4"/>
    <w:rsid w:val="0086165B"/>
    <w:rsid w:val="00862AD7"/>
    <w:rsid w:val="00862DE8"/>
    <w:rsid w:val="0087331F"/>
    <w:rsid w:val="008762CD"/>
    <w:rsid w:val="008902C0"/>
    <w:rsid w:val="00893D03"/>
    <w:rsid w:val="008B248C"/>
    <w:rsid w:val="008B4321"/>
    <w:rsid w:val="008B5CA1"/>
    <w:rsid w:val="008B5D00"/>
    <w:rsid w:val="008D0047"/>
    <w:rsid w:val="008D4DE1"/>
    <w:rsid w:val="008E1D1A"/>
    <w:rsid w:val="008E5BD4"/>
    <w:rsid w:val="008F06E9"/>
    <w:rsid w:val="008F5569"/>
    <w:rsid w:val="008F6609"/>
    <w:rsid w:val="008F70B7"/>
    <w:rsid w:val="00913D24"/>
    <w:rsid w:val="00916486"/>
    <w:rsid w:val="0092176A"/>
    <w:rsid w:val="00932EB1"/>
    <w:rsid w:val="00933644"/>
    <w:rsid w:val="00934D05"/>
    <w:rsid w:val="00934EF5"/>
    <w:rsid w:val="0093585B"/>
    <w:rsid w:val="00942A40"/>
    <w:rsid w:val="00952788"/>
    <w:rsid w:val="00955EC5"/>
    <w:rsid w:val="00962CFC"/>
    <w:rsid w:val="00966D5B"/>
    <w:rsid w:val="009725D2"/>
    <w:rsid w:val="00977631"/>
    <w:rsid w:val="00985F75"/>
    <w:rsid w:val="00995CEB"/>
    <w:rsid w:val="009C2959"/>
    <w:rsid w:val="009C691A"/>
    <w:rsid w:val="009D682A"/>
    <w:rsid w:val="009E101F"/>
    <w:rsid w:val="009E2457"/>
    <w:rsid w:val="009F040E"/>
    <w:rsid w:val="009F4B1D"/>
    <w:rsid w:val="009F6E8A"/>
    <w:rsid w:val="00A0172E"/>
    <w:rsid w:val="00A02892"/>
    <w:rsid w:val="00A02F40"/>
    <w:rsid w:val="00A13190"/>
    <w:rsid w:val="00A22134"/>
    <w:rsid w:val="00A2612F"/>
    <w:rsid w:val="00A40D16"/>
    <w:rsid w:val="00A515B5"/>
    <w:rsid w:val="00A53853"/>
    <w:rsid w:val="00A55744"/>
    <w:rsid w:val="00A6538C"/>
    <w:rsid w:val="00A734DB"/>
    <w:rsid w:val="00A73E6F"/>
    <w:rsid w:val="00A974C6"/>
    <w:rsid w:val="00AA038C"/>
    <w:rsid w:val="00AA20CD"/>
    <w:rsid w:val="00AB0CAF"/>
    <w:rsid w:val="00AB3AEE"/>
    <w:rsid w:val="00AC7BD1"/>
    <w:rsid w:val="00AD17DD"/>
    <w:rsid w:val="00AD7781"/>
    <w:rsid w:val="00AE56EB"/>
    <w:rsid w:val="00AF23A1"/>
    <w:rsid w:val="00AF2D32"/>
    <w:rsid w:val="00B0115B"/>
    <w:rsid w:val="00B0330B"/>
    <w:rsid w:val="00B03B2C"/>
    <w:rsid w:val="00B06D3F"/>
    <w:rsid w:val="00B0702A"/>
    <w:rsid w:val="00B12ACC"/>
    <w:rsid w:val="00B218EA"/>
    <w:rsid w:val="00B24317"/>
    <w:rsid w:val="00B26625"/>
    <w:rsid w:val="00B4367D"/>
    <w:rsid w:val="00B5218C"/>
    <w:rsid w:val="00B53583"/>
    <w:rsid w:val="00B56D9B"/>
    <w:rsid w:val="00B634D8"/>
    <w:rsid w:val="00B72CA9"/>
    <w:rsid w:val="00B72D72"/>
    <w:rsid w:val="00B73ACC"/>
    <w:rsid w:val="00B84CFA"/>
    <w:rsid w:val="00B912E0"/>
    <w:rsid w:val="00B9308B"/>
    <w:rsid w:val="00B946CE"/>
    <w:rsid w:val="00BA0B73"/>
    <w:rsid w:val="00BA6692"/>
    <w:rsid w:val="00BB3493"/>
    <w:rsid w:val="00BB3887"/>
    <w:rsid w:val="00BB6C2E"/>
    <w:rsid w:val="00BC3A41"/>
    <w:rsid w:val="00BC63B4"/>
    <w:rsid w:val="00BD4434"/>
    <w:rsid w:val="00BE73AE"/>
    <w:rsid w:val="00BE790F"/>
    <w:rsid w:val="00BF1761"/>
    <w:rsid w:val="00BF3C58"/>
    <w:rsid w:val="00C045BF"/>
    <w:rsid w:val="00C0505A"/>
    <w:rsid w:val="00C05A5B"/>
    <w:rsid w:val="00C1033F"/>
    <w:rsid w:val="00C138A0"/>
    <w:rsid w:val="00C15A91"/>
    <w:rsid w:val="00C15F46"/>
    <w:rsid w:val="00C176CC"/>
    <w:rsid w:val="00C252BE"/>
    <w:rsid w:val="00C25564"/>
    <w:rsid w:val="00C44110"/>
    <w:rsid w:val="00C47E42"/>
    <w:rsid w:val="00C53173"/>
    <w:rsid w:val="00C54992"/>
    <w:rsid w:val="00C578FA"/>
    <w:rsid w:val="00C6401C"/>
    <w:rsid w:val="00C64BEB"/>
    <w:rsid w:val="00C70A3B"/>
    <w:rsid w:val="00C752C6"/>
    <w:rsid w:val="00C7579E"/>
    <w:rsid w:val="00C80F3C"/>
    <w:rsid w:val="00C82D05"/>
    <w:rsid w:val="00C82FAC"/>
    <w:rsid w:val="00C857B7"/>
    <w:rsid w:val="00C8740E"/>
    <w:rsid w:val="00C93CC9"/>
    <w:rsid w:val="00C97794"/>
    <w:rsid w:val="00CA2288"/>
    <w:rsid w:val="00CA4B9B"/>
    <w:rsid w:val="00CA540E"/>
    <w:rsid w:val="00CB0CDB"/>
    <w:rsid w:val="00CB4295"/>
    <w:rsid w:val="00CC5AA9"/>
    <w:rsid w:val="00CC5EAF"/>
    <w:rsid w:val="00CC7B19"/>
    <w:rsid w:val="00CD6621"/>
    <w:rsid w:val="00CE1F32"/>
    <w:rsid w:val="00CE76D9"/>
    <w:rsid w:val="00CF5CA3"/>
    <w:rsid w:val="00D00B40"/>
    <w:rsid w:val="00D05ADF"/>
    <w:rsid w:val="00D23EDB"/>
    <w:rsid w:val="00D26523"/>
    <w:rsid w:val="00D26F06"/>
    <w:rsid w:val="00D30AC1"/>
    <w:rsid w:val="00D4309B"/>
    <w:rsid w:val="00D61AC2"/>
    <w:rsid w:val="00D64F17"/>
    <w:rsid w:val="00D6600E"/>
    <w:rsid w:val="00D96190"/>
    <w:rsid w:val="00D965B9"/>
    <w:rsid w:val="00DA6C06"/>
    <w:rsid w:val="00DB05AC"/>
    <w:rsid w:val="00DB4750"/>
    <w:rsid w:val="00DC60C5"/>
    <w:rsid w:val="00DC6851"/>
    <w:rsid w:val="00DC73CF"/>
    <w:rsid w:val="00DD1681"/>
    <w:rsid w:val="00DF0720"/>
    <w:rsid w:val="00E11F90"/>
    <w:rsid w:val="00E122E0"/>
    <w:rsid w:val="00E1672D"/>
    <w:rsid w:val="00E347CD"/>
    <w:rsid w:val="00E40546"/>
    <w:rsid w:val="00E43AB2"/>
    <w:rsid w:val="00E5305D"/>
    <w:rsid w:val="00E539AC"/>
    <w:rsid w:val="00E547B7"/>
    <w:rsid w:val="00E606C2"/>
    <w:rsid w:val="00E65142"/>
    <w:rsid w:val="00E7124B"/>
    <w:rsid w:val="00E772DD"/>
    <w:rsid w:val="00E83436"/>
    <w:rsid w:val="00E869EC"/>
    <w:rsid w:val="00E94D08"/>
    <w:rsid w:val="00EA063C"/>
    <w:rsid w:val="00EA0F6A"/>
    <w:rsid w:val="00EA7DA2"/>
    <w:rsid w:val="00EB111A"/>
    <w:rsid w:val="00EB3C09"/>
    <w:rsid w:val="00EB45F0"/>
    <w:rsid w:val="00EC103B"/>
    <w:rsid w:val="00EC4A61"/>
    <w:rsid w:val="00ED0D40"/>
    <w:rsid w:val="00ED69A4"/>
    <w:rsid w:val="00EE5BA5"/>
    <w:rsid w:val="00F130E5"/>
    <w:rsid w:val="00F17CD0"/>
    <w:rsid w:val="00F249F4"/>
    <w:rsid w:val="00F37477"/>
    <w:rsid w:val="00F421D0"/>
    <w:rsid w:val="00F44D0A"/>
    <w:rsid w:val="00F46DA9"/>
    <w:rsid w:val="00F552AB"/>
    <w:rsid w:val="00F63C2B"/>
    <w:rsid w:val="00F6523F"/>
    <w:rsid w:val="00F6768F"/>
    <w:rsid w:val="00F7059A"/>
    <w:rsid w:val="00F73799"/>
    <w:rsid w:val="00F80139"/>
    <w:rsid w:val="00F8356B"/>
    <w:rsid w:val="00F84644"/>
    <w:rsid w:val="00F871E9"/>
    <w:rsid w:val="00F903FB"/>
    <w:rsid w:val="00F91B13"/>
    <w:rsid w:val="00FB6D4B"/>
    <w:rsid w:val="00FC08D2"/>
    <w:rsid w:val="00FC17C5"/>
    <w:rsid w:val="00FC2AF3"/>
    <w:rsid w:val="00FC349A"/>
    <w:rsid w:val="00FD0A99"/>
    <w:rsid w:val="00FD22F6"/>
    <w:rsid w:val="00FD4B33"/>
    <w:rsid w:val="00FD4BE8"/>
    <w:rsid w:val="00FF63E9"/>
    <w:rsid w:val="00FF6CA5"/>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430F29C"/>
  <w15:chartTrackingRefBased/>
  <w15:docId w15:val="{A62E504D-A577-7C49-A538-5B0A5C80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rsid w:val="00695F27"/>
    <w:pPr>
      <w:spacing w:line="360" w:lineRule="auto"/>
      <w:contextualSpacing/>
      <w:jc w:val="both"/>
    </w:pPr>
  </w:style>
  <w:style w:type="paragraph" w:styleId="berschrift3">
    <w:name w:val="heading 3"/>
    <w:basedOn w:val="Standard"/>
    <w:link w:val="berschrift3Zchn"/>
    <w:qFormat/>
    <w:rsid w:val="002E4602"/>
    <w:pPr>
      <w:keepNext/>
      <w:spacing w:line="240" w:lineRule="auto"/>
      <w:ind w:left="720"/>
      <w:contextualSpacing w:val="0"/>
      <w:outlineLvl w:val="2"/>
    </w:pPr>
    <w:rPr>
      <w:rFonts w:ascii="Tahoma" w:eastAsia="SimSun" w:hAnsi="Tahoma" w:cs="Tahoma"/>
      <w:b/>
      <w:bCs/>
      <w:sz w:val="20"/>
      <w:szCs w:val="20"/>
      <w:lang w:val="en-GB" w:eastAsia="zh-CN"/>
    </w:rPr>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AbbildungUni">
    <w:name w:val="Abbildung Uni"/>
    <w:next w:val="Standard"/>
    <w:qFormat/>
    <w:rsid w:val="003D2CD7"/>
    <w:rPr>
      <w:bCs/>
      <w:color w:val="000000" w:themeColor="text1"/>
      <w:sz w:val="20"/>
      <w:szCs w:val="18"/>
    </w:rPr>
  </w:style>
  <w:style w:type="paragraph" w:styleId="Beschriftung">
    <w:name w:val="caption"/>
    <w:basedOn w:val="Standard"/>
    <w:next w:val="Standard"/>
    <w:uiPriority w:val="35"/>
    <w:semiHidden/>
    <w:unhideWhenUsed/>
    <w:qFormat/>
    <w:rsid w:val="006436C3"/>
    <w:pPr>
      <w:spacing w:after="200"/>
    </w:pPr>
    <w:rPr>
      <w:i/>
      <w:iCs/>
      <w:color w:val="44546A" w:themeColor="text2"/>
      <w:sz w:val="18"/>
      <w:szCs w:val="18"/>
    </w:rPr>
  </w:style>
  <w:style w:type="paragraph" w:customStyle="1" w:styleId="TabelleUni">
    <w:name w:val="Tabelle Uni"/>
    <w:basedOn w:val="Standard"/>
    <w:next w:val="Standard"/>
    <w:qFormat/>
    <w:rsid w:val="003D2CD7"/>
    <w:pPr>
      <w:spacing w:after="200" w:line="240" w:lineRule="auto"/>
      <w:jc w:val="left"/>
    </w:pPr>
    <w:rPr>
      <w:bCs/>
      <w:color w:val="000000" w:themeColor="text1"/>
      <w:sz w:val="20"/>
      <w:szCs w:val="18"/>
    </w:rPr>
  </w:style>
  <w:style w:type="paragraph" w:styleId="Verzeichnis1">
    <w:name w:val="toc 1"/>
    <w:basedOn w:val="Standard"/>
    <w:next w:val="Standard"/>
    <w:uiPriority w:val="39"/>
    <w:unhideWhenUsed/>
    <w:qFormat/>
    <w:rsid w:val="00636E1A"/>
    <w:pPr>
      <w:spacing w:after="100"/>
    </w:pPr>
    <w:rPr>
      <w:color w:val="000000" w:themeColor="text1"/>
      <w:sz w:val="28"/>
      <w:szCs w:val="22"/>
    </w:rPr>
  </w:style>
  <w:style w:type="paragraph" w:customStyle="1" w:styleId="Ebene1Uni">
    <w:name w:val="Ebene 1_Uni"/>
    <w:basedOn w:val="Standard"/>
    <w:next w:val="Standard"/>
    <w:qFormat/>
    <w:rsid w:val="003D2CD7"/>
    <w:pPr>
      <w:numPr>
        <w:numId w:val="26"/>
      </w:numPr>
      <w:outlineLvl w:val="0"/>
    </w:pPr>
    <w:rPr>
      <w:b/>
      <w:sz w:val="28"/>
      <w:lang w:val="de-AT"/>
    </w:rPr>
  </w:style>
  <w:style w:type="paragraph" w:customStyle="1" w:styleId="Ebene2Uni">
    <w:name w:val="Ebene 2_Uni"/>
    <w:basedOn w:val="Standard"/>
    <w:next w:val="Standard"/>
    <w:qFormat/>
    <w:rsid w:val="003D2CD7"/>
    <w:pPr>
      <w:numPr>
        <w:ilvl w:val="1"/>
        <w:numId w:val="26"/>
      </w:numPr>
      <w:tabs>
        <w:tab w:val="left" w:pos="737"/>
      </w:tabs>
      <w:outlineLvl w:val="1"/>
    </w:pPr>
    <w:rPr>
      <w:b/>
      <w:lang w:val="de-AT"/>
    </w:rPr>
  </w:style>
  <w:style w:type="paragraph" w:customStyle="1" w:styleId="Ebene3Uni">
    <w:name w:val="Ebene 3_Uni"/>
    <w:basedOn w:val="Standard"/>
    <w:next w:val="Standard"/>
    <w:qFormat/>
    <w:rsid w:val="003D2CD7"/>
    <w:pPr>
      <w:numPr>
        <w:ilvl w:val="2"/>
        <w:numId w:val="26"/>
      </w:numPr>
      <w:tabs>
        <w:tab w:val="left" w:pos="907"/>
      </w:tabs>
      <w:outlineLvl w:val="2"/>
    </w:pPr>
    <w:rPr>
      <w:b/>
      <w:lang w:val="de-AT"/>
    </w:rPr>
  </w:style>
  <w:style w:type="paragraph" w:customStyle="1" w:styleId="Ebene4Uni">
    <w:name w:val="Ebene 4_Uni"/>
    <w:basedOn w:val="Standard"/>
    <w:next w:val="Standard"/>
    <w:qFormat/>
    <w:rsid w:val="003D2CD7"/>
    <w:pPr>
      <w:numPr>
        <w:ilvl w:val="3"/>
        <w:numId w:val="26"/>
      </w:numPr>
      <w:tabs>
        <w:tab w:val="left" w:pos="1077"/>
      </w:tabs>
      <w:outlineLvl w:val="3"/>
    </w:pPr>
    <w:rPr>
      <w:b/>
      <w:lang w:val="de-AT"/>
    </w:rPr>
  </w:style>
  <w:style w:type="paragraph" w:customStyle="1" w:styleId="EbeneleerUni">
    <w:name w:val="Ebene leer_Uni"/>
    <w:basedOn w:val="Standard"/>
    <w:next w:val="Standard"/>
    <w:qFormat/>
    <w:rsid w:val="00636E1A"/>
    <w:pPr>
      <w:numPr>
        <w:numId w:val="27"/>
      </w:numPr>
      <w:tabs>
        <w:tab w:val="left" w:pos="567"/>
      </w:tabs>
      <w:jc w:val="left"/>
      <w:outlineLvl w:val="0"/>
    </w:pPr>
    <w:rPr>
      <w:b/>
      <w:sz w:val="28"/>
      <w:lang w:val="de-AT"/>
    </w:rPr>
  </w:style>
  <w:style w:type="paragraph" w:styleId="Listenabsatz">
    <w:name w:val="List Paragraph"/>
    <w:basedOn w:val="Standard"/>
    <w:uiPriority w:val="34"/>
    <w:qFormat/>
    <w:rsid w:val="00995CEB"/>
    <w:pPr>
      <w:ind w:left="720"/>
    </w:pPr>
  </w:style>
  <w:style w:type="paragraph" w:styleId="Funotentext">
    <w:name w:val="footnote text"/>
    <w:basedOn w:val="Standard"/>
    <w:link w:val="FunotentextZchn"/>
    <w:uiPriority w:val="99"/>
    <w:semiHidden/>
    <w:unhideWhenUsed/>
    <w:rsid w:val="00BA6692"/>
    <w:pPr>
      <w:spacing w:line="240" w:lineRule="auto"/>
    </w:pPr>
    <w:rPr>
      <w:sz w:val="20"/>
      <w:szCs w:val="20"/>
    </w:rPr>
  </w:style>
  <w:style w:type="character" w:customStyle="1" w:styleId="FunotentextZchn">
    <w:name w:val="Fußnotentext Zchn"/>
    <w:basedOn w:val="Absatz-Standardschriftart"/>
    <w:link w:val="Funotentext"/>
    <w:uiPriority w:val="99"/>
    <w:semiHidden/>
    <w:rsid w:val="00BA6692"/>
    <w:rPr>
      <w:sz w:val="20"/>
      <w:szCs w:val="20"/>
    </w:rPr>
  </w:style>
  <w:style w:type="character" w:styleId="Funotenzeichen">
    <w:name w:val="footnote reference"/>
    <w:basedOn w:val="Absatz-Standardschriftart"/>
    <w:uiPriority w:val="99"/>
    <w:semiHidden/>
    <w:unhideWhenUsed/>
    <w:rsid w:val="00BA6692"/>
    <w:rPr>
      <w:vertAlign w:val="superscript"/>
    </w:rPr>
  </w:style>
  <w:style w:type="paragraph" w:styleId="Fuzeile">
    <w:name w:val="footer"/>
    <w:basedOn w:val="Standard"/>
    <w:link w:val="FuzeileZchn"/>
    <w:uiPriority w:val="99"/>
    <w:unhideWhenUsed/>
    <w:rsid w:val="00EE5BA5"/>
    <w:pPr>
      <w:tabs>
        <w:tab w:val="center" w:pos="4536"/>
        <w:tab w:val="right" w:pos="9072"/>
      </w:tabs>
      <w:spacing w:line="240" w:lineRule="auto"/>
    </w:pPr>
  </w:style>
  <w:style w:type="character" w:customStyle="1" w:styleId="FuzeileZchn">
    <w:name w:val="Fußzeile Zchn"/>
    <w:basedOn w:val="Absatz-Standardschriftart"/>
    <w:link w:val="Fuzeile"/>
    <w:uiPriority w:val="99"/>
    <w:rsid w:val="00EE5BA5"/>
  </w:style>
  <w:style w:type="character" w:styleId="Seitenzahl">
    <w:name w:val="page number"/>
    <w:basedOn w:val="Absatz-Standardschriftart"/>
    <w:uiPriority w:val="99"/>
    <w:semiHidden/>
    <w:unhideWhenUsed/>
    <w:rsid w:val="00EE5BA5"/>
  </w:style>
  <w:style w:type="paragraph" w:styleId="Kopfzeile">
    <w:name w:val="header"/>
    <w:basedOn w:val="Standard"/>
    <w:link w:val="KopfzeileZchn"/>
    <w:uiPriority w:val="99"/>
    <w:unhideWhenUsed/>
    <w:rsid w:val="00EE5BA5"/>
    <w:pPr>
      <w:tabs>
        <w:tab w:val="center" w:pos="4536"/>
        <w:tab w:val="right" w:pos="9072"/>
      </w:tabs>
      <w:spacing w:line="240" w:lineRule="auto"/>
    </w:pPr>
  </w:style>
  <w:style w:type="character" w:customStyle="1" w:styleId="KopfzeileZchn">
    <w:name w:val="Kopfzeile Zchn"/>
    <w:basedOn w:val="Absatz-Standardschriftart"/>
    <w:link w:val="Kopfzeile"/>
    <w:uiPriority w:val="99"/>
    <w:rsid w:val="00EE5BA5"/>
  </w:style>
  <w:style w:type="character" w:customStyle="1" w:styleId="berschrift3Zchn">
    <w:name w:val="Überschrift 3 Zchn"/>
    <w:basedOn w:val="Absatz-Standardschriftart"/>
    <w:link w:val="berschrift3"/>
    <w:rsid w:val="002E4602"/>
    <w:rPr>
      <w:rFonts w:ascii="Tahoma" w:eastAsia="SimSun" w:hAnsi="Tahoma" w:cs="Tahoma"/>
      <w:b/>
      <w:bCs/>
      <w:sz w:val="20"/>
      <w:szCs w:val="20"/>
      <w:lang w:val="en-GB" w:eastAsia="zh-CN"/>
    </w:rPr>
  </w:style>
  <w:style w:type="paragraph" w:styleId="StandardWeb">
    <w:name w:val="Normal (Web)"/>
    <w:basedOn w:val="Standard"/>
    <w:uiPriority w:val="99"/>
    <w:rsid w:val="002E4602"/>
    <w:pPr>
      <w:spacing w:before="100" w:beforeAutospacing="1" w:after="100" w:afterAutospacing="1" w:line="240" w:lineRule="auto"/>
      <w:contextualSpacing w:val="0"/>
      <w:jc w:val="left"/>
    </w:pPr>
    <w:rPr>
      <w:rFonts w:ascii="Georgia" w:eastAsia="SimSun" w:hAnsi="Georgia" w:cs="Times New Roman"/>
      <w:color w:val="000000"/>
      <w:sz w:val="21"/>
      <w:szCs w:val="21"/>
      <w:lang w:val="en-GB" w:eastAsia="zh-CN"/>
    </w:rPr>
  </w:style>
  <w:style w:type="character" w:styleId="Platzhaltertext">
    <w:name w:val="Placeholder Text"/>
    <w:basedOn w:val="Absatz-Standardschriftart"/>
    <w:uiPriority w:val="99"/>
    <w:semiHidden/>
    <w:rsid w:val="00A40D16"/>
    <w:rPr>
      <w:color w:val="808080"/>
    </w:rPr>
  </w:style>
  <w:style w:type="character" w:styleId="Hyperlink">
    <w:name w:val="Hyperlink"/>
    <w:basedOn w:val="Absatz-Standardschriftart"/>
    <w:uiPriority w:val="99"/>
    <w:unhideWhenUsed/>
    <w:rsid w:val="00A40D16"/>
    <w:rPr>
      <w:color w:val="0000FF"/>
      <w:u w:val="single"/>
    </w:rPr>
  </w:style>
  <w:style w:type="character" w:styleId="NichtaufgelsteErwhnung">
    <w:name w:val="Unresolved Mention"/>
    <w:basedOn w:val="Absatz-Standardschriftart"/>
    <w:uiPriority w:val="99"/>
    <w:rsid w:val="00E65142"/>
    <w:rPr>
      <w:color w:val="605E5C"/>
      <w:shd w:val="clear" w:color="auto" w:fill="E1DFDD"/>
    </w:rPr>
  </w:style>
  <w:style w:type="character" w:styleId="BesuchterLink">
    <w:name w:val="FollowedHyperlink"/>
    <w:basedOn w:val="Absatz-Standardschriftart"/>
    <w:uiPriority w:val="99"/>
    <w:semiHidden/>
    <w:unhideWhenUsed/>
    <w:rsid w:val="000C3F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863449">
      <w:bodyDiv w:val="1"/>
      <w:marLeft w:val="0"/>
      <w:marRight w:val="0"/>
      <w:marTop w:val="0"/>
      <w:marBottom w:val="0"/>
      <w:divBdr>
        <w:top w:val="none" w:sz="0" w:space="0" w:color="auto"/>
        <w:left w:val="none" w:sz="0" w:space="0" w:color="auto"/>
        <w:bottom w:val="none" w:sz="0" w:space="0" w:color="auto"/>
        <w:right w:val="none" w:sz="0" w:space="0" w:color="auto"/>
      </w:divBdr>
    </w:div>
    <w:div w:id="321278115">
      <w:bodyDiv w:val="1"/>
      <w:marLeft w:val="0"/>
      <w:marRight w:val="0"/>
      <w:marTop w:val="0"/>
      <w:marBottom w:val="0"/>
      <w:divBdr>
        <w:top w:val="none" w:sz="0" w:space="0" w:color="auto"/>
        <w:left w:val="none" w:sz="0" w:space="0" w:color="auto"/>
        <w:bottom w:val="none" w:sz="0" w:space="0" w:color="auto"/>
        <w:right w:val="none" w:sz="0" w:space="0" w:color="auto"/>
      </w:divBdr>
    </w:div>
    <w:div w:id="325783985">
      <w:bodyDiv w:val="1"/>
      <w:marLeft w:val="0"/>
      <w:marRight w:val="0"/>
      <w:marTop w:val="0"/>
      <w:marBottom w:val="0"/>
      <w:divBdr>
        <w:top w:val="none" w:sz="0" w:space="0" w:color="auto"/>
        <w:left w:val="none" w:sz="0" w:space="0" w:color="auto"/>
        <w:bottom w:val="none" w:sz="0" w:space="0" w:color="auto"/>
        <w:right w:val="none" w:sz="0" w:space="0" w:color="auto"/>
      </w:divBdr>
    </w:div>
    <w:div w:id="626395558">
      <w:bodyDiv w:val="1"/>
      <w:marLeft w:val="0"/>
      <w:marRight w:val="0"/>
      <w:marTop w:val="0"/>
      <w:marBottom w:val="0"/>
      <w:divBdr>
        <w:top w:val="none" w:sz="0" w:space="0" w:color="auto"/>
        <w:left w:val="none" w:sz="0" w:space="0" w:color="auto"/>
        <w:bottom w:val="none" w:sz="0" w:space="0" w:color="auto"/>
        <w:right w:val="none" w:sz="0" w:space="0" w:color="auto"/>
      </w:divBdr>
    </w:div>
    <w:div w:id="888491391">
      <w:bodyDiv w:val="1"/>
      <w:marLeft w:val="0"/>
      <w:marRight w:val="0"/>
      <w:marTop w:val="0"/>
      <w:marBottom w:val="0"/>
      <w:divBdr>
        <w:top w:val="none" w:sz="0" w:space="0" w:color="auto"/>
        <w:left w:val="none" w:sz="0" w:space="0" w:color="auto"/>
        <w:bottom w:val="none" w:sz="0" w:space="0" w:color="auto"/>
        <w:right w:val="none" w:sz="0" w:space="0" w:color="auto"/>
      </w:divBdr>
      <w:divsChild>
        <w:div w:id="92866095">
          <w:marLeft w:val="0"/>
          <w:marRight w:val="0"/>
          <w:marTop w:val="0"/>
          <w:marBottom w:val="0"/>
          <w:divBdr>
            <w:top w:val="none" w:sz="0" w:space="0" w:color="auto"/>
            <w:left w:val="none" w:sz="0" w:space="0" w:color="auto"/>
            <w:bottom w:val="none" w:sz="0" w:space="0" w:color="auto"/>
            <w:right w:val="none" w:sz="0" w:space="0" w:color="auto"/>
          </w:divBdr>
          <w:divsChild>
            <w:div w:id="577204552">
              <w:marLeft w:val="0"/>
              <w:marRight w:val="0"/>
              <w:marTop w:val="0"/>
              <w:marBottom w:val="0"/>
              <w:divBdr>
                <w:top w:val="none" w:sz="0" w:space="0" w:color="auto"/>
                <w:left w:val="none" w:sz="0" w:space="0" w:color="auto"/>
                <w:bottom w:val="none" w:sz="0" w:space="0" w:color="auto"/>
                <w:right w:val="none" w:sz="0" w:space="0" w:color="auto"/>
              </w:divBdr>
              <w:divsChild>
                <w:div w:id="1099790892">
                  <w:marLeft w:val="0"/>
                  <w:marRight w:val="0"/>
                  <w:marTop w:val="0"/>
                  <w:marBottom w:val="0"/>
                  <w:divBdr>
                    <w:top w:val="none" w:sz="0" w:space="0" w:color="auto"/>
                    <w:left w:val="none" w:sz="0" w:space="0" w:color="auto"/>
                    <w:bottom w:val="none" w:sz="0" w:space="0" w:color="auto"/>
                    <w:right w:val="none" w:sz="0" w:space="0" w:color="auto"/>
                  </w:divBdr>
                  <w:divsChild>
                    <w:div w:id="54633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610246">
      <w:bodyDiv w:val="1"/>
      <w:marLeft w:val="0"/>
      <w:marRight w:val="0"/>
      <w:marTop w:val="0"/>
      <w:marBottom w:val="0"/>
      <w:divBdr>
        <w:top w:val="none" w:sz="0" w:space="0" w:color="auto"/>
        <w:left w:val="none" w:sz="0" w:space="0" w:color="auto"/>
        <w:bottom w:val="none" w:sz="0" w:space="0" w:color="auto"/>
        <w:right w:val="none" w:sz="0" w:space="0" w:color="auto"/>
      </w:divBdr>
      <w:divsChild>
        <w:div w:id="1733918620">
          <w:marLeft w:val="0"/>
          <w:marRight w:val="0"/>
          <w:marTop w:val="0"/>
          <w:marBottom w:val="0"/>
          <w:divBdr>
            <w:top w:val="none" w:sz="0" w:space="0" w:color="auto"/>
            <w:left w:val="none" w:sz="0" w:space="0" w:color="auto"/>
            <w:bottom w:val="none" w:sz="0" w:space="0" w:color="auto"/>
            <w:right w:val="none" w:sz="0" w:space="0" w:color="auto"/>
          </w:divBdr>
          <w:divsChild>
            <w:div w:id="1319573942">
              <w:marLeft w:val="0"/>
              <w:marRight w:val="0"/>
              <w:marTop w:val="0"/>
              <w:marBottom w:val="0"/>
              <w:divBdr>
                <w:top w:val="none" w:sz="0" w:space="0" w:color="auto"/>
                <w:left w:val="none" w:sz="0" w:space="0" w:color="auto"/>
                <w:bottom w:val="none" w:sz="0" w:space="0" w:color="auto"/>
                <w:right w:val="none" w:sz="0" w:space="0" w:color="auto"/>
              </w:divBdr>
              <w:divsChild>
                <w:div w:id="42368838">
                  <w:marLeft w:val="0"/>
                  <w:marRight w:val="0"/>
                  <w:marTop w:val="0"/>
                  <w:marBottom w:val="0"/>
                  <w:divBdr>
                    <w:top w:val="none" w:sz="0" w:space="0" w:color="auto"/>
                    <w:left w:val="none" w:sz="0" w:space="0" w:color="auto"/>
                    <w:bottom w:val="none" w:sz="0" w:space="0" w:color="auto"/>
                    <w:right w:val="none" w:sz="0" w:space="0" w:color="auto"/>
                  </w:divBdr>
                  <w:divsChild>
                    <w:div w:id="96928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409045">
          <w:marLeft w:val="0"/>
          <w:marRight w:val="0"/>
          <w:marTop w:val="0"/>
          <w:marBottom w:val="0"/>
          <w:divBdr>
            <w:top w:val="none" w:sz="0" w:space="0" w:color="auto"/>
            <w:left w:val="none" w:sz="0" w:space="0" w:color="auto"/>
            <w:bottom w:val="none" w:sz="0" w:space="0" w:color="auto"/>
            <w:right w:val="none" w:sz="0" w:space="0" w:color="auto"/>
          </w:divBdr>
        </w:div>
        <w:div w:id="1165246374">
          <w:marLeft w:val="0"/>
          <w:marRight w:val="0"/>
          <w:marTop w:val="0"/>
          <w:marBottom w:val="0"/>
          <w:divBdr>
            <w:top w:val="none" w:sz="0" w:space="0" w:color="auto"/>
            <w:left w:val="none" w:sz="0" w:space="0" w:color="auto"/>
            <w:bottom w:val="none" w:sz="0" w:space="0" w:color="auto"/>
            <w:right w:val="none" w:sz="0" w:space="0" w:color="auto"/>
          </w:divBdr>
        </w:div>
        <w:div w:id="967589181">
          <w:marLeft w:val="0"/>
          <w:marRight w:val="0"/>
          <w:marTop w:val="0"/>
          <w:marBottom w:val="0"/>
          <w:divBdr>
            <w:top w:val="none" w:sz="0" w:space="0" w:color="auto"/>
            <w:left w:val="none" w:sz="0" w:space="0" w:color="auto"/>
            <w:bottom w:val="none" w:sz="0" w:space="0" w:color="auto"/>
            <w:right w:val="none" w:sz="0" w:space="0" w:color="auto"/>
          </w:divBdr>
        </w:div>
        <w:div w:id="135492436">
          <w:marLeft w:val="0"/>
          <w:marRight w:val="0"/>
          <w:marTop w:val="0"/>
          <w:marBottom w:val="0"/>
          <w:divBdr>
            <w:top w:val="none" w:sz="0" w:space="0" w:color="auto"/>
            <w:left w:val="none" w:sz="0" w:space="0" w:color="auto"/>
            <w:bottom w:val="none" w:sz="0" w:space="0" w:color="auto"/>
            <w:right w:val="none" w:sz="0" w:space="0" w:color="auto"/>
          </w:divBdr>
          <w:divsChild>
            <w:div w:id="291446369">
              <w:marLeft w:val="0"/>
              <w:marRight w:val="0"/>
              <w:marTop w:val="0"/>
              <w:marBottom w:val="0"/>
              <w:divBdr>
                <w:top w:val="none" w:sz="0" w:space="0" w:color="auto"/>
                <w:left w:val="none" w:sz="0" w:space="0" w:color="auto"/>
                <w:bottom w:val="none" w:sz="0" w:space="0" w:color="auto"/>
                <w:right w:val="none" w:sz="0" w:space="0" w:color="auto"/>
              </w:divBdr>
              <w:divsChild>
                <w:div w:id="1071847393">
                  <w:marLeft w:val="0"/>
                  <w:marRight w:val="0"/>
                  <w:marTop w:val="0"/>
                  <w:marBottom w:val="0"/>
                  <w:divBdr>
                    <w:top w:val="none" w:sz="0" w:space="0" w:color="auto"/>
                    <w:left w:val="none" w:sz="0" w:space="0" w:color="auto"/>
                    <w:bottom w:val="none" w:sz="0" w:space="0" w:color="auto"/>
                    <w:right w:val="none" w:sz="0" w:space="0" w:color="auto"/>
                  </w:divBdr>
                  <w:divsChild>
                    <w:div w:id="1495871560">
                      <w:marLeft w:val="0"/>
                      <w:marRight w:val="0"/>
                      <w:marTop w:val="0"/>
                      <w:marBottom w:val="0"/>
                      <w:divBdr>
                        <w:top w:val="none" w:sz="0" w:space="0" w:color="auto"/>
                        <w:left w:val="none" w:sz="0" w:space="0" w:color="auto"/>
                        <w:bottom w:val="none" w:sz="0" w:space="0" w:color="auto"/>
                        <w:right w:val="none" w:sz="0" w:space="0" w:color="auto"/>
                      </w:divBdr>
                      <w:divsChild>
                        <w:div w:id="205091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5576877">
      <w:bodyDiv w:val="1"/>
      <w:marLeft w:val="0"/>
      <w:marRight w:val="0"/>
      <w:marTop w:val="0"/>
      <w:marBottom w:val="0"/>
      <w:divBdr>
        <w:top w:val="none" w:sz="0" w:space="0" w:color="auto"/>
        <w:left w:val="none" w:sz="0" w:space="0" w:color="auto"/>
        <w:bottom w:val="none" w:sz="0" w:space="0" w:color="auto"/>
        <w:right w:val="none" w:sz="0" w:space="0" w:color="auto"/>
      </w:divBdr>
    </w:div>
    <w:div w:id="981271931">
      <w:bodyDiv w:val="1"/>
      <w:marLeft w:val="0"/>
      <w:marRight w:val="0"/>
      <w:marTop w:val="0"/>
      <w:marBottom w:val="0"/>
      <w:divBdr>
        <w:top w:val="none" w:sz="0" w:space="0" w:color="auto"/>
        <w:left w:val="none" w:sz="0" w:space="0" w:color="auto"/>
        <w:bottom w:val="none" w:sz="0" w:space="0" w:color="auto"/>
        <w:right w:val="none" w:sz="0" w:space="0" w:color="auto"/>
      </w:divBdr>
    </w:div>
    <w:div w:id="1100375760">
      <w:bodyDiv w:val="1"/>
      <w:marLeft w:val="0"/>
      <w:marRight w:val="0"/>
      <w:marTop w:val="0"/>
      <w:marBottom w:val="0"/>
      <w:divBdr>
        <w:top w:val="none" w:sz="0" w:space="0" w:color="auto"/>
        <w:left w:val="none" w:sz="0" w:space="0" w:color="auto"/>
        <w:bottom w:val="none" w:sz="0" w:space="0" w:color="auto"/>
        <w:right w:val="none" w:sz="0" w:space="0" w:color="auto"/>
      </w:divBdr>
    </w:div>
    <w:div w:id="1163281838">
      <w:bodyDiv w:val="1"/>
      <w:marLeft w:val="0"/>
      <w:marRight w:val="0"/>
      <w:marTop w:val="0"/>
      <w:marBottom w:val="0"/>
      <w:divBdr>
        <w:top w:val="none" w:sz="0" w:space="0" w:color="auto"/>
        <w:left w:val="none" w:sz="0" w:space="0" w:color="auto"/>
        <w:bottom w:val="none" w:sz="0" w:space="0" w:color="auto"/>
        <w:right w:val="none" w:sz="0" w:space="0" w:color="auto"/>
      </w:divBdr>
    </w:div>
    <w:div w:id="1220441432">
      <w:bodyDiv w:val="1"/>
      <w:marLeft w:val="0"/>
      <w:marRight w:val="0"/>
      <w:marTop w:val="0"/>
      <w:marBottom w:val="0"/>
      <w:divBdr>
        <w:top w:val="none" w:sz="0" w:space="0" w:color="auto"/>
        <w:left w:val="none" w:sz="0" w:space="0" w:color="auto"/>
        <w:bottom w:val="none" w:sz="0" w:space="0" w:color="auto"/>
        <w:right w:val="none" w:sz="0" w:space="0" w:color="auto"/>
      </w:divBdr>
    </w:div>
    <w:div w:id="1246064458">
      <w:bodyDiv w:val="1"/>
      <w:marLeft w:val="0"/>
      <w:marRight w:val="0"/>
      <w:marTop w:val="0"/>
      <w:marBottom w:val="0"/>
      <w:divBdr>
        <w:top w:val="none" w:sz="0" w:space="0" w:color="auto"/>
        <w:left w:val="none" w:sz="0" w:space="0" w:color="auto"/>
        <w:bottom w:val="none" w:sz="0" w:space="0" w:color="auto"/>
        <w:right w:val="none" w:sz="0" w:space="0" w:color="auto"/>
      </w:divBdr>
      <w:divsChild>
        <w:div w:id="1203253890">
          <w:marLeft w:val="0"/>
          <w:marRight w:val="0"/>
          <w:marTop w:val="0"/>
          <w:marBottom w:val="0"/>
          <w:divBdr>
            <w:top w:val="none" w:sz="0" w:space="0" w:color="auto"/>
            <w:left w:val="none" w:sz="0" w:space="0" w:color="auto"/>
            <w:bottom w:val="none" w:sz="0" w:space="0" w:color="auto"/>
            <w:right w:val="none" w:sz="0" w:space="0" w:color="auto"/>
          </w:divBdr>
          <w:divsChild>
            <w:div w:id="1044714876">
              <w:marLeft w:val="0"/>
              <w:marRight w:val="0"/>
              <w:marTop w:val="0"/>
              <w:marBottom w:val="0"/>
              <w:divBdr>
                <w:top w:val="none" w:sz="0" w:space="0" w:color="auto"/>
                <w:left w:val="none" w:sz="0" w:space="0" w:color="auto"/>
                <w:bottom w:val="none" w:sz="0" w:space="0" w:color="auto"/>
                <w:right w:val="none" w:sz="0" w:space="0" w:color="auto"/>
              </w:divBdr>
              <w:divsChild>
                <w:div w:id="2115203989">
                  <w:marLeft w:val="0"/>
                  <w:marRight w:val="0"/>
                  <w:marTop w:val="0"/>
                  <w:marBottom w:val="0"/>
                  <w:divBdr>
                    <w:top w:val="none" w:sz="0" w:space="0" w:color="auto"/>
                    <w:left w:val="none" w:sz="0" w:space="0" w:color="auto"/>
                    <w:bottom w:val="none" w:sz="0" w:space="0" w:color="auto"/>
                    <w:right w:val="none" w:sz="0" w:space="0" w:color="auto"/>
                  </w:divBdr>
                  <w:divsChild>
                    <w:div w:id="73748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294629">
      <w:bodyDiv w:val="1"/>
      <w:marLeft w:val="0"/>
      <w:marRight w:val="0"/>
      <w:marTop w:val="0"/>
      <w:marBottom w:val="0"/>
      <w:divBdr>
        <w:top w:val="none" w:sz="0" w:space="0" w:color="auto"/>
        <w:left w:val="none" w:sz="0" w:space="0" w:color="auto"/>
        <w:bottom w:val="none" w:sz="0" w:space="0" w:color="auto"/>
        <w:right w:val="none" w:sz="0" w:space="0" w:color="auto"/>
      </w:divBdr>
      <w:divsChild>
        <w:div w:id="1302729668">
          <w:marLeft w:val="0"/>
          <w:marRight w:val="0"/>
          <w:marTop w:val="0"/>
          <w:marBottom w:val="0"/>
          <w:divBdr>
            <w:top w:val="none" w:sz="0" w:space="0" w:color="auto"/>
            <w:left w:val="none" w:sz="0" w:space="0" w:color="auto"/>
            <w:bottom w:val="none" w:sz="0" w:space="0" w:color="auto"/>
            <w:right w:val="none" w:sz="0" w:space="0" w:color="auto"/>
          </w:divBdr>
          <w:divsChild>
            <w:div w:id="1601789170">
              <w:marLeft w:val="0"/>
              <w:marRight w:val="0"/>
              <w:marTop w:val="0"/>
              <w:marBottom w:val="0"/>
              <w:divBdr>
                <w:top w:val="none" w:sz="0" w:space="0" w:color="auto"/>
                <w:left w:val="none" w:sz="0" w:space="0" w:color="auto"/>
                <w:bottom w:val="none" w:sz="0" w:space="0" w:color="auto"/>
                <w:right w:val="none" w:sz="0" w:space="0" w:color="auto"/>
              </w:divBdr>
              <w:divsChild>
                <w:div w:id="970280171">
                  <w:marLeft w:val="0"/>
                  <w:marRight w:val="0"/>
                  <w:marTop w:val="0"/>
                  <w:marBottom w:val="0"/>
                  <w:divBdr>
                    <w:top w:val="none" w:sz="0" w:space="0" w:color="auto"/>
                    <w:left w:val="none" w:sz="0" w:space="0" w:color="auto"/>
                    <w:bottom w:val="none" w:sz="0" w:space="0" w:color="auto"/>
                    <w:right w:val="none" w:sz="0" w:space="0" w:color="auto"/>
                  </w:divBdr>
                  <w:divsChild>
                    <w:div w:id="23239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150303">
      <w:bodyDiv w:val="1"/>
      <w:marLeft w:val="0"/>
      <w:marRight w:val="0"/>
      <w:marTop w:val="0"/>
      <w:marBottom w:val="0"/>
      <w:divBdr>
        <w:top w:val="none" w:sz="0" w:space="0" w:color="auto"/>
        <w:left w:val="none" w:sz="0" w:space="0" w:color="auto"/>
        <w:bottom w:val="none" w:sz="0" w:space="0" w:color="auto"/>
        <w:right w:val="none" w:sz="0" w:space="0" w:color="auto"/>
      </w:divBdr>
      <w:divsChild>
        <w:div w:id="60715392">
          <w:marLeft w:val="0"/>
          <w:marRight w:val="0"/>
          <w:marTop w:val="0"/>
          <w:marBottom w:val="0"/>
          <w:divBdr>
            <w:top w:val="none" w:sz="0" w:space="0" w:color="auto"/>
            <w:left w:val="none" w:sz="0" w:space="0" w:color="auto"/>
            <w:bottom w:val="none" w:sz="0" w:space="0" w:color="auto"/>
            <w:right w:val="none" w:sz="0" w:space="0" w:color="auto"/>
          </w:divBdr>
          <w:divsChild>
            <w:div w:id="338385933">
              <w:marLeft w:val="0"/>
              <w:marRight w:val="0"/>
              <w:marTop w:val="0"/>
              <w:marBottom w:val="0"/>
              <w:divBdr>
                <w:top w:val="none" w:sz="0" w:space="0" w:color="auto"/>
                <w:left w:val="none" w:sz="0" w:space="0" w:color="auto"/>
                <w:bottom w:val="none" w:sz="0" w:space="0" w:color="auto"/>
                <w:right w:val="none" w:sz="0" w:space="0" w:color="auto"/>
              </w:divBdr>
              <w:divsChild>
                <w:div w:id="886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02563">
      <w:bodyDiv w:val="1"/>
      <w:marLeft w:val="0"/>
      <w:marRight w:val="0"/>
      <w:marTop w:val="0"/>
      <w:marBottom w:val="0"/>
      <w:divBdr>
        <w:top w:val="none" w:sz="0" w:space="0" w:color="auto"/>
        <w:left w:val="none" w:sz="0" w:space="0" w:color="auto"/>
        <w:bottom w:val="none" w:sz="0" w:space="0" w:color="auto"/>
        <w:right w:val="none" w:sz="0" w:space="0" w:color="auto"/>
      </w:divBdr>
    </w:div>
    <w:div w:id="1872763078">
      <w:bodyDiv w:val="1"/>
      <w:marLeft w:val="0"/>
      <w:marRight w:val="0"/>
      <w:marTop w:val="0"/>
      <w:marBottom w:val="0"/>
      <w:divBdr>
        <w:top w:val="none" w:sz="0" w:space="0" w:color="auto"/>
        <w:left w:val="none" w:sz="0" w:space="0" w:color="auto"/>
        <w:bottom w:val="none" w:sz="0" w:space="0" w:color="auto"/>
        <w:right w:val="none" w:sz="0" w:space="0" w:color="auto"/>
      </w:divBdr>
    </w:div>
    <w:div w:id="1899585537">
      <w:bodyDiv w:val="1"/>
      <w:marLeft w:val="0"/>
      <w:marRight w:val="0"/>
      <w:marTop w:val="0"/>
      <w:marBottom w:val="0"/>
      <w:divBdr>
        <w:top w:val="none" w:sz="0" w:space="0" w:color="auto"/>
        <w:left w:val="none" w:sz="0" w:space="0" w:color="auto"/>
        <w:bottom w:val="none" w:sz="0" w:space="0" w:color="auto"/>
        <w:right w:val="none" w:sz="0" w:space="0" w:color="auto"/>
      </w:divBdr>
    </w:div>
    <w:div w:id="1910310482">
      <w:bodyDiv w:val="1"/>
      <w:marLeft w:val="0"/>
      <w:marRight w:val="0"/>
      <w:marTop w:val="0"/>
      <w:marBottom w:val="0"/>
      <w:divBdr>
        <w:top w:val="none" w:sz="0" w:space="0" w:color="auto"/>
        <w:left w:val="none" w:sz="0" w:space="0" w:color="auto"/>
        <w:bottom w:val="none" w:sz="0" w:space="0" w:color="auto"/>
        <w:right w:val="none" w:sz="0" w:space="0" w:color="auto"/>
      </w:divBdr>
    </w:div>
    <w:div w:id="1930651818">
      <w:bodyDiv w:val="1"/>
      <w:marLeft w:val="0"/>
      <w:marRight w:val="0"/>
      <w:marTop w:val="0"/>
      <w:marBottom w:val="0"/>
      <w:divBdr>
        <w:top w:val="none" w:sz="0" w:space="0" w:color="auto"/>
        <w:left w:val="none" w:sz="0" w:space="0" w:color="auto"/>
        <w:bottom w:val="none" w:sz="0" w:space="0" w:color="auto"/>
        <w:right w:val="none" w:sz="0" w:space="0" w:color="auto"/>
      </w:divBdr>
      <w:divsChild>
        <w:div w:id="1242562756">
          <w:marLeft w:val="0"/>
          <w:marRight w:val="0"/>
          <w:marTop w:val="0"/>
          <w:marBottom w:val="0"/>
          <w:divBdr>
            <w:top w:val="none" w:sz="0" w:space="0" w:color="auto"/>
            <w:left w:val="none" w:sz="0" w:space="0" w:color="auto"/>
            <w:bottom w:val="none" w:sz="0" w:space="0" w:color="auto"/>
            <w:right w:val="none" w:sz="0" w:space="0" w:color="auto"/>
          </w:divBdr>
          <w:divsChild>
            <w:div w:id="927930091">
              <w:marLeft w:val="0"/>
              <w:marRight w:val="0"/>
              <w:marTop w:val="0"/>
              <w:marBottom w:val="0"/>
              <w:divBdr>
                <w:top w:val="none" w:sz="0" w:space="0" w:color="auto"/>
                <w:left w:val="none" w:sz="0" w:space="0" w:color="auto"/>
                <w:bottom w:val="none" w:sz="0" w:space="0" w:color="auto"/>
                <w:right w:val="none" w:sz="0" w:space="0" w:color="auto"/>
              </w:divBdr>
              <w:divsChild>
                <w:div w:id="1930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496350">
      <w:bodyDiv w:val="1"/>
      <w:marLeft w:val="0"/>
      <w:marRight w:val="0"/>
      <w:marTop w:val="0"/>
      <w:marBottom w:val="0"/>
      <w:divBdr>
        <w:top w:val="none" w:sz="0" w:space="0" w:color="auto"/>
        <w:left w:val="none" w:sz="0" w:space="0" w:color="auto"/>
        <w:bottom w:val="none" w:sz="0" w:space="0" w:color="auto"/>
        <w:right w:val="none" w:sz="0" w:space="0" w:color="auto"/>
      </w:divBdr>
    </w:div>
    <w:div w:id="1995256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ultureandcosmos.org/pdfs/19/19-1_christine_broadbent_ibn_arabi.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assa.saao.ac.za/astronomy-in-south-africa/ethnoastronom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techopen.com/books/trends-in-modern-cosmology/the-importance-of-cosmology-in-culture-contexts-and-consequenc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s>
</file>

<file path=word/_rels/footnotes.xml.rels><?xml version="1.0" encoding="UTF-8" standalone="yes"?>
<Relationships xmlns="http://schemas.openxmlformats.org/package/2006/relationships"><Relationship Id="rId3" Type="http://schemas.openxmlformats.org/officeDocument/2006/relationships/hyperlink" Target="http://assa.saao.ac.za/astronomy-in-south-africa/ethnoastronomy/" TargetMode="External"/><Relationship Id="rId2" Type="http://schemas.openxmlformats.org/officeDocument/2006/relationships/hyperlink" Target="http://www.cultureandcosmos.org/pdfs/19/19-1_christine_broadbent_ibn_arabi.pdf" TargetMode="External"/><Relationship Id="rId1" Type="http://schemas.openxmlformats.org/officeDocument/2006/relationships/hyperlink" Target="https://www.intechopen.com/books/trends-in-modern-cosmology/the-importance-of-cosmology-in-culture-contexts-and-consequences" TargetMode="Externa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30CBEC-4C3A-1F40-BD81-F5B64003A7F8}">
  <we:reference id="wa104380122" version="1.0.0.1" store="de-DE" storeType="OMEX"/>
  <we:alternateReferences>
    <we:reference id="wa104380122" version="1.0.0.1" store="wa104380122" storeType="OMEX"/>
  </we:alternateReferences>
  <we:properties>
    <we:property name="biblioId" value="-114289051"/>
    <we:property name="cit:1589732757" value="&quot;{\&quot;docs\&quot;:[{\&quot;pageReplace\&quot;:\&quot;\&quot;,\&quot;author\&quot;:true,\&quot;year\&quot;:true,\&quot;prefix\&quot;:\&quot;\&quot;,\&quot;suffix\&quot;:\&quot;\&quot;,\&quot;id\&quot;:\&quot;doc:5bc30f98e4b05f656eb5e185\&quot;}],\&quot;position\&quot;:\&quot;footnote\&quot;}&quot;"/>
    <we:property name="cit:1604683504" value="&quot;{\&quot;docs\&quot;:[{\&quot;pageReplace\&quot;:\&quot;\&quot;,\&quot;author\&quot;:true,\&quot;year\&quot;:true,\&quot;prefix\&quot;:\&quot;\&quot;,\&quot;suffix\&quot;:\&quot;\&quot;,\&quot;id\&quot;:\&quot;doc:5bc1d271e4b0d9bc59eb0be5\&quot;}],\&quot;position\&quot;:\&quot;footnote\&quot;}&quot;"/>
    <we:property name="cit:1869870483" value="&quot;{\&quot;docs\&quot;:[{\&quot;pageReplace\&quot;:\&quot;\&quot;,\&quot;author\&quot;:true,\&quot;year\&quot;:true,\&quot;prefix\&quot;:\&quot;\&quot;,\&quot;suffix\&quot;:\&quot;\&quot;,\&quot;id\&quot;:\&quot;doc:5bc30d8be4b077c6007d65f0\&quot;}],\&quot;position\&quot;:\&quot;footnote\&quot;}&quot;"/>
    <we:property name="cit:1913504561" value="&quot;{\&quot;docs\&quot;:[{\&quot;pageReplace\&quot;:\&quot;p. 4\&quot;,\&quot;author\&quot;:true,\&quot;year\&quot;:true,\&quot;prefix\&quot;:\&quot;\&quot;,\&quot;suffix\&quot;:\&quot;\&quot;,\&quot;id\&quot;:\&quot;doc:5bc2123ee4b0c84000448023\&quot;}],\&quot;position\&quot;:\&quot;footnote\&quot;}&quot;"/>
    <we:property name="cit:1918440022" value="&quot;{\&quot;docs\&quot;:[{\&quot;id\&quot;:\&quot;doc:5bc34bbee4b067d1d7444f63\&quot;,\&quot;pageReplace\&quot;:\&quot;\&quot;,\&quot;author\&quot;:true,\&quot;year\&quot;:true,\&quot;prefix\&quot;:\&quot;\&quot;,\&quot;suffix\&quot;:\&quot;\&quot;}],\&quot;position\&quot;:\&quot;footnote\&quot;}&quot;"/>
    <we:property name="cit:_1856114414" value="&quot;{\&quot;docs\&quot;:[{\&quot;pageReplace\&quot;:\&quot;\&quot;,\&quot;author\&quot;:true,\&quot;year\&quot;:true,\&quot;prefix\&quot;:\&quot;\&quot;,\&quot;suffix\&quot;:\&quot;\&quot;,\&quot;id\&quot;:\&quot;doc:5bc1d8b2e4b095ca6e58ec05\&quot;}],\&quot;position\&quot;:\&quot;footnote\&quot;}&quot;"/>
    <we:property name="cit:_475058605" value="&quot;{\&quot;docs\&quot;:[{\&quot;pageReplace\&quot;:\&quot;\&quot;,\&quot;author\&quot;:true,\&quot;year\&quot;:true,\&quot;prefix\&quot;:\&quot;\&quot;,\&quot;suffix\&quot;:\&quot;\&quot;,\&quot;id\&quot;:\&quot;doc:5bc31ff3e4b0f7904207f549\&quot;}],\&quot;position\&quot;:\&quot;footnote\&quot;}&quot;"/>
    <we:property name="cit:_680585402" value="&quot;{\&quot;docs\&quot;:[{\&quot;pageReplace\&quot;:\&quot;\&quot;,\&quot;author\&quot;:true,\&quot;year\&quot;:true,\&quot;prefix\&quot;:\&quot;\&quot;,\&quot;suffix\&quot;:\&quot;\&quot;,\&quot;id\&quot;:\&quot;doc:5bc2123ee4b0c84000448023\&quot;}],\&quot;position\&quot;:\&quot;footnote\&quot;}&quot;"/>
    <we:property name="cit:_891890596" value="&quot;{\&quot;docs\&quot;:[{\&quot;pageReplace\&quot;:\&quot;\&quot;,\&quot;author\&quot;:true,\&quot;year\&quot;:true,\&quot;prefix\&quot;:\&quot;\&quot;,\&quot;suffix\&quot;:\&quot;\&quot;,\&quot;id\&quot;:\&quot;doc:5bc312dde4b080e02f7ed3bd\&quot;}],\&quot;position\&quot;:\&quot;footnote\&quot;}&quot;"/>
    <we:property name="cit:_980158362" value="&quot;{\&quot;docs\&quot;:[{\&quot;id\&quot;:\&quot;doc:5bc1d8b2e4b095ca6e58ec05\&quot;,\&quot;pageReplace\&quot;:\&quot;\&quot;,\&quot;author\&quot;:true,\&quot;year\&quot;:true,\&quot;prefix\&quot;:\&quot;\&quot;,\&quot;suffix\&quot;:\&quot;\&quot;}],\&quot;position\&quot;:\&quot;body\&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
    <we:property name="contentControlsValues" value="&quot;{\&quot;cit:_1856114414\&quot;:\&quot;Lawrence E. Jerome, 'Astrology and Modern Science: A Critical Analysis', &lt;i&gt;Leonardo, &lt;/i&gt;6 (1973), 121-130 &lt;&lt;a href='http://www.jstor.org.ezproxy.uwtsd.ac.uk/stable/1572687' target='_blank'&gt;http://www.jstor.org.ezproxy.uwtsd.ac.uk/stable/1572687&lt;/a&gt;&gt;.\&quot;,\&quot;cit:1604683504\&quot;:\&quot;David Pingree, 'Hellenophilia Versus the History of Science', &lt;i&gt;Isis, &lt;/i&gt;83 (1992), 554-563 &lt;&lt;a href='http://www.jstor.org.ezproxy.uwtsd.ac.uk/stable/234257' target='_blank'&gt;http://www.jstor.org.ezproxy.uwtsd.ac.uk/stable/234257&lt;/a&gt;&gt;.\&quot;,\&quot;cit:1589732757\&quot;:\&quot;Harald A. Wiltsche, &lt;i&gt;Einführung in Die Wissenschaftstheorie&lt;/i&gt; (Göttingen: Vandenhoeck &amp;amp; Ruprecht: UTB, 2013).\&quot;,\&quot;cit:1869870483\&quot;:\&quot;&lt;i&gt;Sozialwissenschaftliche Hermeneutik. Eine Einführung.&lt;/i&gt;, ed. by R. Hitzler and A. Honer (Wiesbaden: Springer, 1997).\&quot;,\&quot;cit:_891890596\&quot;:\&quot;G. De Angelis, 'The Foundations of a Critical Social Theory: Lessons from the Positivismusstreit', &lt;i&gt;Journal of Classical Sociology, &lt;/i&gt;15 (2015), 170-184 &lt;&lt;a href='https://doi.org/10.1177/1468795X14567286' target='_blank'&gt;https://doi.org/10.1177/1468795X14567286&lt;/a&gt;&gt;.\&quot;,\&quot;cit:_475058605\&quot;:\&quot;W. Dilthey, &lt;i&gt;Die Geistige Welt. Einleitung in Die Philosophie Des Lebens.(Erste Hälfte. Abhandlungen Zur Grundlegung Der Geisteswissenschaften)&lt;/i&gt;, Gesammelte Schriften, V, 4., unveränderte Auflage edn (Stuttgart: B. G. Teubner Verlagsgesellschaft m.b.H., 1964).\&quot;,\&quot;cit:_1660531971\&quot;:\&quot;J. Kepler and F. Krafft, &lt;i&gt;Was Die Welt Im Innersten Zusammenhält: Antworten Aus Keplers Schriften&lt;/i&gt; (Wiesbaden: Marix, 2005) &lt;&lt;a href='https://books.google.de/books?id=HwxaAAAACAAJ' target='_blank'&gt;https://books.google.de/books?id=HwxaAAAACAAJ&lt;/a&gt;&gt;.\&quot;,\&quot;cit:_114289051\&quot;:\&quot;&lt;p style='line-height: 2;text-indent: -30px;margin-left: 30px;'&gt;De Angelis, G., 'The Foundations of a Critical Social Theory: Lessons from the Positivismusstreit', &lt;i&gt;Journal of Classical Sociology, &lt;/i&gt;15 (2015), 170-184 &lt;&lt;a href='https://doi.org/10.1177/1468795X14567286' target='_blank'&gt;https://doi.org/10.1177/1468795X14567286&lt;/a&gt;&gt;&lt;/p&gt;\\n&lt;p style='line-height: 2;text-indent: -30px;margin-left: 30px;'&gt;Dilthey, W., &lt;i&gt;Die Geistige Welt. Einleitung in Die Philosophie Des Lebens.(Erste Hälfte. Abhandlungen Zur Grundlegung Der Geisteswissenschaften)&lt;/i&gt;, Gesammelte Schriften, V, 4., unveränderte Auflage edn (Stuttgart: B. G. Teubner Verlagsgesellschaft m.b.H., 1964)&lt;/p&gt;\\n&lt;p style='line-height: 2;text-indent: -30px;margin-left: 30px;'&gt;Hitzler, R. and A. Honer, eds., &lt;i&gt;Sozialwissenschaftliche Hermeneutik. Eine Einführung.&lt;/i&gt; (Wiesbaden: Springer, 1997)&lt;/p&gt;\\n&lt;p style='line-height: 2;text-indent: -30px;margin-left: 30px;'&gt;Jerome, Lawrence E., 'Astrology and Modern Science: A Critical Analysis', &lt;i&gt;Leonardo, &lt;/i&gt;6 (1973), 121-130 &lt;&lt;a href='http://www.jstor.org.ezproxy.uwtsd.ac.uk/stable/1572687' target='_blank'&gt;http://www.jstor.org.ezproxy.uwtsd.ac.uk/stable/1572687&lt;/a&gt;&gt;&lt;/p&gt;\\n&lt;p style='line-height: 2;text-indent: -30px;margin-left: 30px;'&gt;Kepler, J. and F. Krafft, &lt;i&gt;Was Die Welt Im Innersten Zusammenhält: Antworten Aus Keplers Schriften&lt;/i&gt; (Wiesbaden: Marix, 2005) &lt;&lt;a href='https://books.google.de/books?id=HwxaAAAACAAJ' target='_blank'&gt;https://books.google.de/books?id=HwxaAAAACAAJ&lt;/a&gt;&gt;&lt;/p&gt;\\n&lt;p style='line-height: 2;text-indent: -30px;margin-left: 30px;'&gt;Pingree, David, 'Hellenophilia Versus the History of Science', &lt;i&gt;Isis, &lt;/i&gt;83 (1992), 554-563 &lt;&lt;a href='http://www.jstor.org.ezproxy.uwtsd.ac.uk/stable/234257' target='_blank'&gt;http://www.jstor.org.ezproxy.uwtsd.ac.uk/stable/234257&lt;/a&gt;&gt;&lt;/p&gt;\\n&lt;p style='line-height: 2;text-indent: -30px;margin-left: 30px;'&gt;Wiltsche, Harald A., &lt;i&gt;Einführung in Die Wissenschaftstheorie&lt;/i&gt; (Göttingen: Vandenhoeck &amp;amp; Ruprecht: UTB, 2013)&lt;/p&gt;\\n\&quot;}&quot;"/>
    <we:property name="optionsValues" value="&quot;{\&quot;doc:5bc1d8b2e4b095ca6e58ec05&amp;-980158362\&quot;:{\&quot;id\&quot;:\&quot;doc:5bc1d8b2e4b095ca6e58ec05\&quot;,\&quot;pageReplace\&quot;:\&quot;\&quot;,\&quot;author\&quot;:true,\&quot;year\&quot;:true,\&quot;prefix\&quot;:\&quot;\&quot;,\&quot;suffix\&quot;:\&quot;\&quot;},\&quot;doc:5bc1d8b2e4b095ca6e58ec05&amp;-1856114414\&quot;:{\&quot;pageReplace\&quot;:\&quot;\&quot;,\&quot;author\&quot;:true,\&quot;year\&quot;:true,\&quot;prefix\&quot;:\&quot;\&quot;,\&quot;suffix\&quot;:\&quot;\&quot;,\&quot;id\&quot;:\&quot;doc:5bc1d8b2e4b095ca6e58ec05\&quot;},\&quot;doc:5bc1d271e4b0d9bc59eb0be5&amp;1604683504\&quot;:{\&quot;pageReplace\&quot;:\&quot;\&quot;,\&quot;author\&quot;:true,\&quot;year\&quot;:true,\&quot;prefix\&quot;:\&quot;\&quot;,\&quot;suffix\&quot;:\&quot;\&quot;,\&quot;id\&quot;:\&quot;doc:5bc1d271e4b0d9bc59eb0be5\&quot;},\&quot;doc:5bc30f98e4b05f656eb5e185&amp;1589732757\&quot;:{\&quot;pageReplace\&quot;:\&quot;\&quot;,\&quot;author\&quot;:true,\&quot;year\&quot;:true,\&quot;prefix\&quot;:\&quot;\&quot;,\&quot;suffix\&quot;:\&quot;\&quot;,\&quot;id\&quot;:\&quot;doc:5bc30f98e4b05f656eb5e185\&quot;},\&quot;doc:5bc30d8be4b077c6007d65f0&amp;1869870483\&quot;:{\&quot;pageReplace\&quot;:\&quot;\&quot;,\&quot;author\&quot;:true,\&quot;year\&quot;:true,\&quot;prefix\&quot;:\&quot;\&quot;,\&quot;suffix\&quot;:\&quot;\&quot;,\&quot;id\&quot;:\&quot;doc:5bc30d8be4b077c6007d65f0\&quot;},\&quot;doc:5bc312dde4b080e02f7ed3bd&amp;-891890596\&quot;:{\&quot;pageReplace\&quot;:\&quot;\&quot;,\&quot;author\&quot;:true,\&quot;year\&quot;:true,\&quot;prefix\&quot;:\&quot;\&quot;,\&quot;suffix\&quot;:\&quot;\&quot;,\&quot;id\&quot;:\&quot;doc:5bc312dde4b080e02f7ed3bd\&quot;},\&quot;doc:5bc31ff3e4b0f7904207f549&amp;-475058605\&quot;:{\&quot;pageReplace\&quot;:\&quot;\&quot;,\&quot;author\&quot;:true,\&quot;year\&quot;:true,\&quot;prefix\&quot;:\&quot;\&quot;,\&quot;suffix\&quot;:\&quot;\&quot;,\&quot;id\&quot;:\&quot;doc:5bc31ff3e4b0f7904207f549\&quot;},\&quot;doc:5bc2123ee4b0c84000448023&amp;1913504561\&quot;:{\&quot;pageReplace\&quot;:\&quot;p. 4\&quot;,\&quot;author\&quot;:true,\&quot;year\&quot;:true,\&quot;prefix\&quot;:\&quot;\&quot;,\&quot;suffix\&quot;:\&quot;\&quot;,\&quot;id\&quot;:\&quot;doc:5bc2123ee4b0c84000448023\&quot;},\&quot;doc:5bc2123ee4b0c84000448023&amp;-680585402\&quot;:{\&quot;pageReplace\&quot;:\&quot;\&quot;,\&quot;author\&quot;:true,\&quot;year\&quot;:true,\&quot;prefix\&quot;:\&quot;\&quot;,\&quot;suffix\&quot;:\&quot;\&quot;,\&quot;id\&quot;:\&quot;doc:5bc2123ee4b0c84000448023\&quot;},\&quot;doc:5bc34bbee4b067d1d7444f63&amp;1918440022\&quot;:{\&quot;id\&quot;:\&quot;doc:5bc34bbee4b067d1d7444f63\&quot;,\&quot;pageReplace\&quot;:\&quot;\&quot;,\&quot;author\&quot;:true,\&quot;year\&quot;:true,\&quot;prefix\&quot;:\&quot;\&quot;,\&quot;suffix\&quot;:\&quot;\&quot;},\&quot;doc:5bc34bbee4b067d1d7444f63&amp;-1660531971\&quot;:{\&quot;pageReplace\&quot;:\&quot;\&quot;,\&quot;author\&quot;:true,\&quot;year\&quot;:true,\&quot;prefix\&quot;:\&quot;\&quot;,\&quot;suffix\&quot;:\&quot;\&quot;,\&quot;id\&quot;:\&quot;doc:5bc34bbee4b067d1d7444f63\&quot;}}&quot;"/>
    <we:property name="cit:_1660531971" value="&quot;{\&quot;docs\&quot;:[{\&quot;pageReplace\&quot;:\&quot;\&quot;,\&quot;author\&quot;:true,\&quot;year\&quot;:true,\&quot;prefix\&quot;:\&quot;\&quot;,\&quot;suffix\&quot;:\&quot;\&quot;,\&quot;id\&quot;:\&quot;doc:5bc34bbee4b067d1d7444f63\&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38CEB-B8DA-4B4C-BA7D-4860FA8B4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3601</Words>
  <Characters>22691</Characters>
  <Application>Microsoft Office Word</Application>
  <DocSecurity>0</DocSecurity>
  <Lines>189</Lines>
  <Paragraphs>52</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26240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Nagele</dc:creator>
  <cp:keywords/>
  <dc:description/>
  <cp:lastModifiedBy>Fabio Nagele</cp:lastModifiedBy>
  <cp:revision>363</cp:revision>
  <cp:lastPrinted>2018-12-09T10:40:00Z</cp:lastPrinted>
  <dcterms:created xsi:type="dcterms:W3CDTF">2018-10-13T13:57:00Z</dcterms:created>
  <dcterms:modified xsi:type="dcterms:W3CDTF">2018-12-09T15:21:00Z</dcterms:modified>
</cp:coreProperties>
</file>