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E0ED6" w:rsidRDefault="00FA0446">
      <w:pPr>
        <w:pStyle w:val="normal0"/>
        <w:rPr>
          <w:rFonts w:ascii="Times New Roman" w:eastAsia="Times New Roman" w:hAnsi="Times New Roman" w:cs="Times New Roman"/>
          <w:b/>
          <w:sz w:val="48"/>
          <w:szCs w:val="48"/>
          <w:u w:val="single"/>
        </w:rPr>
      </w:pPr>
      <w:r>
        <w:rPr>
          <w:rFonts w:ascii="Times New Roman" w:eastAsia="Times New Roman" w:hAnsi="Times New Roman" w:cs="Times New Roman"/>
          <w:b/>
          <w:sz w:val="48"/>
          <w:szCs w:val="48"/>
          <w:u w:val="single"/>
        </w:rPr>
        <w:t>1250-word analysis: Assessment :  Lavau Mound</w:t>
      </w:r>
    </w:p>
    <w:p w:rsidR="000E0ED6" w:rsidRDefault="000E0ED6">
      <w:pPr>
        <w:pStyle w:val="normal0"/>
        <w:rPr>
          <w:rFonts w:ascii="Times New Roman" w:eastAsia="Times New Roman" w:hAnsi="Times New Roman" w:cs="Times New Roman"/>
          <w:b/>
          <w:sz w:val="24"/>
          <w:szCs w:val="24"/>
        </w:rPr>
      </w:pPr>
    </w:p>
    <w:p w:rsidR="000E0ED6" w:rsidRDefault="00FA0446" w:rsidP="00A81FC3">
      <w:pPr>
        <w:pStyle w:val="norm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Discovered in France during 2015, Lavau is a burial mound of a late Iron Age ‘prince’ that contains multiple items that effectively display his status in social hierarchy. In this assessment I will comparing Lavau to Pocklington to decide if this French site in question does possess royalty or not</w:t>
      </w:r>
      <w:r w:rsidR="00724101">
        <w:rPr>
          <w:rFonts w:ascii="Times New Roman" w:eastAsia="Times New Roman" w:hAnsi="Times New Roman" w:cs="Times New Roman"/>
          <w:sz w:val="24"/>
          <w:szCs w:val="24"/>
        </w:rPr>
        <w:t xml:space="preserve"> through assessing </w:t>
      </w:r>
      <w:r w:rsidR="004A73B6">
        <w:rPr>
          <w:rFonts w:ascii="Times New Roman" w:eastAsia="Times New Roman" w:hAnsi="Times New Roman" w:cs="Times New Roman"/>
          <w:sz w:val="24"/>
          <w:szCs w:val="24"/>
        </w:rPr>
        <w:t>status</w:t>
      </w:r>
      <w:r>
        <w:rPr>
          <w:rFonts w:ascii="Times New Roman" w:eastAsia="Times New Roman" w:hAnsi="Times New Roman" w:cs="Times New Roman"/>
          <w:sz w:val="24"/>
          <w:szCs w:val="24"/>
        </w:rPr>
        <w:t xml:space="preserve">. One prime example for deciding the status of the buried individual at Lavau would be the chariot establishing him as a warrior </w:t>
      </w:r>
      <w:r w:rsidR="00A81FC3">
        <w:rPr>
          <w:rFonts w:ascii="Times New Roman" w:eastAsia="Times New Roman" w:hAnsi="Times New Roman" w:cs="Times New Roman"/>
          <w:sz w:val="24"/>
          <w:szCs w:val="24"/>
        </w:rPr>
        <w:t xml:space="preserve">and </w:t>
      </w:r>
      <w:r>
        <w:rPr>
          <w:rFonts w:ascii="Times New Roman" w:eastAsia="Times New Roman" w:hAnsi="Times New Roman" w:cs="Times New Roman"/>
          <w:sz w:val="24"/>
          <w:szCs w:val="24"/>
        </w:rPr>
        <w:t xml:space="preserve">man of power potentially acting as a leader during battle or simply an elite warrior. </w:t>
      </w:r>
    </w:p>
    <w:p w:rsidR="000E0ED6" w:rsidRDefault="000E0ED6" w:rsidP="00A81FC3">
      <w:pPr>
        <w:pStyle w:val="normal0"/>
        <w:spacing w:line="480" w:lineRule="auto"/>
        <w:rPr>
          <w:rFonts w:ascii="Times New Roman" w:eastAsia="Times New Roman" w:hAnsi="Times New Roman" w:cs="Times New Roman"/>
          <w:sz w:val="24"/>
          <w:szCs w:val="24"/>
        </w:rPr>
      </w:pPr>
    </w:p>
    <w:p w:rsidR="000E0ED6" w:rsidRDefault="00FA0446" w:rsidP="00A81FC3">
      <w:pPr>
        <w:pStyle w:val="norm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was also pottery and gold-decorated </w:t>
      </w:r>
      <w:r w:rsidR="00A81FC3">
        <w:rPr>
          <w:rFonts w:ascii="Times New Roman" w:eastAsia="Times New Roman" w:hAnsi="Times New Roman" w:cs="Times New Roman"/>
          <w:sz w:val="24"/>
          <w:szCs w:val="24"/>
        </w:rPr>
        <w:t>drink ware</w:t>
      </w:r>
      <w:r>
        <w:rPr>
          <w:rFonts w:ascii="Times New Roman" w:eastAsia="Times New Roman" w:hAnsi="Times New Roman" w:cs="Times New Roman"/>
          <w:sz w:val="24"/>
          <w:szCs w:val="24"/>
        </w:rPr>
        <w:t xml:space="preserve"> as well as a large cauldron decorated with images of the Greek river god Achelous along with eight lion heads. Cauldrons were heavy items often used during feasts, and the man may have been a host of multiple such occasions as a major part of hierarchy, making Lavau more unique compared to common Iron Age burial grounds due to different equipment that shows wealth.  Inside the cauldron there is an image of a Dionysus the god of wine, indicating that the society the man was part of was one that held festivities, a stable of Celtic culture. These were buried alongside the ‘prince’ perhaps to show that festivities were a major part of his life as a host or guest.</w:t>
      </w:r>
      <w:r>
        <w:rPr>
          <w:rFonts w:ascii="Times New Roman" w:eastAsia="Times New Roman" w:hAnsi="Times New Roman" w:cs="Times New Roman"/>
          <w:sz w:val="24"/>
          <w:szCs w:val="24"/>
          <w:highlight w:val="yellow"/>
        </w:rPr>
        <w:t xml:space="preserve"> </w:t>
      </w:r>
    </w:p>
    <w:p w:rsidR="000E0ED6" w:rsidRDefault="00FA0446" w:rsidP="00A81FC3">
      <w:pPr>
        <w:pStyle w:val="norm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researchers also examined a sheath that held a knife, finding that it contained very fine bronze threads</w:t>
      </w:r>
      <w:r>
        <w:rPr>
          <w:rFonts w:ascii="Times New Roman" w:eastAsia="Times New Roman" w:hAnsi="Times New Roman" w:cs="Times New Roman"/>
          <w:sz w:val="24"/>
          <w:szCs w:val="24"/>
          <w:vertAlign w:val="superscript"/>
        </w:rPr>
        <w:footnoteReference w:id="1"/>
      </w:r>
      <w:r>
        <w:rPr>
          <w:rFonts w:ascii="Times New Roman" w:eastAsia="Times New Roman" w:hAnsi="Times New Roman" w:cs="Times New Roman"/>
          <w:sz w:val="24"/>
          <w:szCs w:val="24"/>
        </w:rPr>
        <w:t xml:space="preserve">. They also found a gold </w:t>
      </w:r>
      <w:r w:rsidR="00A81FC3">
        <w:rPr>
          <w:rFonts w:ascii="Times New Roman" w:eastAsia="Times New Roman" w:hAnsi="Times New Roman" w:cs="Times New Roman"/>
          <w:sz w:val="24"/>
          <w:szCs w:val="24"/>
        </w:rPr>
        <w:t>torah</w:t>
      </w:r>
      <w:r>
        <w:rPr>
          <w:rFonts w:ascii="Times New Roman" w:eastAsia="Times New Roman" w:hAnsi="Times New Roman" w:cs="Times New Roman"/>
          <w:sz w:val="24"/>
          <w:szCs w:val="24"/>
        </w:rPr>
        <w:t xml:space="preserve"> as well as several gold bangles indicating the man’s riches, and although gold was very common among a</w:t>
      </w:r>
      <w:r w:rsidR="004A73B6">
        <w:rPr>
          <w:rFonts w:ascii="Times New Roman" w:eastAsia="Times New Roman" w:hAnsi="Times New Roman" w:cs="Times New Roman"/>
          <w:sz w:val="24"/>
          <w:szCs w:val="24"/>
        </w:rPr>
        <w:t xml:space="preserve"> late</w:t>
      </w:r>
      <w:r>
        <w:rPr>
          <w:rFonts w:ascii="Times New Roman" w:eastAsia="Times New Roman" w:hAnsi="Times New Roman" w:cs="Times New Roman"/>
          <w:sz w:val="24"/>
          <w:szCs w:val="24"/>
        </w:rPr>
        <w:t xml:space="preserve"> Iron Age society, the man had numerous pieces alongside other metals such as bronze which was less common than gold, presenting a difference in status between a commoner and a ‘prince’. Researchers at </w:t>
      </w:r>
    </w:p>
    <w:p w:rsidR="000E0ED6" w:rsidRDefault="00FA0446" w:rsidP="00A81FC3">
      <w:pPr>
        <w:pStyle w:val="norm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 France’s National Institute for Preventive Archaeological Research (INRAP) analysed </w:t>
      </w:r>
      <w:r w:rsidR="00A81FC3">
        <w:rPr>
          <w:rFonts w:ascii="Times New Roman" w:eastAsia="Times New Roman" w:hAnsi="Times New Roman" w:cs="Times New Roman"/>
          <w:sz w:val="24"/>
          <w:szCs w:val="24"/>
        </w:rPr>
        <w:t>artefacts</w:t>
      </w:r>
      <w:r>
        <w:rPr>
          <w:rFonts w:ascii="Times New Roman" w:eastAsia="Times New Roman" w:hAnsi="Times New Roman" w:cs="Times New Roman"/>
          <w:sz w:val="24"/>
          <w:szCs w:val="24"/>
        </w:rPr>
        <w:t xml:space="preserve"> found with the prince. Using x-rays, tomography and 3D photography, to determine the state of preservation of the </w:t>
      </w:r>
      <w:r w:rsidR="00A81FC3">
        <w:rPr>
          <w:rFonts w:ascii="Times New Roman" w:eastAsia="Times New Roman" w:hAnsi="Times New Roman" w:cs="Times New Roman"/>
          <w:sz w:val="24"/>
          <w:szCs w:val="24"/>
        </w:rPr>
        <w:t>artefacts</w:t>
      </w:r>
      <w:r>
        <w:rPr>
          <w:rFonts w:ascii="Times New Roman" w:eastAsia="Times New Roman" w:hAnsi="Times New Roman" w:cs="Times New Roman"/>
          <w:sz w:val="24"/>
          <w:szCs w:val="24"/>
        </w:rPr>
        <w:t xml:space="preserve"> as well as their composition.</w:t>
      </w:r>
    </w:p>
    <w:p w:rsidR="000E0ED6" w:rsidRDefault="000E0ED6" w:rsidP="00A81FC3">
      <w:pPr>
        <w:pStyle w:val="normal0"/>
        <w:spacing w:line="480" w:lineRule="auto"/>
        <w:rPr>
          <w:rFonts w:ascii="Times New Roman" w:eastAsia="Times New Roman" w:hAnsi="Times New Roman" w:cs="Times New Roman"/>
          <w:sz w:val="24"/>
          <w:szCs w:val="24"/>
        </w:rPr>
      </w:pPr>
    </w:p>
    <w:p w:rsidR="000E0ED6" w:rsidRDefault="00FA0446" w:rsidP="00A81FC3">
      <w:pPr>
        <w:pStyle w:val="norm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According to Surugue, the analysis shows that a belt worn by the prince was woven with threads made of silver, not found in other Iron Age </w:t>
      </w:r>
      <w:r w:rsidR="00A81FC3">
        <w:rPr>
          <w:rFonts w:ascii="Times New Roman" w:eastAsia="Times New Roman" w:hAnsi="Times New Roman" w:cs="Times New Roman"/>
          <w:sz w:val="24"/>
          <w:szCs w:val="24"/>
        </w:rPr>
        <w:t>artefacts</w:t>
      </w:r>
      <w:r>
        <w:rPr>
          <w:rFonts w:ascii="Times New Roman" w:eastAsia="Times New Roman" w:hAnsi="Times New Roman" w:cs="Times New Roman"/>
          <w:sz w:val="24"/>
          <w:szCs w:val="24"/>
        </w:rPr>
        <w:t>. Analysis of the bronze in the cauldron shows it was produced by master craftsman</w:t>
      </w:r>
      <w:r>
        <w:rPr>
          <w:rFonts w:ascii="Times New Roman" w:eastAsia="Times New Roman" w:hAnsi="Times New Roman" w:cs="Times New Roman"/>
          <w:sz w:val="24"/>
          <w:szCs w:val="24"/>
          <w:vertAlign w:val="superscript"/>
        </w:rPr>
        <w:footnoteReference w:id="2"/>
      </w:r>
      <w:r>
        <w:rPr>
          <w:rFonts w:ascii="Times New Roman" w:eastAsia="Times New Roman" w:hAnsi="Times New Roman" w:cs="Times New Roman"/>
          <w:sz w:val="24"/>
          <w:szCs w:val="24"/>
        </w:rPr>
        <w:t xml:space="preserve">. Also at the grave site was a jug made of Greek ceramic decorated in gold with Etruscan figures, that also includes silver Celtic designs, linking both Greek and Celtic cultures together. The wine cauldron not only represents the deceased's wealth and power, it also reflects the growing interaction between the Celtic elites and the Mediterranean world. Another interesting discovery was a perforated silver spoon that was part of the banquet utensils, presumably to filter the wine, adding to the idea that this </w:t>
      </w:r>
      <w:r w:rsidR="004A73B6">
        <w:rPr>
          <w:rFonts w:ascii="Times New Roman" w:eastAsia="Times New Roman" w:hAnsi="Times New Roman" w:cs="Times New Roman"/>
          <w:sz w:val="24"/>
          <w:szCs w:val="24"/>
        </w:rPr>
        <w:t>'</w:t>
      </w:r>
      <w:r>
        <w:rPr>
          <w:rFonts w:ascii="Times New Roman" w:eastAsia="Times New Roman" w:hAnsi="Times New Roman" w:cs="Times New Roman"/>
          <w:sz w:val="24"/>
          <w:szCs w:val="24"/>
        </w:rPr>
        <w:t>prince</w:t>
      </w:r>
      <w:r w:rsidR="004A73B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was a host of feasts accommodating multiple guests rather than appeasing himself. A individual of lower status would not have possessed a cauldron alongside a spoon of that quality, indicating the importance of this </w:t>
      </w:r>
      <w:r w:rsidR="004A73B6">
        <w:rPr>
          <w:rFonts w:ascii="Times New Roman" w:eastAsia="Times New Roman" w:hAnsi="Times New Roman" w:cs="Times New Roman"/>
          <w:sz w:val="24"/>
          <w:szCs w:val="24"/>
        </w:rPr>
        <w:t>'</w:t>
      </w:r>
      <w:r>
        <w:rPr>
          <w:rFonts w:ascii="Times New Roman" w:eastAsia="Times New Roman" w:hAnsi="Times New Roman" w:cs="Times New Roman"/>
          <w:sz w:val="24"/>
          <w:szCs w:val="24"/>
        </w:rPr>
        <w:t>prince</w:t>
      </w:r>
      <w:r w:rsidR="004A73B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w:t>
      </w:r>
    </w:p>
    <w:p w:rsidR="000E0ED6" w:rsidRDefault="00FA0446" w:rsidP="00A81FC3">
      <w:pPr>
        <w:pStyle w:val="norm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Altogether these items help establish the importance of the </w:t>
      </w:r>
      <w:r w:rsidR="004A73B6">
        <w:rPr>
          <w:rFonts w:ascii="Times New Roman" w:eastAsia="Times New Roman" w:hAnsi="Times New Roman" w:cs="Times New Roman"/>
          <w:sz w:val="24"/>
          <w:szCs w:val="24"/>
        </w:rPr>
        <w:t>man</w:t>
      </w:r>
      <w:r>
        <w:rPr>
          <w:rFonts w:ascii="Times New Roman" w:eastAsia="Times New Roman" w:hAnsi="Times New Roman" w:cs="Times New Roman"/>
          <w:sz w:val="24"/>
          <w:szCs w:val="24"/>
        </w:rPr>
        <w:t xml:space="preserve">, possessing metals other Celts rarely held and a uniquely designed Greek ceramic jug, distinguishing the </w:t>
      </w:r>
      <w:r w:rsidR="004A73B6">
        <w:rPr>
          <w:rFonts w:ascii="Times New Roman" w:eastAsia="Times New Roman" w:hAnsi="Times New Roman" w:cs="Times New Roman"/>
          <w:sz w:val="24"/>
          <w:szCs w:val="24"/>
        </w:rPr>
        <w:t>'</w:t>
      </w:r>
      <w:r>
        <w:rPr>
          <w:rFonts w:ascii="Times New Roman" w:eastAsia="Times New Roman" w:hAnsi="Times New Roman" w:cs="Times New Roman"/>
          <w:sz w:val="24"/>
          <w:szCs w:val="24"/>
        </w:rPr>
        <w:t>prince</w:t>
      </w:r>
      <w:r w:rsidR="004A73B6">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from others as the peak of </w:t>
      </w:r>
      <w:r w:rsidR="004A73B6">
        <w:rPr>
          <w:rFonts w:ascii="Times New Roman" w:eastAsia="Times New Roman" w:hAnsi="Times New Roman" w:cs="Times New Roman"/>
          <w:sz w:val="24"/>
          <w:szCs w:val="24"/>
        </w:rPr>
        <w:t>Iron Age</w:t>
      </w:r>
      <w:r>
        <w:rPr>
          <w:rFonts w:ascii="Times New Roman" w:eastAsia="Times New Roman" w:hAnsi="Times New Roman" w:cs="Times New Roman"/>
          <w:sz w:val="24"/>
          <w:szCs w:val="24"/>
        </w:rPr>
        <w:t xml:space="preserve"> social hierarchy. </w:t>
      </w:r>
    </w:p>
    <w:p w:rsidR="000E0ED6" w:rsidRDefault="000E0ED6" w:rsidP="00A81FC3">
      <w:pPr>
        <w:pStyle w:val="normal0"/>
        <w:spacing w:line="480" w:lineRule="auto"/>
        <w:rPr>
          <w:rFonts w:ascii="Times New Roman" w:eastAsia="Times New Roman" w:hAnsi="Times New Roman" w:cs="Times New Roman"/>
          <w:sz w:val="24"/>
          <w:szCs w:val="24"/>
        </w:rPr>
      </w:pPr>
    </w:p>
    <w:p w:rsidR="000E0ED6" w:rsidRDefault="00FA0446" w:rsidP="00A81FC3">
      <w:pPr>
        <w:pStyle w:val="norm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importing of Greek items by these people could also be done by lower status individuals, potentially through the trade system of these people, so such an item may no longer be considered a sign of elite distinction</w:t>
      </w:r>
      <w:r>
        <w:rPr>
          <w:rFonts w:ascii="Times New Roman" w:eastAsia="Times New Roman" w:hAnsi="Times New Roman" w:cs="Times New Roman"/>
          <w:sz w:val="24"/>
          <w:szCs w:val="24"/>
          <w:vertAlign w:val="superscript"/>
        </w:rPr>
        <w:footnoteReference w:id="3"/>
      </w:r>
      <w:r>
        <w:rPr>
          <w:rFonts w:ascii="Times New Roman" w:eastAsia="Times New Roman" w:hAnsi="Times New Roman" w:cs="Times New Roman"/>
          <w:sz w:val="24"/>
          <w:szCs w:val="24"/>
        </w:rPr>
        <w:t xml:space="preserve">. The man’s burial doesn’t include any weapons, leading to speculation that it belonged to a woman of high status, though eventually the body was </w:t>
      </w:r>
      <w:r>
        <w:rPr>
          <w:rFonts w:ascii="Times New Roman" w:eastAsia="Times New Roman" w:hAnsi="Times New Roman" w:cs="Times New Roman"/>
          <w:sz w:val="24"/>
          <w:szCs w:val="24"/>
        </w:rPr>
        <w:lastRenderedPageBreak/>
        <w:t>discovered to be a man due to DNA testing. The possession of many gold items among other items indicating importance besides weapons.</w:t>
      </w:r>
      <w:r>
        <w:rPr>
          <w:rFonts w:ascii="Times New Roman" w:eastAsia="Times New Roman" w:hAnsi="Times New Roman" w:cs="Times New Roman"/>
          <w:sz w:val="24"/>
          <w:szCs w:val="24"/>
          <w:highlight w:val="yellow"/>
        </w:rPr>
        <w:t xml:space="preserve"> </w:t>
      </w:r>
      <w:r>
        <w:rPr>
          <w:rFonts w:ascii="Times New Roman" w:eastAsia="Times New Roman" w:hAnsi="Times New Roman" w:cs="Times New Roman"/>
          <w:sz w:val="24"/>
          <w:szCs w:val="24"/>
        </w:rPr>
        <w:t xml:space="preserve"> </w:t>
      </w:r>
    </w:p>
    <w:p w:rsidR="000E0ED6" w:rsidRDefault="00FA0446" w:rsidP="00A81FC3">
      <w:pPr>
        <w:pStyle w:val="norm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importance of the man himself can be speculated, because of the amount of possessions being well valued show that their owner must have had a sphere of influence. To quote archaeologist Bastien Dubis “All this wealth is a reflection of the central importance of the character buried here, who exercised economic and political power in the region.”</w:t>
      </w:r>
      <w:r>
        <w:rPr>
          <w:rFonts w:ascii="Times New Roman" w:eastAsia="Times New Roman" w:hAnsi="Times New Roman" w:cs="Times New Roman"/>
          <w:sz w:val="24"/>
          <w:szCs w:val="24"/>
          <w:vertAlign w:val="superscript"/>
        </w:rPr>
        <w:footnoteReference w:id="4"/>
      </w:r>
    </w:p>
    <w:p w:rsidR="000E0ED6" w:rsidRDefault="00FA0446" w:rsidP="00A81FC3">
      <w:pPr>
        <w:pStyle w:val="norm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0E0ED6" w:rsidRDefault="00FA0446" w:rsidP="00A81FC3">
      <w:pPr>
        <w:pStyle w:val="norm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chariot burial in the mound differs from the Pocklington site in Yorkshire, possibly due to the contrasting cultures. Pocklington coming from the Arras culture, that has unique burial customs with chariots for example including horses that drove the vehicle.  The chariot was located in the final square barrow to be excavated, and on the periphery of the cemetery and to quote Paula Ware. “The chariot at Burnby Lane is only the 26th one to be excavated in the country and the inclusion of horses raises the significance of the burial.”</w:t>
      </w:r>
      <w:r>
        <w:rPr>
          <w:rFonts w:ascii="Times New Roman" w:eastAsia="Times New Roman" w:hAnsi="Times New Roman" w:cs="Times New Roman"/>
          <w:sz w:val="24"/>
          <w:szCs w:val="24"/>
          <w:vertAlign w:val="superscript"/>
        </w:rPr>
        <w:footnoteReference w:id="5"/>
      </w:r>
    </w:p>
    <w:p w:rsidR="000E0ED6" w:rsidRDefault="00FA0446" w:rsidP="00A81FC3">
      <w:pPr>
        <w:pStyle w:val="norm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circular wheel associated in close proximity to the horse skeleton suggests that the animals played a crucial role in the burial ceremony, a custom not apparent in Hallstatt culture which the Lavau mound follows. The chariot was the rare possession of a high status individual, though not as important as the man at Lavau, the owner was clearly a mighty warrior. But the deliberate inclusion of the horses as part of the burial rite is strange indeed showing this burial’s uniqueness. Enemy warriors were also buried, possessing low status due to a lack of items. The enemy warrior within this site died violently possibly during battle, being buried at a much greater depth than others.  The warrior was buried with little items indicating low status and was placed face down in a deep dug grave. A deeply dug grave is believed to have been seen as a way of preventing an angry, bitter or evil deceased individual, perhaps even an </w:t>
      </w:r>
      <w:r>
        <w:rPr>
          <w:rFonts w:ascii="Times New Roman" w:eastAsia="Times New Roman" w:hAnsi="Times New Roman" w:cs="Times New Roman"/>
          <w:sz w:val="24"/>
          <w:szCs w:val="24"/>
        </w:rPr>
        <w:lastRenderedPageBreak/>
        <w:t xml:space="preserve">enemy, from rising from the dead and haunting or hurting the living. The idea of an evil spirit and  its validity is up to interpretation.  </w:t>
      </w:r>
    </w:p>
    <w:p w:rsidR="000E0ED6" w:rsidRDefault="000E0ED6" w:rsidP="00A81FC3">
      <w:pPr>
        <w:pStyle w:val="normal0"/>
        <w:spacing w:line="480" w:lineRule="auto"/>
        <w:rPr>
          <w:rFonts w:ascii="Times New Roman" w:eastAsia="Times New Roman" w:hAnsi="Times New Roman" w:cs="Times New Roman"/>
          <w:sz w:val="24"/>
          <w:szCs w:val="24"/>
        </w:rPr>
      </w:pPr>
    </w:p>
    <w:p w:rsidR="000E0ED6" w:rsidRDefault="00FA0446" w:rsidP="00A81FC3">
      <w:pPr>
        <w:pStyle w:val="norm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warrior was also at Pocklington who, unlike the man at Lavau, possessed weapons representing his status, and being buried on top of his wooden shield with its leather strap arranged around him so that the decorative strap fastener was positioned on top of his torso. Though not as grand as the ‘prince’, the warrior clearly displayed his battle tendencies revolving around his life, while wealthier individuals possess multiple items that represented themselves such as cauldrons with unique designs and </w:t>
      </w:r>
      <w:r w:rsidR="00A81FC3">
        <w:rPr>
          <w:rFonts w:ascii="Times New Roman" w:eastAsia="Times New Roman" w:hAnsi="Times New Roman" w:cs="Times New Roman"/>
          <w:sz w:val="24"/>
          <w:szCs w:val="24"/>
        </w:rPr>
        <w:t>jewelleries</w:t>
      </w:r>
      <w:r>
        <w:rPr>
          <w:rFonts w:ascii="Times New Roman" w:eastAsia="Times New Roman" w:hAnsi="Times New Roman" w:cs="Times New Roman"/>
          <w:sz w:val="24"/>
          <w:szCs w:val="24"/>
        </w:rPr>
        <w:t xml:space="preserve">.  </w:t>
      </w:r>
    </w:p>
    <w:p w:rsidR="000E0ED6" w:rsidRDefault="00FA0446" w:rsidP="00A81FC3">
      <w:pPr>
        <w:pStyle w:val="norm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Lavau mound being a recent discovery like the compared Pocklington site, does not possess much literature about it, and with both sides still being excavated today, limit analysis upon them.  However the Lavau mound does portray a individual with perhaps the greatest hierarchical spot of Iron Age society, with a burial site covered in rich commodities as well as </w:t>
      </w:r>
      <w:r w:rsidR="00A81FC3">
        <w:rPr>
          <w:rFonts w:ascii="Times New Roman" w:eastAsia="Times New Roman" w:hAnsi="Times New Roman" w:cs="Times New Roman"/>
          <w:sz w:val="24"/>
          <w:szCs w:val="24"/>
        </w:rPr>
        <w:t>jewellery</w:t>
      </w:r>
      <w:r>
        <w:rPr>
          <w:rFonts w:ascii="Times New Roman" w:eastAsia="Times New Roman" w:hAnsi="Times New Roman" w:cs="Times New Roman"/>
          <w:sz w:val="24"/>
          <w:szCs w:val="24"/>
        </w:rPr>
        <w:t xml:space="preserve">, and a mound dedicated to a single being, thus can be assumed to be a prince. </w:t>
      </w:r>
    </w:p>
    <w:p w:rsidR="000E0ED6" w:rsidRDefault="000E0ED6" w:rsidP="00A81FC3">
      <w:pPr>
        <w:pStyle w:val="normal0"/>
        <w:spacing w:line="480" w:lineRule="auto"/>
        <w:rPr>
          <w:rFonts w:ascii="Times New Roman" w:eastAsia="Times New Roman" w:hAnsi="Times New Roman" w:cs="Times New Roman"/>
          <w:sz w:val="24"/>
          <w:szCs w:val="24"/>
        </w:rPr>
      </w:pPr>
    </w:p>
    <w:p w:rsidR="000E0ED6" w:rsidRDefault="00FA0446" w:rsidP="00A81FC3">
      <w:pPr>
        <w:pStyle w:val="norm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prince’s cauldron can speak for the trading between his community and others, with the decorations being  Etruscan and Greek. The presence of deities from Etruscan and Greek cultures suggests beneficial and courteous interactions and relationships between different cultures. Uniqueness of the cauldron adds to the status of this man, having decorations dedicated to multiple gods, perhaps being prestigious among his community  representing successful trading and strong relations with Greek traders among other potential contacts. Due to the lack of weapons within the prince’s mound, in order to understand his status in his local hierarchy, people must rely on the items buried with him including the cauldron among others speculating its significance. </w:t>
      </w:r>
    </w:p>
    <w:p w:rsidR="000E0ED6" w:rsidRDefault="000E0ED6" w:rsidP="00A81FC3">
      <w:pPr>
        <w:pStyle w:val="normal0"/>
        <w:spacing w:line="480" w:lineRule="auto"/>
        <w:rPr>
          <w:rFonts w:ascii="Times New Roman" w:eastAsia="Times New Roman" w:hAnsi="Times New Roman" w:cs="Times New Roman"/>
          <w:sz w:val="24"/>
          <w:szCs w:val="24"/>
        </w:rPr>
      </w:pPr>
    </w:p>
    <w:p w:rsidR="000E0ED6" w:rsidRDefault="00FA0446" w:rsidP="00A81FC3">
      <w:pPr>
        <w:pStyle w:val="norm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Summarising  the assessment, the Lavau mound portrays social hierarchy of Iron Age society for possessing multiple items that display a princely status from unique designs such as the Greek inspired cauldron suggesting that this prince hosted multiple feasts attracting many who could also </w:t>
      </w:r>
      <w:r w:rsidR="00A81FC3">
        <w:rPr>
          <w:rFonts w:ascii="Times New Roman" w:eastAsia="Times New Roman" w:hAnsi="Times New Roman" w:cs="Times New Roman"/>
          <w:sz w:val="24"/>
          <w:szCs w:val="24"/>
        </w:rPr>
        <w:t>bestow</w:t>
      </w:r>
      <w:r>
        <w:rPr>
          <w:rFonts w:ascii="Times New Roman" w:eastAsia="Times New Roman" w:hAnsi="Times New Roman" w:cs="Times New Roman"/>
          <w:sz w:val="24"/>
          <w:szCs w:val="24"/>
        </w:rPr>
        <w:t xml:space="preserve"> further gifts. In contrast to the Pocklington site where the buried individual I covered only possesses a shield being part of lower status, showing the social hierarchy of the Iron Age world. The greater prestige of items and sheer number within a grave, the greater status of that individual. </w:t>
      </w:r>
    </w:p>
    <w:p w:rsidR="000E0ED6" w:rsidRDefault="00FA0446" w:rsidP="00A81FC3">
      <w:pPr>
        <w:pStyle w:val="normal0"/>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conclude the Lavau mound is useful for understanding the social hierarchy of the Celts despite still being excavated, possessing numerous pieces that speak for the prince’s community such as possible trading contacts, what the Hallstatt culture valued such as vases among others. </w:t>
      </w:r>
    </w:p>
    <w:p w:rsidR="000E0ED6" w:rsidRDefault="000E0ED6">
      <w:pPr>
        <w:pStyle w:val="normal0"/>
        <w:rPr>
          <w:rFonts w:ascii="Times New Roman" w:eastAsia="Times New Roman" w:hAnsi="Times New Roman" w:cs="Times New Roman"/>
          <w:sz w:val="24"/>
          <w:szCs w:val="24"/>
        </w:rPr>
      </w:pPr>
    </w:p>
    <w:p w:rsidR="000E0ED6" w:rsidRDefault="00E846AE">
      <w:pPr>
        <w:pStyle w:val="normal0"/>
      </w:pPr>
      <w:r>
        <w:t>Word count: 1363</w:t>
      </w:r>
    </w:p>
    <w:p w:rsidR="000E0ED6" w:rsidRDefault="000E0ED6">
      <w:pPr>
        <w:pStyle w:val="normal0"/>
        <w:rPr>
          <w:rFonts w:ascii="Times New Roman" w:eastAsia="Times New Roman" w:hAnsi="Times New Roman" w:cs="Times New Roman"/>
          <w:b/>
          <w:sz w:val="24"/>
          <w:szCs w:val="24"/>
          <w:u w:val="single"/>
        </w:rPr>
      </w:pPr>
    </w:p>
    <w:p w:rsidR="000E0ED6" w:rsidRDefault="00FA0446">
      <w:pPr>
        <w:pStyle w:val="normal0"/>
        <w:rPr>
          <w:rFonts w:ascii="Times New Roman" w:eastAsia="Times New Roman" w:hAnsi="Times New Roman" w:cs="Times New Roman"/>
          <w:b/>
          <w:sz w:val="24"/>
          <w:szCs w:val="24"/>
          <w:u w:val="single"/>
        </w:rPr>
      </w:pPr>
      <w:r>
        <w:rPr>
          <w:rFonts w:ascii="Times New Roman" w:eastAsia="Times New Roman" w:hAnsi="Times New Roman" w:cs="Times New Roman"/>
          <w:b/>
          <w:sz w:val="24"/>
          <w:szCs w:val="24"/>
          <w:u w:val="single"/>
        </w:rPr>
        <w:t>Bibliography</w:t>
      </w:r>
    </w:p>
    <w:p w:rsidR="000E0ED6" w:rsidRDefault="000E0ED6">
      <w:pPr>
        <w:pStyle w:val="normal0"/>
        <w:rPr>
          <w:rFonts w:ascii="Times New Roman" w:eastAsia="Times New Roman" w:hAnsi="Times New Roman" w:cs="Times New Roman"/>
          <w:b/>
          <w:sz w:val="24"/>
          <w:szCs w:val="24"/>
          <w:u w:val="single"/>
        </w:rPr>
      </w:pPr>
    </w:p>
    <w:p w:rsidR="000E0ED6" w:rsidRDefault="00FA0446">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w:t>
      </w:r>
      <w:proofErr w:type="spellStart"/>
      <w:r>
        <w:rPr>
          <w:rFonts w:ascii="Times New Roman" w:eastAsia="Times New Roman" w:hAnsi="Times New Roman" w:cs="Times New Roman"/>
          <w:i/>
          <w:sz w:val="24"/>
          <w:szCs w:val="24"/>
        </w:rPr>
        <w:t>Inrap</w:t>
      </w:r>
      <w:proofErr w:type="spellEnd"/>
      <w:r>
        <w:rPr>
          <w:rFonts w:ascii="Times New Roman" w:eastAsia="Times New Roman" w:hAnsi="Times New Roman" w:cs="Times New Roman"/>
          <w:i/>
          <w:sz w:val="24"/>
          <w:szCs w:val="24"/>
        </w:rPr>
        <w:t xml:space="preserve"> Le </w:t>
      </w:r>
      <w:proofErr w:type="spellStart"/>
      <w:r>
        <w:rPr>
          <w:rFonts w:ascii="Times New Roman" w:eastAsia="Times New Roman" w:hAnsi="Times New Roman" w:cs="Times New Roman"/>
          <w:i/>
          <w:sz w:val="24"/>
          <w:szCs w:val="24"/>
        </w:rPr>
        <w:t>mobilier</w:t>
      </w:r>
      <w:proofErr w:type="spellEnd"/>
      <w:r>
        <w:rPr>
          <w:rFonts w:ascii="Times New Roman" w:eastAsia="Times New Roman" w:hAnsi="Times New Roman" w:cs="Times New Roman"/>
          <w:i/>
          <w:sz w:val="24"/>
          <w:szCs w:val="24"/>
        </w:rPr>
        <w:t xml:space="preserve"> </w:t>
      </w:r>
      <w:proofErr w:type="spellStart"/>
      <w:r>
        <w:rPr>
          <w:rFonts w:ascii="Times New Roman" w:eastAsia="Times New Roman" w:hAnsi="Times New Roman" w:cs="Times New Roman"/>
          <w:i/>
          <w:sz w:val="24"/>
          <w:szCs w:val="24"/>
        </w:rPr>
        <w:t>funéraire</w:t>
      </w:r>
      <w:proofErr w:type="spellEnd"/>
      <w:r>
        <w:rPr>
          <w:rFonts w:ascii="Times New Roman" w:eastAsia="Times New Roman" w:hAnsi="Times New Roman" w:cs="Times New Roman"/>
          <w:i/>
          <w:sz w:val="24"/>
          <w:szCs w:val="24"/>
        </w:rPr>
        <w:t xml:space="preserve"> du prince de Lavau </w:t>
      </w:r>
      <w:proofErr w:type="spellStart"/>
      <w:r>
        <w:rPr>
          <w:rFonts w:ascii="Times New Roman" w:eastAsia="Times New Roman" w:hAnsi="Times New Roman" w:cs="Times New Roman"/>
          <w:i/>
          <w:sz w:val="24"/>
          <w:szCs w:val="24"/>
        </w:rPr>
        <w:t>étudié</w:t>
      </w:r>
      <w:proofErr w:type="spellEnd"/>
      <w:r>
        <w:rPr>
          <w:rFonts w:ascii="Times New Roman" w:eastAsia="Times New Roman" w:hAnsi="Times New Roman" w:cs="Times New Roman"/>
          <w:i/>
          <w:sz w:val="24"/>
          <w:szCs w:val="24"/>
        </w:rPr>
        <w:t xml:space="preserve"> au C2RMF</w:t>
      </w:r>
      <w:r>
        <w:rPr>
          <w:rFonts w:ascii="Times New Roman" w:eastAsia="Times New Roman" w:hAnsi="Times New Roman" w:cs="Times New Roman"/>
          <w:sz w:val="24"/>
          <w:szCs w:val="24"/>
        </w:rPr>
        <w:t xml:space="preserve"> published  29 May 2017 </w:t>
      </w:r>
    </w:p>
    <w:p w:rsidR="000E0ED6" w:rsidRDefault="00FA0446">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hyperlink r:id="rId6">
        <w:r>
          <w:rPr>
            <w:rFonts w:ascii="Times New Roman" w:eastAsia="Times New Roman" w:hAnsi="Times New Roman" w:cs="Times New Roman"/>
            <w:color w:val="1155CC"/>
            <w:sz w:val="24"/>
            <w:szCs w:val="24"/>
            <w:u w:val="single"/>
          </w:rPr>
          <w:t>https://www.inrap.fr/le-mobilier-funeraire-du-prince-de-lavau-etudie-au-c2rmf-12728</w:t>
        </w:r>
      </w:hyperlink>
      <w:r>
        <w:rPr>
          <w:rFonts w:ascii="Times New Roman" w:eastAsia="Times New Roman" w:hAnsi="Times New Roman" w:cs="Times New Roman"/>
          <w:sz w:val="24"/>
          <w:szCs w:val="24"/>
        </w:rPr>
        <w:t xml:space="preserve">  accessed (9/1/19)</w:t>
      </w:r>
    </w:p>
    <w:p w:rsidR="000E0ED6" w:rsidRDefault="00FA0446">
      <w:pPr>
        <w:pStyle w:val="normal0"/>
        <w:spacing w:line="240" w:lineRule="auto"/>
        <w:rPr>
          <w:rFonts w:ascii="Times New Roman" w:eastAsia="Times New Roman" w:hAnsi="Times New Roman" w:cs="Times New Roman"/>
          <w:i/>
          <w:sz w:val="24"/>
          <w:szCs w:val="24"/>
        </w:rPr>
      </w:pPr>
      <w:r>
        <w:rPr>
          <w:rFonts w:ascii="Times New Roman" w:eastAsia="Times New Roman" w:hAnsi="Times New Roman" w:cs="Times New Roman"/>
          <w:sz w:val="24"/>
          <w:szCs w:val="24"/>
        </w:rPr>
        <w:t xml:space="preserve">2 -  Jason Daley </w:t>
      </w:r>
      <w:r>
        <w:rPr>
          <w:rFonts w:ascii="Times New Roman" w:eastAsia="Times New Roman" w:hAnsi="Times New Roman" w:cs="Times New Roman"/>
          <w:i/>
          <w:sz w:val="24"/>
          <w:szCs w:val="24"/>
        </w:rPr>
        <w:t xml:space="preserve">Researchers Analyze Burial of Ancient Celtic Prince </w:t>
      </w:r>
      <w:r>
        <w:rPr>
          <w:rFonts w:ascii="Times New Roman" w:eastAsia="Times New Roman" w:hAnsi="Times New Roman" w:cs="Times New Roman"/>
          <w:sz w:val="24"/>
          <w:szCs w:val="24"/>
        </w:rPr>
        <w:t>(June 1, 2017)</w:t>
      </w:r>
    </w:p>
    <w:p w:rsidR="000E0ED6" w:rsidRDefault="00FA0446">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accessed at </w:t>
      </w:r>
      <w:hyperlink r:id="rId7">
        <w:r>
          <w:rPr>
            <w:rFonts w:ascii="Times New Roman" w:eastAsia="Times New Roman" w:hAnsi="Times New Roman" w:cs="Times New Roman"/>
            <w:color w:val="1155CC"/>
            <w:sz w:val="24"/>
            <w:szCs w:val="24"/>
            <w:u w:val="single"/>
          </w:rPr>
          <w:t>/https://www.smithsonianmag.com/smart-news/researchers-analyze-burial-ancient-celtic-prince-180963515</w:t>
        </w:r>
      </w:hyperlink>
      <w:r>
        <w:rPr>
          <w:rFonts w:ascii="Times New Roman" w:eastAsia="Times New Roman" w:hAnsi="Times New Roman" w:cs="Times New Roman"/>
          <w:sz w:val="24"/>
          <w:szCs w:val="24"/>
        </w:rPr>
        <w:t xml:space="preserve">  (9/1/19)</w:t>
      </w:r>
    </w:p>
    <w:p w:rsidR="000E0ED6" w:rsidRDefault="00FA0446">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3 -  Peter Bogucki </w:t>
      </w:r>
      <w:r>
        <w:rPr>
          <w:rFonts w:ascii="Times New Roman" w:eastAsia="Times New Roman" w:hAnsi="Times New Roman" w:cs="Times New Roman"/>
          <w:i/>
          <w:sz w:val="24"/>
          <w:szCs w:val="24"/>
        </w:rPr>
        <w:t xml:space="preserve">The Barbarians: Lost Civilizations </w:t>
      </w:r>
      <w:r>
        <w:rPr>
          <w:rFonts w:ascii="Times New Roman" w:eastAsia="Times New Roman" w:hAnsi="Times New Roman" w:cs="Times New Roman"/>
          <w:sz w:val="24"/>
          <w:szCs w:val="24"/>
        </w:rPr>
        <w:t xml:space="preserve">published by </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Reaktion Books (1 Jun. 2017) </w:t>
      </w:r>
    </w:p>
    <w:p w:rsidR="000E0ED6" w:rsidRDefault="00FA0446">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4 - Jason Urbanus </w:t>
      </w:r>
      <w:r>
        <w:rPr>
          <w:rFonts w:ascii="Times New Roman" w:eastAsia="Times New Roman" w:hAnsi="Times New Roman" w:cs="Times New Roman"/>
          <w:i/>
          <w:sz w:val="24"/>
          <w:szCs w:val="24"/>
        </w:rPr>
        <w:t xml:space="preserve"> Tomb of a Highborn Celt</w:t>
      </w:r>
      <w:r>
        <w:rPr>
          <w:rFonts w:ascii="Times New Roman" w:eastAsia="Times New Roman" w:hAnsi="Times New Roman" w:cs="Times New Roman"/>
          <w:sz w:val="24"/>
          <w:szCs w:val="24"/>
        </w:rPr>
        <w:t xml:space="preserve"> published by Archaeology (January/February 2016) accessed at </w:t>
      </w:r>
      <w:hyperlink r:id="rId8">
        <w:r>
          <w:rPr>
            <w:rFonts w:ascii="Times New Roman" w:eastAsia="Times New Roman" w:hAnsi="Times New Roman" w:cs="Times New Roman"/>
            <w:color w:val="1155CC"/>
            <w:sz w:val="24"/>
            <w:szCs w:val="24"/>
            <w:u w:val="single"/>
          </w:rPr>
          <w:t>https://www.archaeology.org/issues/200-1601/features/3954-france-iron-age-celtic-burial</w:t>
        </w:r>
      </w:hyperlink>
      <w:r>
        <w:rPr>
          <w:rFonts w:ascii="Times New Roman" w:eastAsia="Times New Roman" w:hAnsi="Times New Roman" w:cs="Times New Roman"/>
          <w:sz w:val="24"/>
          <w:szCs w:val="24"/>
        </w:rPr>
        <w:t xml:space="preserve">  (11/1/19)</w:t>
      </w:r>
    </w:p>
    <w:p w:rsidR="000E0ED6" w:rsidRDefault="00FA0446">
      <w:pPr>
        <w:pStyle w:val="normal0"/>
        <w:spacing w:line="240" w:lineRule="auto"/>
        <w:rPr>
          <w:rFonts w:ascii="Times New Roman" w:eastAsia="Times New Roman" w:hAnsi="Times New Roman" w:cs="Times New Roman"/>
          <w:color w:val="1155CC"/>
          <w:sz w:val="24"/>
          <w:szCs w:val="24"/>
          <w:u w:val="single"/>
        </w:rPr>
      </w:pPr>
      <w:r>
        <w:rPr>
          <w:rFonts w:ascii="Times New Roman" w:eastAsia="Times New Roman" w:hAnsi="Times New Roman" w:cs="Times New Roman"/>
          <w:sz w:val="24"/>
          <w:szCs w:val="24"/>
        </w:rPr>
        <w:t xml:space="preserve">5 -  Celtic World, </w:t>
      </w:r>
      <w:r>
        <w:rPr>
          <w:rFonts w:ascii="Times New Roman" w:eastAsia="Times New Roman" w:hAnsi="Times New Roman" w:cs="Times New Roman"/>
          <w:i/>
          <w:sz w:val="24"/>
          <w:szCs w:val="24"/>
        </w:rPr>
        <w:t xml:space="preserve">More details about the new Iron Age Chariot and horse skeleton site </w:t>
      </w:r>
      <w:r>
        <w:rPr>
          <w:rFonts w:ascii="Times New Roman" w:eastAsia="Times New Roman" w:hAnsi="Times New Roman" w:cs="Times New Roman"/>
          <w:sz w:val="24"/>
          <w:szCs w:val="24"/>
        </w:rPr>
        <w:t xml:space="preserve"> (March 31, 2017)</w:t>
      </w:r>
      <w:r w:rsidR="00880CCC">
        <w:fldChar w:fldCharType="begin"/>
      </w:r>
      <w:r>
        <w:instrText xml:space="preserve"> HYPERLINK "http://celticmythshow.com/news/more-details-new-iron-age-chariot-and-horse-site/" </w:instrText>
      </w:r>
      <w:r w:rsidR="00880CCC">
        <w:fldChar w:fldCharType="separate"/>
      </w:r>
    </w:p>
    <w:p w:rsidR="000E0ED6" w:rsidRDefault="00FA0446">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color w:val="1155CC"/>
          <w:sz w:val="24"/>
          <w:szCs w:val="24"/>
          <w:u w:val="single"/>
        </w:rPr>
        <w:t>http://celticmythshow.com/news/more-details-new-iron-age-chariot-and-horse-site/</w:t>
      </w:r>
      <w:r w:rsidR="00880CCC">
        <w:fldChar w:fldCharType="end"/>
      </w:r>
      <w:r>
        <w:rPr>
          <w:rFonts w:ascii="Times New Roman" w:eastAsia="Times New Roman" w:hAnsi="Times New Roman" w:cs="Times New Roman"/>
          <w:sz w:val="24"/>
          <w:szCs w:val="24"/>
        </w:rPr>
        <w:t xml:space="preserve">  accessed 13/1/19 </w:t>
      </w:r>
    </w:p>
    <w:p w:rsidR="000E0ED6" w:rsidRDefault="00FA0446">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0E0ED6" w:rsidRDefault="00FA0446">
      <w:pPr>
        <w:pStyle w:val="normal0"/>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rsidR="000E0ED6" w:rsidRDefault="000E0ED6">
      <w:pPr>
        <w:pStyle w:val="normal0"/>
        <w:spacing w:line="240" w:lineRule="auto"/>
        <w:rPr>
          <w:rFonts w:ascii="Times New Roman" w:eastAsia="Times New Roman" w:hAnsi="Times New Roman" w:cs="Times New Roman"/>
          <w:sz w:val="24"/>
          <w:szCs w:val="24"/>
        </w:rPr>
      </w:pPr>
    </w:p>
    <w:sectPr w:rsidR="000E0ED6" w:rsidSect="000E0ED6">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681FEE" w:rsidRDefault="00681FEE" w:rsidP="000E0ED6">
      <w:pPr>
        <w:spacing w:line="240" w:lineRule="auto"/>
      </w:pPr>
      <w:r>
        <w:separator/>
      </w:r>
    </w:p>
  </w:endnote>
  <w:endnote w:type="continuationSeparator" w:id="0">
    <w:p w:rsidR="00681FEE" w:rsidRDefault="00681FEE" w:rsidP="000E0ED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681FEE" w:rsidRDefault="00681FEE" w:rsidP="000E0ED6">
      <w:pPr>
        <w:spacing w:line="240" w:lineRule="auto"/>
      </w:pPr>
      <w:r>
        <w:separator/>
      </w:r>
    </w:p>
  </w:footnote>
  <w:footnote w:type="continuationSeparator" w:id="0">
    <w:p w:rsidR="00681FEE" w:rsidRDefault="00681FEE" w:rsidP="000E0ED6">
      <w:pPr>
        <w:spacing w:line="240" w:lineRule="auto"/>
      </w:pPr>
      <w:r>
        <w:continuationSeparator/>
      </w:r>
    </w:p>
  </w:footnote>
  <w:footnote w:id="1">
    <w:p w:rsidR="000E0ED6" w:rsidRPr="0045541F" w:rsidRDefault="00FA0446">
      <w:pPr>
        <w:pStyle w:val="normal0"/>
        <w:spacing w:line="240" w:lineRule="auto"/>
        <w:rPr>
          <w:rFonts w:ascii="Times New Roman" w:hAnsi="Times New Roman" w:cs="Times New Roman"/>
        </w:rPr>
      </w:pPr>
      <w:r>
        <w:rPr>
          <w:vertAlign w:val="superscript"/>
        </w:rPr>
        <w:footnoteRef/>
      </w:r>
      <w:r>
        <w:rPr>
          <w:sz w:val="20"/>
          <w:szCs w:val="20"/>
        </w:rPr>
        <w:t xml:space="preserve"> </w:t>
      </w:r>
      <w:r w:rsidRPr="0045541F">
        <w:rPr>
          <w:rFonts w:ascii="Times New Roman" w:hAnsi="Times New Roman" w:cs="Times New Roman"/>
          <w:i/>
        </w:rPr>
        <w:t>Inrap</w:t>
      </w:r>
      <w:r w:rsidRPr="0045541F">
        <w:rPr>
          <w:rFonts w:ascii="Times New Roman" w:hAnsi="Times New Roman" w:cs="Times New Roman"/>
        </w:rPr>
        <w:t xml:space="preserve"> 2017 </w:t>
      </w:r>
    </w:p>
    <w:p w:rsidR="000E0ED6" w:rsidRDefault="000E0ED6">
      <w:pPr>
        <w:pStyle w:val="normal0"/>
        <w:spacing w:line="240" w:lineRule="auto"/>
        <w:rPr>
          <w:sz w:val="20"/>
          <w:szCs w:val="20"/>
        </w:rPr>
      </w:pPr>
    </w:p>
  </w:footnote>
  <w:footnote w:id="2">
    <w:p w:rsidR="000E0ED6" w:rsidRPr="0045541F" w:rsidRDefault="00FA0446">
      <w:pPr>
        <w:pStyle w:val="normal0"/>
        <w:spacing w:line="240" w:lineRule="auto"/>
        <w:rPr>
          <w:rFonts w:ascii="Times New Roman" w:hAnsi="Times New Roman" w:cs="Times New Roman"/>
        </w:rPr>
      </w:pPr>
      <w:r>
        <w:rPr>
          <w:vertAlign w:val="superscript"/>
        </w:rPr>
        <w:footnoteRef/>
      </w:r>
      <w:r>
        <w:rPr>
          <w:sz w:val="20"/>
          <w:szCs w:val="20"/>
        </w:rPr>
        <w:t xml:space="preserve"> </w:t>
      </w:r>
      <w:r w:rsidRPr="0045541F">
        <w:rPr>
          <w:rFonts w:ascii="Times New Roman" w:hAnsi="Times New Roman" w:cs="Times New Roman"/>
        </w:rPr>
        <w:t>Daley 2017</w:t>
      </w:r>
    </w:p>
    <w:p w:rsidR="000E0ED6" w:rsidRPr="0045541F" w:rsidRDefault="000E0ED6">
      <w:pPr>
        <w:pStyle w:val="normal0"/>
        <w:spacing w:line="240" w:lineRule="auto"/>
        <w:rPr>
          <w:rFonts w:ascii="Times New Roman" w:hAnsi="Times New Roman" w:cs="Times New Roman"/>
        </w:rPr>
      </w:pPr>
    </w:p>
  </w:footnote>
  <w:footnote w:id="3">
    <w:p w:rsidR="000E0ED6" w:rsidRPr="0045541F" w:rsidRDefault="00FA0446">
      <w:pPr>
        <w:pStyle w:val="normal0"/>
        <w:spacing w:line="240" w:lineRule="auto"/>
        <w:rPr>
          <w:rFonts w:ascii="Times New Roman" w:hAnsi="Times New Roman" w:cs="Times New Roman"/>
        </w:rPr>
      </w:pPr>
      <w:r w:rsidRPr="0045541F">
        <w:rPr>
          <w:rFonts w:ascii="Times New Roman" w:hAnsi="Times New Roman" w:cs="Times New Roman"/>
          <w:vertAlign w:val="superscript"/>
        </w:rPr>
        <w:footnoteRef/>
      </w:r>
      <w:r w:rsidRPr="0045541F">
        <w:rPr>
          <w:rFonts w:ascii="Times New Roman" w:hAnsi="Times New Roman" w:cs="Times New Roman"/>
        </w:rPr>
        <w:t xml:space="preserve"> Bogucki 2017</w:t>
      </w:r>
    </w:p>
    <w:p w:rsidR="000E0ED6" w:rsidRPr="0045541F" w:rsidRDefault="000E0ED6">
      <w:pPr>
        <w:pStyle w:val="normal0"/>
        <w:spacing w:line="240" w:lineRule="auto"/>
        <w:rPr>
          <w:rFonts w:ascii="Times New Roman" w:hAnsi="Times New Roman" w:cs="Times New Roman"/>
        </w:rPr>
      </w:pPr>
    </w:p>
    <w:p w:rsidR="000E0ED6" w:rsidRDefault="00FA0446">
      <w:pPr>
        <w:pStyle w:val="normal0"/>
        <w:spacing w:line="240" w:lineRule="auto"/>
        <w:rPr>
          <w:sz w:val="20"/>
          <w:szCs w:val="20"/>
        </w:rPr>
      </w:pPr>
      <w:r>
        <w:rPr>
          <w:sz w:val="20"/>
          <w:szCs w:val="20"/>
        </w:rPr>
        <w:t xml:space="preserve"> </w:t>
      </w:r>
    </w:p>
  </w:footnote>
  <w:footnote w:id="4">
    <w:p w:rsidR="000E0ED6" w:rsidRPr="0045541F" w:rsidRDefault="00FA0446">
      <w:pPr>
        <w:pStyle w:val="normal0"/>
        <w:spacing w:line="240" w:lineRule="auto"/>
        <w:rPr>
          <w:rFonts w:ascii="Times New Roman" w:hAnsi="Times New Roman" w:cs="Times New Roman"/>
        </w:rPr>
      </w:pPr>
      <w:r w:rsidRPr="0045541F">
        <w:rPr>
          <w:rFonts w:ascii="Times New Roman" w:hAnsi="Times New Roman" w:cs="Times New Roman"/>
          <w:vertAlign w:val="superscript"/>
        </w:rPr>
        <w:footnoteRef/>
      </w:r>
      <w:r w:rsidRPr="0045541F">
        <w:rPr>
          <w:rFonts w:ascii="Times New Roman" w:hAnsi="Times New Roman" w:cs="Times New Roman"/>
        </w:rPr>
        <w:t>Urbanus 2016</w:t>
      </w:r>
    </w:p>
    <w:p w:rsidR="000E0ED6" w:rsidRPr="0045541F" w:rsidRDefault="000E0ED6">
      <w:pPr>
        <w:pStyle w:val="normal0"/>
        <w:spacing w:line="240" w:lineRule="auto"/>
        <w:rPr>
          <w:rFonts w:ascii="Times New Roman" w:hAnsi="Times New Roman" w:cs="Times New Roman"/>
        </w:rPr>
      </w:pPr>
    </w:p>
    <w:p w:rsidR="000E0ED6" w:rsidRPr="0045541F" w:rsidRDefault="000E0ED6">
      <w:pPr>
        <w:pStyle w:val="normal0"/>
        <w:spacing w:line="240" w:lineRule="auto"/>
        <w:rPr>
          <w:rFonts w:ascii="Times New Roman" w:hAnsi="Times New Roman" w:cs="Times New Roman"/>
        </w:rPr>
      </w:pPr>
    </w:p>
  </w:footnote>
  <w:footnote w:id="5">
    <w:p w:rsidR="000E0ED6" w:rsidRPr="0045541F" w:rsidRDefault="00FA0446">
      <w:pPr>
        <w:pStyle w:val="normal0"/>
        <w:spacing w:line="240" w:lineRule="auto"/>
        <w:rPr>
          <w:rFonts w:ascii="Times New Roman" w:hAnsi="Times New Roman" w:cs="Times New Roman"/>
          <w:color w:val="1155CC"/>
          <w:u w:val="single"/>
        </w:rPr>
      </w:pPr>
      <w:r w:rsidRPr="0045541F">
        <w:rPr>
          <w:rFonts w:ascii="Times New Roman" w:hAnsi="Times New Roman" w:cs="Times New Roman"/>
          <w:vertAlign w:val="superscript"/>
        </w:rPr>
        <w:footnoteRef/>
      </w:r>
      <w:r w:rsidRPr="0045541F">
        <w:rPr>
          <w:rFonts w:ascii="Times New Roman" w:hAnsi="Times New Roman" w:cs="Times New Roman"/>
        </w:rPr>
        <w:t xml:space="preserve"> Celtic World, 2017</w:t>
      </w:r>
      <w:r w:rsidR="00880CCC" w:rsidRPr="0045541F">
        <w:rPr>
          <w:rFonts w:ascii="Times New Roman" w:hAnsi="Times New Roman" w:cs="Times New Roman"/>
        </w:rPr>
        <w:fldChar w:fldCharType="begin"/>
      </w:r>
      <w:r w:rsidRPr="0045541F">
        <w:rPr>
          <w:rFonts w:ascii="Times New Roman" w:hAnsi="Times New Roman" w:cs="Times New Roman"/>
        </w:rPr>
        <w:instrText xml:space="preserve"> HYPERLINK "http://celticmythshow.com/news/more-details-new-iron-age-chariot-and-horse-site/" </w:instrText>
      </w:r>
      <w:r w:rsidR="00880CCC" w:rsidRPr="0045541F">
        <w:rPr>
          <w:rFonts w:ascii="Times New Roman" w:hAnsi="Times New Roman" w:cs="Times New Roman"/>
        </w:rPr>
        <w:fldChar w:fldCharType="separate"/>
      </w:r>
    </w:p>
    <w:p w:rsidR="000E0ED6" w:rsidRDefault="00880CCC">
      <w:pPr>
        <w:pStyle w:val="normal0"/>
        <w:spacing w:line="240" w:lineRule="auto"/>
        <w:rPr>
          <w:sz w:val="20"/>
          <w:szCs w:val="20"/>
        </w:rPr>
      </w:pPr>
      <w:r w:rsidRPr="0045541F">
        <w:rPr>
          <w:rFonts w:ascii="Times New Roman" w:hAnsi="Times New Roman" w:cs="Times New Roman"/>
        </w:rPr>
        <w:fldChar w:fldCharType="end"/>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footnotePr>
    <w:footnote w:id="-1"/>
    <w:footnote w:id="0"/>
  </w:footnotePr>
  <w:endnotePr>
    <w:endnote w:id="-1"/>
    <w:endnote w:id="0"/>
  </w:endnotePr>
  <w:compat/>
  <w:rsids>
    <w:rsidRoot w:val="000E0ED6"/>
    <w:rsid w:val="000E0ED6"/>
    <w:rsid w:val="0045541F"/>
    <w:rsid w:val="004A73B6"/>
    <w:rsid w:val="00560128"/>
    <w:rsid w:val="00681FEE"/>
    <w:rsid w:val="00724101"/>
    <w:rsid w:val="00880CCC"/>
    <w:rsid w:val="00A81FC3"/>
    <w:rsid w:val="00E846AE"/>
    <w:rsid w:val="00FA0446"/>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0CCC"/>
  </w:style>
  <w:style w:type="paragraph" w:styleId="Heading1">
    <w:name w:val="heading 1"/>
    <w:basedOn w:val="normal0"/>
    <w:next w:val="normal0"/>
    <w:rsid w:val="000E0ED6"/>
    <w:pPr>
      <w:keepNext/>
      <w:keepLines/>
      <w:spacing w:before="400" w:after="120"/>
      <w:outlineLvl w:val="0"/>
    </w:pPr>
    <w:rPr>
      <w:sz w:val="40"/>
      <w:szCs w:val="40"/>
    </w:rPr>
  </w:style>
  <w:style w:type="paragraph" w:styleId="Heading2">
    <w:name w:val="heading 2"/>
    <w:basedOn w:val="normal0"/>
    <w:next w:val="normal0"/>
    <w:rsid w:val="000E0ED6"/>
    <w:pPr>
      <w:keepNext/>
      <w:keepLines/>
      <w:spacing w:before="360" w:after="120"/>
      <w:outlineLvl w:val="1"/>
    </w:pPr>
    <w:rPr>
      <w:sz w:val="32"/>
      <w:szCs w:val="32"/>
    </w:rPr>
  </w:style>
  <w:style w:type="paragraph" w:styleId="Heading3">
    <w:name w:val="heading 3"/>
    <w:basedOn w:val="normal0"/>
    <w:next w:val="normal0"/>
    <w:rsid w:val="000E0ED6"/>
    <w:pPr>
      <w:keepNext/>
      <w:keepLines/>
      <w:spacing w:before="320" w:after="80"/>
      <w:outlineLvl w:val="2"/>
    </w:pPr>
    <w:rPr>
      <w:color w:val="434343"/>
      <w:sz w:val="28"/>
      <w:szCs w:val="28"/>
    </w:rPr>
  </w:style>
  <w:style w:type="paragraph" w:styleId="Heading4">
    <w:name w:val="heading 4"/>
    <w:basedOn w:val="normal0"/>
    <w:next w:val="normal0"/>
    <w:rsid w:val="000E0ED6"/>
    <w:pPr>
      <w:keepNext/>
      <w:keepLines/>
      <w:spacing w:before="280" w:after="80"/>
      <w:outlineLvl w:val="3"/>
    </w:pPr>
    <w:rPr>
      <w:color w:val="666666"/>
      <w:sz w:val="24"/>
      <w:szCs w:val="24"/>
    </w:rPr>
  </w:style>
  <w:style w:type="paragraph" w:styleId="Heading5">
    <w:name w:val="heading 5"/>
    <w:basedOn w:val="normal0"/>
    <w:next w:val="normal0"/>
    <w:rsid w:val="000E0ED6"/>
    <w:pPr>
      <w:keepNext/>
      <w:keepLines/>
      <w:spacing w:before="240" w:after="80"/>
      <w:outlineLvl w:val="4"/>
    </w:pPr>
    <w:rPr>
      <w:color w:val="666666"/>
    </w:rPr>
  </w:style>
  <w:style w:type="paragraph" w:styleId="Heading6">
    <w:name w:val="heading 6"/>
    <w:basedOn w:val="normal0"/>
    <w:next w:val="normal0"/>
    <w:rsid w:val="000E0ED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0E0ED6"/>
  </w:style>
  <w:style w:type="paragraph" w:styleId="Title">
    <w:name w:val="Title"/>
    <w:basedOn w:val="normal0"/>
    <w:next w:val="normal0"/>
    <w:rsid w:val="000E0ED6"/>
    <w:pPr>
      <w:keepNext/>
      <w:keepLines/>
      <w:spacing w:after="60"/>
    </w:pPr>
    <w:rPr>
      <w:sz w:val="52"/>
      <w:szCs w:val="52"/>
    </w:rPr>
  </w:style>
  <w:style w:type="paragraph" w:styleId="Subtitle">
    <w:name w:val="Subtitle"/>
    <w:basedOn w:val="normal0"/>
    <w:next w:val="normal0"/>
    <w:rsid w:val="000E0ED6"/>
    <w:pPr>
      <w:keepNext/>
      <w:keepLines/>
      <w:spacing w:after="320"/>
    </w:pPr>
    <w:rPr>
      <w:color w:val="666666"/>
      <w:sz w:val="30"/>
      <w:szCs w:val="30"/>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www.archaeology.org/issues/200-1601/features/3954-france-iron-age-celtic-burial" TargetMode="External"/><Relationship Id="rId3" Type="http://schemas.openxmlformats.org/officeDocument/2006/relationships/webSettings" Target="webSettings.xml"/><Relationship Id="rId7" Type="http://schemas.openxmlformats.org/officeDocument/2006/relationships/hyperlink" Target="https://www.smithsonianmag.com/smart-news/researchers-analyze-burial-ancient-celtic-prince-180963515/"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rap.fr/le-mobilier-funeraire-du-prince-de-lavau-etudie-au-c2rmf-12728"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31</TotalTime>
  <Pages>5</Pages>
  <Words>1448</Words>
  <Characters>8254</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Joseph</dc:creator>
  <cp:lastModifiedBy>Joseph</cp:lastModifiedBy>
  <cp:revision>5</cp:revision>
  <dcterms:created xsi:type="dcterms:W3CDTF">2019-01-18T15:31:00Z</dcterms:created>
  <dcterms:modified xsi:type="dcterms:W3CDTF">2019-01-18T15:59:00Z</dcterms:modified>
</cp:coreProperties>
</file>