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86AD978" w14:textId="7F1402DB" w:rsidR="00AB1BA4" w:rsidRPr="00E15306" w:rsidRDefault="00000000">
      <w:pPr>
        <w:pStyle w:val="Title"/>
        <w:rPr>
          <w:rStyle w:val="BookTitle"/>
        </w:rPr>
      </w:pPr>
      <w:r w:rsidRPr="00E15306">
        <w:rPr>
          <w:rStyle w:val="BookTitle"/>
        </w:rPr>
        <w:t>LCHS4010 Psychological Theories of Adult Development and Wellbe</w:t>
      </w:r>
      <w:r w:rsidR="00E15306" w:rsidRPr="00E15306">
        <w:rPr>
          <w:rStyle w:val="BookTitle"/>
        </w:rPr>
        <w:t>ing</w:t>
      </w:r>
    </w:p>
    <w:p w14:paraId="38D0C873" w14:textId="77777777" w:rsidR="003D3065" w:rsidRPr="00686379" w:rsidRDefault="003D3065" w:rsidP="003D3065">
      <w:pPr>
        <w:rPr>
          <w:rFonts w:asciiTheme="minorBidi" w:hAnsiTheme="minorBidi"/>
        </w:rPr>
      </w:pPr>
      <w:r w:rsidRPr="00686379">
        <w:rPr>
          <w:rFonts w:asciiTheme="minorBidi" w:hAnsiTheme="minorBidi"/>
        </w:rPr>
        <w:t>Assignment Title: Annotated Bibliography and Short Report</w:t>
      </w:r>
    </w:p>
    <w:p w14:paraId="3CA6BBF8" w14:textId="77777777" w:rsidR="003D3065" w:rsidRPr="00686379" w:rsidRDefault="003D3065" w:rsidP="003D3065">
      <w:pPr>
        <w:rPr>
          <w:rFonts w:asciiTheme="minorBidi" w:hAnsiTheme="minorBidi"/>
        </w:rPr>
      </w:pPr>
      <w:r w:rsidRPr="00686379">
        <w:rPr>
          <w:rFonts w:asciiTheme="minorBidi" w:hAnsiTheme="minorBidi"/>
        </w:rPr>
        <w:t>Student Name: Huma Ali</w:t>
      </w:r>
    </w:p>
    <w:p w14:paraId="6385EAEA" w14:textId="77777777" w:rsidR="003D3065" w:rsidRPr="00686379" w:rsidRDefault="003D3065" w:rsidP="003D3065">
      <w:pPr>
        <w:rPr>
          <w:rFonts w:asciiTheme="minorBidi" w:hAnsiTheme="minorBidi"/>
        </w:rPr>
      </w:pPr>
      <w:r w:rsidRPr="00686379">
        <w:rPr>
          <w:rFonts w:asciiTheme="minorBidi" w:hAnsiTheme="minorBidi"/>
        </w:rPr>
        <w:t>Student Number: 2437892</w:t>
      </w:r>
    </w:p>
    <w:p w14:paraId="2391FA56" w14:textId="77777777" w:rsidR="003D3065" w:rsidRPr="00686379" w:rsidRDefault="003D3065" w:rsidP="003D3065">
      <w:pPr>
        <w:rPr>
          <w:rFonts w:asciiTheme="minorBidi" w:hAnsiTheme="minorBidi"/>
        </w:rPr>
      </w:pPr>
      <w:r w:rsidRPr="00686379">
        <w:rPr>
          <w:rFonts w:asciiTheme="minorBidi" w:hAnsiTheme="minorBidi"/>
        </w:rPr>
        <w:t>Module Code: LCHS4010</w:t>
      </w:r>
    </w:p>
    <w:p w14:paraId="323D7B3A" w14:textId="77777777" w:rsidR="003D3065" w:rsidRPr="00686379" w:rsidRDefault="003D3065" w:rsidP="003D3065">
      <w:pPr>
        <w:rPr>
          <w:rFonts w:asciiTheme="minorBidi" w:hAnsiTheme="minorBidi"/>
        </w:rPr>
      </w:pPr>
      <w:r w:rsidRPr="00686379">
        <w:rPr>
          <w:rFonts w:asciiTheme="minorBidi" w:hAnsiTheme="minorBidi"/>
        </w:rPr>
        <w:t>Module Title: Adult Development and Wellbeing</w:t>
      </w:r>
    </w:p>
    <w:p w14:paraId="7BAD2C92" w14:textId="1A61EBED" w:rsidR="003D3065" w:rsidRPr="00686379" w:rsidRDefault="003D3065" w:rsidP="003D3065">
      <w:pPr>
        <w:rPr>
          <w:rFonts w:asciiTheme="minorBidi" w:hAnsiTheme="minorBidi"/>
        </w:rPr>
      </w:pPr>
      <w:r w:rsidRPr="00686379">
        <w:rPr>
          <w:rFonts w:asciiTheme="minorBidi" w:hAnsiTheme="minorBidi"/>
        </w:rPr>
        <w:t>Lecturer: Ali</w:t>
      </w:r>
      <w:r w:rsidR="00F836C7">
        <w:rPr>
          <w:rFonts w:asciiTheme="minorBidi" w:hAnsiTheme="minorBidi"/>
        </w:rPr>
        <w:t>ce</w:t>
      </w:r>
      <w:r w:rsidRPr="00686379">
        <w:rPr>
          <w:rFonts w:asciiTheme="minorBidi" w:hAnsiTheme="minorBidi"/>
        </w:rPr>
        <w:t xml:space="preserve"> Clayton</w:t>
      </w:r>
    </w:p>
    <w:p w14:paraId="59C4603F" w14:textId="4B8E6773" w:rsidR="00AB1BA4" w:rsidRPr="00686379" w:rsidRDefault="00000000">
      <w:pPr>
        <w:rPr>
          <w:rFonts w:asciiTheme="minorBidi" w:hAnsiTheme="minorBidi"/>
        </w:rPr>
      </w:pPr>
      <w:r w:rsidRPr="00686379">
        <w:rPr>
          <w:rFonts w:asciiTheme="minorBidi" w:hAnsiTheme="minorBidi"/>
        </w:rPr>
        <w:t xml:space="preserve">Submission Date: </w:t>
      </w:r>
    </w:p>
    <w:p w14:paraId="5DAD29AD" w14:textId="77777777" w:rsidR="00AB1BA4" w:rsidRDefault="00000000">
      <w:r>
        <w:br w:type="page"/>
      </w:r>
    </w:p>
    <w:p w14:paraId="644AD478" w14:textId="2CD638FB" w:rsidR="00B93D65" w:rsidRDefault="00B93D65" w:rsidP="00B93D65">
      <w:pPr>
        <w:pStyle w:val="Heading1"/>
        <w:jc w:val="center"/>
        <w:rPr>
          <w:rFonts w:asciiTheme="minorBidi" w:hAnsiTheme="minorBidi" w:cstheme="minorBidi"/>
          <w:color w:val="000000" w:themeColor="text1"/>
        </w:rPr>
      </w:pPr>
      <w:r>
        <w:rPr>
          <w:rFonts w:asciiTheme="minorBidi" w:hAnsiTheme="minorBidi" w:cstheme="minorBidi"/>
          <w:color w:val="000000" w:themeColor="text1"/>
        </w:rPr>
        <w:lastRenderedPageBreak/>
        <w:t>Contents page</w:t>
      </w:r>
    </w:p>
    <w:p w14:paraId="69E6A729" w14:textId="77777777" w:rsidR="00B93D65" w:rsidRDefault="00B93D65" w:rsidP="00B93D65">
      <w:pPr>
        <w:pStyle w:val="Heading1"/>
        <w:rPr>
          <w:rFonts w:ascii="Arial" w:hAnsi="Arial" w:cs="Arial"/>
          <w:b w:val="0"/>
          <w:bCs w:val="0"/>
          <w:color w:val="000000" w:themeColor="text1"/>
          <w:sz w:val="24"/>
          <w:szCs w:val="24"/>
        </w:rPr>
      </w:pPr>
    </w:p>
    <w:p w14:paraId="06E31641" w14:textId="7E120C96" w:rsidR="00B93D65" w:rsidRPr="00B93D65" w:rsidRDefault="00B93D65" w:rsidP="00B93D65">
      <w:pPr>
        <w:pStyle w:val="Heading1"/>
        <w:rPr>
          <w:rFonts w:ascii="Arial" w:hAnsi="Arial" w:cs="Arial"/>
          <w:b w:val="0"/>
          <w:bCs w:val="0"/>
          <w:color w:val="000000" w:themeColor="text1"/>
          <w:sz w:val="24"/>
          <w:szCs w:val="24"/>
        </w:rPr>
      </w:pPr>
      <w:r w:rsidRPr="00B93D65">
        <w:rPr>
          <w:rFonts w:ascii="Arial" w:hAnsi="Arial" w:cs="Arial"/>
          <w:b w:val="0"/>
          <w:bCs w:val="0"/>
          <w:color w:val="000000" w:themeColor="text1"/>
          <w:sz w:val="24"/>
          <w:szCs w:val="24"/>
        </w:rPr>
        <w:t xml:space="preserve">Part A: Annotated Bibliography </w:t>
      </w:r>
      <w:r>
        <w:rPr>
          <w:rFonts w:ascii="Arial" w:hAnsi="Arial" w:cs="Arial"/>
          <w:b w:val="0"/>
          <w:bCs w:val="0"/>
          <w:color w:val="000000" w:themeColor="text1"/>
          <w:sz w:val="24"/>
          <w:szCs w:val="24"/>
        </w:rPr>
        <w:t>…………………………………….</w:t>
      </w:r>
      <w:r>
        <w:rPr>
          <w:rFonts w:ascii="Arial" w:hAnsi="Arial" w:cs="Arial"/>
          <w:b w:val="0"/>
          <w:bCs w:val="0"/>
          <w:color w:val="000000" w:themeColor="text1"/>
          <w:sz w:val="24"/>
          <w:szCs w:val="24"/>
        </w:rPr>
        <w:tab/>
      </w:r>
      <w:proofErr w:type="gramStart"/>
      <w:r>
        <w:rPr>
          <w:rFonts w:ascii="Arial" w:hAnsi="Arial" w:cs="Arial"/>
          <w:b w:val="0"/>
          <w:bCs w:val="0"/>
          <w:color w:val="000000" w:themeColor="text1"/>
          <w:sz w:val="24"/>
          <w:szCs w:val="24"/>
        </w:rPr>
        <w:t>pp</w:t>
      </w:r>
      <w:proofErr w:type="gramEnd"/>
      <w:r>
        <w:rPr>
          <w:rFonts w:ascii="Arial" w:hAnsi="Arial" w:cs="Arial"/>
          <w:b w:val="0"/>
          <w:bCs w:val="0"/>
          <w:color w:val="000000" w:themeColor="text1"/>
          <w:sz w:val="24"/>
          <w:szCs w:val="24"/>
        </w:rPr>
        <w:t>.3-5</w:t>
      </w:r>
    </w:p>
    <w:p w14:paraId="2A51770E" w14:textId="77777777" w:rsidR="00B93D65" w:rsidRDefault="00B93D65" w:rsidP="00B93D65">
      <w:pPr>
        <w:rPr>
          <w:sz w:val="24"/>
          <w:szCs w:val="24"/>
        </w:rPr>
      </w:pPr>
    </w:p>
    <w:p w14:paraId="03C85959" w14:textId="493DB94A" w:rsidR="00B93D65" w:rsidRPr="00B93D65" w:rsidRDefault="00B93D65" w:rsidP="00B93D65">
      <w:pPr>
        <w:rPr>
          <w:sz w:val="24"/>
          <w:szCs w:val="24"/>
        </w:rPr>
      </w:pPr>
      <w:r w:rsidRPr="00B93D65">
        <w:rPr>
          <w:sz w:val="24"/>
          <w:szCs w:val="24"/>
        </w:rPr>
        <w:t>Part B: Short report</w:t>
      </w:r>
      <w:r>
        <w:rPr>
          <w:sz w:val="24"/>
          <w:szCs w:val="24"/>
        </w:rPr>
        <w:t xml:space="preserve"> ………………………………………………….</w:t>
      </w:r>
      <w:r>
        <w:rPr>
          <w:sz w:val="24"/>
          <w:szCs w:val="24"/>
        </w:rPr>
        <w:tab/>
        <w:t>pp.6-8</w:t>
      </w:r>
      <w:r w:rsidRPr="00B93D65">
        <w:rPr>
          <w:sz w:val="24"/>
          <w:szCs w:val="24"/>
        </w:rPr>
        <w:t xml:space="preserve"> </w:t>
      </w:r>
    </w:p>
    <w:p w14:paraId="4D78C47F" w14:textId="77777777" w:rsidR="00B93D65" w:rsidRDefault="00B93D65" w:rsidP="00B93D65">
      <w:pPr>
        <w:rPr>
          <w:sz w:val="24"/>
          <w:szCs w:val="24"/>
        </w:rPr>
      </w:pPr>
    </w:p>
    <w:p w14:paraId="24FD5048" w14:textId="1002EB21" w:rsidR="00B93D65" w:rsidRPr="00B93D65" w:rsidRDefault="00B93D65" w:rsidP="00B93D65">
      <w:pPr>
        <w:rPr>
          <w:sz w:val="24"/>
          <w:szCs w:val="24"/>
        </w:rPr>
      </w:pPr>
      <w:r w:rsidRPr="00B93D65">
        <w:rPr>
          <w:sz w:val="24"/>
          <w:szCs w:val="24"/>
        </w:rPr>
        <w:t>Reference list</w:t>
      </w:r>
      <w:r>
        <w:rPr>
          <w:sz w:val="24"/>
          <w:szCs w:val="24"/>
        </w:rPr>
        <w:t xml:space="preserve"> ……………………………………………………</w:t>
      </w:r>
      <w:proofErr w:type="gramStart"/>
      <w:r>
        <w:rPr>
          <w:sz w:val="24"/>
          <w:szCs w:val="24"/>
        </w:rPr>
        <w:t>…..</w:t>
      </w:r>
      <w:proofErr w:type="gramEnd"/>
      <w:r>
        <w:rPr>
          <w:sz w:val="24"/>
          <w:szCs w:val="24"/>
        </w:rPr>
        <w:tab/>
        <w:t>p.9</w:t>
      </w:r>
    </w:p>
    <w:p w14:paraId="70207FCC" w14:textId="77777777" w:rsidR="00B93D65" w:rsidRDefault="00B93D65">
      <w:pPr>
        <w:pStyle w:val="Heading1"/>
        <w:rPr>
          <w:rFonts w:asciiTheme="minorBidi" w:hAnsiTheme="minorBidi" w:cstheme="minorBidi"/>
          <w:color w:val="000000" w:themeColor="text1"/>
        </w:rPr>
      </w:pPr>
    </w:p>
    <w:p w14:paraId="39E26F9B" w14:textId="77777777" w:rsidR="00B93D65" w:rsidRDefault="00B93D65">
      <w:pPr>
        <w:pStyle w:val="Heading1"/>
        <w:rPr>
          <w:rFonts w:asciiTheme="minorBidi" w:hAnsiTheme="minorBidi" w:cstheme="minorBidi"/>
          <w:color w:val="000000" w:themeColor="text1"/>
        </w:rPr>
      </w:pPr>
    </w:p>
    <w:p w14:paraId="51379D22" w14:textId="77777777" w:rsidR="00B93D65" w:rsidRDefault="00B93D65">
      <w:pPr>
        <w:pStyle w:val="Heading1"/>
        <w:rPr>
          <w:rFonts w:asciiTheme="minorBidi" w:hAnsiTheme="minorBidi" w:cstheme="minorBidi"/>
          <w:color w:val="000000" w:themeColor="text1"/>
        </w:rPr>
      </w:pPr>
    </w:p>
    <w:p w14:paraId="10FB99C5" w14:textId="77777777" w:rsidR="00B93D65" w:rsidRDefault="00B93D65">
      <w:pPr>
        <w:pStyle w:val="Heading1"/>
        <w:rPr>
          <w:rFonts w:asciiTheme="minorBidi" w:hAnsiTheme="minorBidi" w:cstheme="minorBidi"/>
          <w:color w:val="000000" w:themeColor="text1"/>
        </w:rPr>
      </w:pPr>
    </w:p>
    <w:p w14:paraId="7AB74987" w14:textId="77777777" w:rsidR="00B93D65" w:rsidRDefault="00B93D65">
      <w:pPr>
        <w:pStyle w:val="Heading1"/>
        <w:rPr>
          <w:rFonts w:asciiTheme="minorBidi" w:hAnsiTheme="minorBidi" w:cstheme="minorBidi"/>
          <w:color w:val="000000" w:themeColor="text1"/>
        </w:rPr>
      </w:pPr>
    </w:p>
    <w:p w14:paraId="1D70F973" w14:textId="77777777" w:rsidR="00B93D65" w:rsidRDefault="00B93D65">
      <w:pPr>
        <w:pStyle w:val="Heading1"/>
        <w:rPr>
          <w:rFonts w:asciiTheme="minorBidi" w:hAnsiTheme="minorBidi" w:cstheme="minorBidi"/>
          <w:color w:val="000000" w:themeColor="text1"/>
        </w:rPr>
      </w:pPr>
    </w:p>
    <w:p w14:paraId="67BABCF6" w14:textId="77777777" w:rsidR="00B93D65" w:rsidRDefault="00B93D65" w:rsidP="00B93D65"/>
    <w:p w14:paraId="71670686" w14:textId="77777777" w:rsidR="00B93D65" w:rsidRPr="00B93D65" w:rsidRDefault="00B93D65" w:rsidP="00B93D65"/>
    <w:p w14:paraId="5724B50D" w14:textId="121E7198" w:rsidR="00AB1BA4" w:rsidRPr="00E15306" w:rsidRDefault="00000000">
      <w:pPr>
        <w:pStyle w:val="Heading1"/>
        <w:rPr>
          <w:rFonts w:asciiTheme="minorBidi" w:hAnsiTheme="minorBidi" w:cstheme="minorBidi"/>
          <w:color w:val="000000" w:themeColor="text1"/>
        </w:rPr>
      </w:pPr>
      <w:r w:rsidRPr="00E15306">
        <w:rPr>
          <w:rFonts w:asciiTheme="minorBidi" w:hAnsiTheme="minorBidi" w:cstheme="minorBidi"/>
          <w:color w:val="000000" w:themeColor="text1"/>
        </w:rPr>
        <w:lastRenderedPageBreak/>
        <w:t>Part A: Annotated Bibliography</w:t>
      </w:r>
    </w:p>
    <w:p w14:paraId="21D09DBD" w14:textId="450452B4" w:rsidR="00686379" w:rsidRPr="00E15306" w:rsidRDefault="00000000" w:rsidP="00686379">
      <w:pPr>
        <w:pStyle w:val="Heading2"/>
        <w:rPr>
          <w:rFonts w:asciiTheme="minorBidi" w:hAnsiTheme="minorBidi" w:cstheme="minorBidi"/>
          <w:color w:val="000000" w:themeColor="text1"/>
        </w:rPr>
      </w:pPr>
      <w:r w:rsidRPr="00E15306">
        <w:rPr>
          <w:rFonts w:asciiTheme="minorBidi" w:hAnsiTheme="minorBidi" w:cstheme="minorBidi"/>
          <w:color w:val="000000" w:themeColor="text1"/>
        </w:rPr>
        <w:t>Source 1</w:t>
      </w:r>
    </w:p>
    <w:p w14:paraId="5B4018CD" w14:textId="77777777" w:rsidR="00686379" w:rsidRPr="003D3065" w:rsidRDefault="00686379" w:rsidP="00686379">
      <w:pPr>
        <w:rPr>
          <w:rFonts w:asciiTheme="minorBidi" w:hAnsiTheme="minorBidi"/>
          <w:lang w:val="en-GB"/>
        </w:rPr>
      </w:pPr>
      <w:r w:rsidRPr="003D3065">
        <w:rPr>
          <w:rFonts w:asciiTheme="minorBidi" w:hAnsiTheme="minorBidi"/>
          <w:lang w:val="en-GB"/>
        </w:rPr>
        <w:t xml:space="preserve">Erikson, E.H. (1982) </w:t>
      </w:r>
      <w:r w:rsidRPr="003D3065">
        <w:rPr>
          <w:rFonts w:asciiTheme="minorBidi" w:hAnsiTheme="minorBidi"/>
          <w:i/>
          <w:iCs/>
          <w:lang w:val="en-GB"/>
        </w:rPr>
        <w:t>The life cycle completed</w:t>
      </w:r>
      <w:r w:rsidRPr="003D3065">
        <w:rPr>
          <w:rFonts w:asciiTheme="minorBidi" w:hAnsiTheme="minorBidi"/>
          <w:lang w:val="en-GB"/>
        </w:rPr>
        <w:t>. New York: W.W. Norton.</w:t>
      </w:r>
    </w:p>
    <w:p w14:paraId="0E593F63" w14:textId="0F0D60FE" w:rsidR="00AB1BA4" w:rsidRPr="00686379" w:rsidRDefault="5868D66D" w:rsidP="16C1E6F2">
      <w:pPr>
        <w:rPr>
          <w:rFonts w:asciiTheme="minorBidi" w:hAnsiTheme="minorBidi"/>
        </w:rPr>
      </w:pPr>
      <w:r w:rsidRPr="16C1E6F2">
        <w:rPr>
          <w:rFonts w:asciiTheme="minorBidi" w:hAnsiTheme="minorBidi"/>
        </w:rPr>
        <w:t xml:space="preserve">Erikson’s psychosocial theory proposes that human development occurs across eight stages throughout the lifespan. The final stage, ego integrity versus despair, occurs in later adulthood and involves individuals reflecting on their life experiences and achievements (Erikson, 1982). When individuals view their lives as meaningful and </w:t>
      </w:r>
      <w:r w:rsidR="7C8EE09E" w:rsidRPr="16C1E6F2">
        <w:rPr>
          <w:rFonts w:asciiTheme="minorBidi" w:hAnsiTheme="minorBidi"/>
        </w:rPr>
        <w:t>worthwhile,</w:t>
      </w:r>
      <w:r w:rsidRPr="16C1E6F2">
        <w:rPr>
          <w:rFonts w:asciiTheme="minorBidi" w:hAnsiTheme="minorBidi"/>
        </w:rPr>
        <w:t xml:space="preserve"> they develop ego integrity, which is associated with wisdom, emotional </w:t>
      </w:r>
      <w:r w:rsidR="715F4F52" w:rsidRPr="16C1E6F2">
        <w:rPr>
          <w:rFonts w:asciiTheme="minorBidi" w:hAnsiTheme="minorBidi"/>
        </w:rPr>
        <w:t>acceptance,</w:t>
      </w:r>
      <w:r w:rsidRPr="16C1E6F2">
        <w:rPr>
          <w:rFonts w:asciiTheme="minorBidi" w:hAnsiTheme="minorBidi"/>
        </w:rPr>
        <w:t xml:space="preserve"> and psychological wellbeing. However, if individuals perceive their lives as </w:t>
      </w:r>
      <w:r w:rsidR="74337210" w:rsidRPr="16C1E6F2">
        <w:rPr>
          <w:rFonts w:asciiTheme="minorBidi" w:hAnsiTheme="minorBidi"/>
        </w:rPr>
        <w:t>unfulfilled,</w:t>
      </w:r>
      <w:r w:rsidRPr="16C1E6F2">
        <w:rPr>
          <w:rFonts w:asciiTheme="minorBidi" w:hAnsiTheme="minorBidi"/>
        </w:rPr>
        <w:t xml:space="preserve"> they may experience despair, regret and fear of death.</w:t>
      </w:r>
    </w:p>
    <w:p w14:paraId="10E17283" w14:textId="2148F328" w:rsidR="00AB1BA4" w:rsidRPr="00686379" w:rsidRDefault="5868D66D" w:rsidP="16C1E6F2">
      <w:pPr>
        <w:rPr>
          <w:rFonts w:asciiTheme="minorBidi" w:hAnsiTheme="minorBidi"/>
        </w:rPr>
      </w:pPr>
      <w:r w:rsidRPr="16C1E6F2">
        <w:rPr>
          <w:rFonts w:asciiTheme="minorBidi" w:hAnsiTheme="minorBidi"/>
        </w:rPr>
        <w:t xml:space="preserve">This theory is highly relevant for professionals working with older adults because later life often involves major life transitions such as retirement, </w:t>
      </w:r>
      <w:r w:rsidR="66091706" w:rsidRPr="16C1E6F2">
        <w:rPr>
          <w:rFonts w:asciiTheme="minorBidi" w:hAnsiTheme="minorBidi"/>
        </w:rPr>
        <w:t>bereavement,</w:t>
      </w:r>
      <w:r w:rsidRPr="16C1E6F2">
        <w:rPr>
          <w:rFonts w:asciiTheme="minorBidi" w:hAnsiTheme="minorBidi"/>
        </w:rPr>
        <w:t xml:space="preserve"> and declining physical health. Erikson’s framework helps practitioners understand how these experiences may affect identity and emotional wellbeing. Interventions such as reminiscence therapy, life</w:t>
      </w:r>
      <w:r w:rsidRPr="16C1E6F2">
        <w:rPr>
          <w:rFonts w:ascii="Cambria Math" w:hAnsi="Cambria Math" w:cs="Cambria Math"/>
        </w:rPr>
        <w:t>‑</w:t>
      </w:r>
      <w:r w:rsidRPr="16C1E6F2">
        <w:rPr>
          <w:rFonts w:asciiTheme="minorBidi" w:hAnsiTheme="minorBidi"/>
        </w:rPr>
        <w:t xml:space="preserve">review </w:t>
      </w:r>
      <w:r w:rsidR="6D9F0711" w:rsidRPr="16C1E6F2">
        <w:rPr>
          <w:rFonts w:asciiTheme="minorBidi" w:hAnsiTheme="minorBidi"/>
        </w:rPr>
        <w:t>work,</w:t>
      </w:r>
      <w:r w:rsidRPr="16C1E6F2">
        <w:rPr>
          <w:rFonts w:asciiTheme="minorBidi" w:hAnsiTheme="minorBidi"/>
        </w:rPr>
        <w:t xml:space="preserve"> and storytelling groups can support residents in reflecting positively on their lives and strengthening their sense of self. A limitation of Erikson’s theory is that it may present development as a universal process and does not fully consider cultural differences in how individuals evaluate their lives. Nevertheless, it remains a foundational theory for understanding emotional development in older adulthood and continues to inform contemporary research on ageing.</w:t>
      </w:r>
    </w:p>
    <w:p w14:paraId="6BE86CE8" w14:textId="77777777" w:rsidR="00B93D65" w:rsidRDefault="00B93D65">
      <w:pPr>
        <w:pStyle w:val="Heading2"/>
        <w:rPr>
          <w:rFonts w:asciiTheme="minorBidi" w:hAnsiTheme="minorBidi" w:cstheme="minorBidi"/>
          <w:color w:val="auto"/>
        </w:rPr>
      </w:pPr>
    </w:p>
    <w:p w14:paraId="33F2D240" w14:textId="2DCEA6F9" w:rsidR="00AB1BA4" w:rsidRPr="00B93D65" w:rsidRDefault="00000000">
      <w:pPr>
        <w:pStyle w:val="Heading2"/>
        <w:rPr>
          <w:rFonts w:asciiTheme="minorBidi" w:hAnsiTheme="minorBidi" w:cstheme="minorBidi"/>
          <w:color w:val="auto"/>
        </w:rPr>
      </w:pPr>
      <w:r w:rsidRPr="00B93D65">
        <w:rPr>
          <w:rFonts w:asciiTheme="minorBidi" w:hAnsiTheme="minorBidi" w:cstheme="minorBidi"/>
          <w:color w:val="auto"/>
        </w:rPr>
        <w:t>Source 2</w:t>
      </w:r>
    </w:p>
    <w:p w14:paraId="3B785593" w14:textId="77777777" w:rsidR="00686379" w:rsidRPr="003D3065" w:rsidRDefault="00686379" w:rsidP="00686379">
      <w:pPr>
        <w:rPr>
          <w:rFonts w:asciiTheme="minorBidi" w:hAnsiTheme="minorBidi"/>
          <w:lang w:val="en-GB"/>
        </w:rPr>
      </w:pPr>
      <w:r w:rsidRPr="003D3065">
        <w:rPr>
          <w:rFonts w:asciiTheme="minorBidi" w:hAnsiTheme="minorBidi"/>
          <w:lang w:val="en-GB"/>
        </w:rPr>
        <w:t xml:space="preserve">Westerhof, G.J. and Keyes, C.L.M. (2010) ‘Mental illness and mental health: The two continua model across the lifespan’, </w:t>
      </w:r>
      <w:r w:rsidRPr="003D3065">
        <w:rPr>
          <w:rFonts w:asciiTheme="minorBidi" w:hAnsiTheme="minorBidi"/>
          <w:i/>
          <w:iCs/>
          <w:lang w:val="en-GB"/>
        </w:rPr>
        <w:t>Journal of Adult Development</w:t>
      </w:r>
      <w:r w:rsidRPr="003D3065">
        <w:rPr>
          <w:rFonts w:asciiTheme="minorBidi" w:hAnsiTheme="minorBidi"/>
          <w:lang w:val="en-GB"/>
        </w:rPr>
        <w:t>, 17(2), pp. 110–119.</w:t>
      </w:r>
    </w:p>
    <w:p w14:paraId="7F95023A" w14:textId="77777777" w:rsidR="00AB1BA4" w:rsidRPr="00686379" w:rsidRDefault="00000000">
      <w:pPr>
        <w:rPr>
          <w:rFonts w:asciiTheme="minorBidi" w:hAnsiTheme="minorBidi"/>
        </w:rPr>
      </w:pPr>
      <w:r w:rsidRPr="00686379">
        <w:rPr>
          <w:rFonts w:asciiTheme="minorBidi" w:hAnsiTheme="minorBidi"/>
        </w:rPr>
        <w:t>Westerhof and Keyes (2010) propose the two</w:t>
      </w:r>
      <w:r w:rsidRPr="00686379">
        <w:rPr>
          <w:rFonts w:ascii="Cambria Math" w:hAnsi="Cambria Math" w:cs="Cambria Math"/>
        </w:rPr>
        <w:t>‑</w:t>
      </w:r>
      <w:r w:rsidRPr="00686379">
        <w:rPr>
          <w:rFonts w:asciiTheme="minorBidi" w:hAnsiTheme="minorBidi"/>
        </w:rPr>
        <w:t xml:space="preserve">continua model of mental health, which suggests that mental illness and mental wellbeing are related but distinct constructs. According to this model, the absence of mental illness does not necessarily indicate positive wellbeing. Instead, psychological wellbeing includes life satisfaction, positive relationships, emotional resilience and engagement in meaningful activities. Their </w:t>
      </w:r>
      <w:r w:rsidRPr="00686379">
        <w:rPr>
          <w:rFonts w:asciiTheme="minorBidi" w:hAnsiTheme="minorBidi"/>
        </w:rPr>
        <w:lastRenderedPageBreak/>
        <w:t>research demonstrates that individuals, including older adults, can experience positive wellbeing even while managing physical illness or disability.</w:t>
      </w:r>
    </w:p>
    <w:p w14:paraId="128372D8" w14:textId="77777777" w:rsidR="00AB1BA4" w:rsidRPr="00686379" w:rsidRDefault="00000000">
      <w:pPr>
        <w:rPr>
          <w:rFonts w:asciiTheme="minorBidi" w:hAnsiTheme="minorBidi"/>
        </w:rPr>
      </w:pPr>
      <w:r w:rsidRPr="00686379">
        <w:rPr>
          <w:rFonts w:asciiTheme="minorBidi" w:hAnsiTheme="minorBidi"/>
        </w:rPr>
        <w:t>The relevance of this model to health and social care practice is significant because it challenges traditional medical approaches that focus primarily on illness. In residential care environments, the emphasis often remains on physical care needs. However, the two</w:t>
      </w:r>
      <w:r w:rsidRPr="00686379">
        <w:rPr>
          <w:rFonts w:ascii="Cambria Math" w:hAnsi="Cambria Math" w:cs="Cambria Math"/>
        </w:rPr>
        <w:t>‑</w:t>
      </w:r>
      <w:r w:rsidRPr="00686379">
        <w:rPr>
          <w:rFonts w:asciiTheme="minorBidi" w:hAnsiTheme="minorBidi"/>
        </w:rPr>
        <w:t>continua model highlights the importance of promoting emotional wellbeing, autonomy and social participation. Encouraging activities that support engagement and relationships may therefore improve residents</w:t>
      </w:r>
      <w:r w:rsidRPr="00686379">
        <w:rPr>
          <w:rFonts w:cs="Arial"/>
        </w:rPr>
        <w:t>’</w:t>
      </w:r>
      <w:r w:rsidRPr="00686379">
        <w:rPr>
          <w:rFonts w:asciiTheme="minorBidi" w:hAnsiTheme="minorBidi"/>
        </w:rPr>
        <w:t xml:space="preserve"> quality of life. A key challenge is that organisational pressures within care services may limit the time available for </w:t>
      </w:r>
      <w:proofErr w:type="gramStart"/>
      <w:r w:rsidRPr="00686379">
        <w:rPr>
          <w:rFonts w:asciiTheme="minorBidi" w:hAnsiTheme="minorBidi"/>
        </w:rPr>
        <w:t>wellbeing</w:t>
      </w:r>
      <w:r w:rsidRPr="00686379">
        <w:rPr>
          <w:rFonts w:ascii="Cambria Math" w:hAnsi="Cambria Math" w:cs="Cambria Math"/>
        </w:rPr>
        <w:t>‑</w:t>
      </w:r>
      <w:proofErr w:type="gramEnd"/>
      <w:r w:rsidRPr="00686379">
        <w:rPr>
          <w:rFonts w:asciiTheme="minorBidi" w:hAnsiTheme="minorBidi"/>
        </w:rPr>
        <w:t>focused interventions. Despite this, the model provides a useful conceptual framework for encouraging more holistic and person</w:t>
      </w:r>
      <w:r w:rsidRPr="00686379">
        <w:rPr>
          <w:rFonts w:ascii="Cambria Math" w:hAnsi="Cambria Math" w:cs="Cambria Math"/>
        </w:rPr>
        <w:t>‑</w:t>
      </w:r>
      <w:r w:rsidRPr="00686379">
        <w:rPr>
          <w:rFonts w:asciiTheme="minorBidi" w:hAnsiTheme="minorBidi"/>
        </w:rPr>
        <w:t>centred approaches to care.</w:t>
      </w:r>
    </w:p>
    <w:p w14:paraId="73103D50" w14:textId="77777777" w:rsidR="00B93D65" w:rsidRDefault="00B93D65">
      <w:pPr>
        <w:pStyle w:val="Heading2"/>
        <w:rPr>
          <w:rFonts w:asciiTheme="minorBidi" w:hAnsiTheme="minorBidi" w:cstheme="minorBidi"/>
          <w:color w:val="000000" w:themeColor="text1"/>
        </w:rPr>
      </w:pPr>
    </w:p>
    <w:p w14:paraId="57D9810A" w14:textId="4EA6E0F0" w:rsidR="00AB1BA4" w:rsidRPr="00E15306" w:rsidRDefault="00000000">
      <w:pPr>
        <w:pStyle w:val="Heading2"/>
        <w:rPr>
          <w:rFonts w:asciiTheme="minorBidi" w:hAnsiTheme="minorBidi" w:cstheme="minorBidi"/>
          <w:color w:val="000000" w:themeColor="text1"/>
        </w:rPr>
      </w:pPr>
      <w:r w:rsidRPr="00E15306">
        <w:rPr>
          <w:rFonts w:asciiTheme="minorBidi" w:hAnsiTheme="minorBidi" w:cstheme="minorBidi"/>
          <w:color w:val="000000" w:themeColor="text1"/>
        </w:rPr>
        <w:t>Source 3</w:t>
      </w:r>
    </w:p>
    <w:p w14:paraId="3955BED7" w14:textId="77777777" w:rsidR="00686379" w:rsidRPr="003D3065" w:rsidRDefault="00686379" w:rsidP="00686379">
      <w:pPr>
        <w:rPr>
          <w:rFonts w:asciiTheme="minorBidi" w:hAnsiTheme="minorBidi"/>
          <w:lang w:val="en-GB"/>
        </w:rPr>
      </w:pPr>
      <w:r w:rsidRPr="003D3065">
        <w:rPr>
          <w:rFonts w:asciiTheme="minorBidi" w:hAnsiTheme="minorBidi"/>
          <w:lang w:val="en-GB"/>
        </w:rPr>
        <w:t xml:space="preserve">Seligman, M.E.P. (2011) </w:t>
      </w:r>
      <w:r w:rsidRPr="003D3065">
        <w:rPr>
          <w:rFonts w:asciiTheme="minorBidi" w:hAnsiTheme="minorBidi"/>
          <w:i/>
          <w:iCs/>
          <w:lang w:val="en-GB"/>
        </w:rPr>
        <w:t>Flourish: A visionary new understanding of happiness and wellbeing</w:t>
      </w:r>
      <w:r w:rsidRPr="003D3065">
        <w:rPr>
          <w:rFonts w:asciiTheme="minorBidi" w:hAnsiTheme="minorBidi"/>
          <w:lang w:val="en-GB"/>
        </w:rPr>
        <w:t>. New York: Free Press.</w:t>
      </w:r>
    </w:p>
    <w:p w14:paraId="5E5AA872" w14:textId="4A2A3FDA" w:rsidR="00AB1BA4" w:rsidRPr="00686379" w:rsidRDefault="5868D66D" w:rsidP="16C1E6F2">
      <w:pPr>
        <w:rPr>
          <w:rFonts w:asciiTheme="minorBidi" w:hAnsiTheme="minorBidi"/>
        </w:rPr>
      </w:pPr>
      <w:r w:rsidRPr="16C1E6F2">
        <w:rPr>
          <w:rFonts w:asciiTheme="minorBidi" w:hAnsiTheme="minorBidi"/>
        </w:rPr>
        <w:t xml:space="preserve">Positive psychology emerged as a movement within psychology that focuses on strengths, </w:t>
      </w:r>
      <w:r w:rsidR="13826580" w:rsidRPr="16C1E6F2">
        <w:rPr>
          <w:rFonts w:asciiTheme="minorBidi" w:hAnsiTheme="minorBidi"/>
        </w:rPr>
        <w:t>resilience,</w:t>
      </w:r>
      <w:r w:rsidRPr="16C1E6F2">
        <w:rPr>
          <w:rFonts w:asciiTheme="minorBidi" w:hAnsiTheme="minorBidi"/>
        </w:rPr>
        <w:t xml:space="preserve"> and factors that enable individuals to thrive. Seligman (2011) introduced the PERMA model to explain five key elements of wellbeing: positive emotions, engagement, relationships, </w:t>
      </w:r>
      <w:r w:rsidR="63157DA1" w:rsidRPr="16C1E6F2">
        <w:rPr>
          <w:rFonts w:asciiTheme="minorBidi" w:hAnsiTheme="minorBidi"/>
        </w:rPr>
        <w:t>meaning,</w:t>
      </w:r>
      <w:r w:rsidRPr="16C1E6F2">
        <w:rPr>
          <w:rFonts w:asciiTheme="minorBidi" w:hAnsiTheme="minorBidi"/>
        </w:rPr>
        <w:t xml:space="preserve"> and accomplishment. These components contribute to long</w:t>
      </w:r>
      <w:r w:rsidRPr="16C1E6F2">
        <w:rPr>
          <w:rFonts w:ascii="Cambria Math" w:hAnsi="Cambria Math" w:cs="Cambria Math"/>
        </w:rPr>
        <w:t>‑</w:t>
      </w:r>
      <w:r w:rsidRPr="16C1E6F2">
        <w:rPr>
          <w:rFonts w:asciiTheme="minorBidi" w:hAnsiTheme="minorBidi"/>
        </w:rPr>
        <w:t>term psychological wellbeing rather than temporary feelings of happiness.</w:t>
      </w:r>
    </w:p>
    <w:p w14:paraId="56FD051D" w14:textId="3255BE66" w:rsidR="00AB1BA4" w:rsidRPr="00686379" w:rsidRDefault="5868D66D" w:rsidP="16C1E6F2">
      <w:pPr>
        <w:rPr>
          <w:rFonts w:asciiTheme="minorBidi" w:hAnsiTheme="minorBidi"/>
        </w:rPr>
      </w:pPr>
      <w:r w:rsidRPr="16C1E6F2">
        <w:rPr>
          <w:rFonts w:asciiTheme="minorBidi" w:hAnsiTheme="minorBidi"/>
        </w:rPr>
        <w:t>Positive psychology has become increasingly influential within research on healthy ageing. For example, research by Martin</w:t>
      </w:r>
      <w:r w:rsidRPr="16C1E6F2">
        <w:rPr>
          <w:rFonts w:ascii="Cambria Math" w:hAnsi="Cambria Math" w:cs="Cambria Math"/>
        </w:rPr>
        <w:t>‑</w:t>
      </w:r>
      <w:r w:rsidRPr="16C1E6F2">
        <w:rPr>
          <w:rFonts w:asciiTheme="minorBidi" w:hAnsiTheme="minorBidi"/>
        </w:rPr>
        <w:t xml:space="preserve">Maria </w:t>
      </w:r>
      <w:r w:rsidRPr="00B93D65">
        <w:rPr>
          <w:rFonts w:asciiTheme="minorBidi" w:hAnsiTheme="minorBidi"/>
          <w:i/>
          <w:iCs/>
        </w:rPr>
        <w:t>et al.</w:t>
      </w:r>
      <w:r w:rsidRPr="16C1E6F2">
        <w:rPr>
          <w:rFonts w:asciiTheme="minorBidi" w:hAnsiTheme="minorBidi"/>
        </w:rPr>
        <w:t xml:space="preserve"> (2020) suggests that social participation and positive emotional experiences are strongly associated with improved wellbeing in later life. In residential care environments, applying PERMA principles may involve encouraging social interaction, creative </w:t>
      </w:r>
      <w:r w:rsidR="4C1B1A27" w:rsidRPr="16C1E6F2">
        <w:rPr>
          <w:rFonts w:asciiTheme="minorBidi" w:hAnsiTheme="minorBidi"/>
        </w:rPr>
        <w:t>activities,</w:t>
      </w:r>
      <w:r w:rsidRPr="16C1E6F2">
        <w:rPr>
          <w:rFonts w:asciiTheme="minorBidi" w:hAnsiTheme="minorBidi"/>
        </w:rPr>
        <w:t xml:space="preserve"> and opportunities for residents to contribute to their community. A potential criticism of positive psychology is that it may underestimate the structural challenges faced by older adults, such as health inequalities or limited resources within care services. However, when combined with person</w:t>
      </w:r>
      <w:r w:rsidRPr="16C1E6F2">
        <w:rPr>
          <w:rFonts w:ascii="Cambria Math" w:hAnsi="Cambria Math" w:cs="Cambria Math"/>
        </w:rPr>
        <w:t>‑</w:t>
      </w:r>
      <w:r w:rsidRPr="16C1E6F2">
        <w:rPr>
          <w:rFonts w:asciiTheme="minorBidi" w:hAnsiTheme="minorBidi"/>
        </w:rPr>
        <w:t>centred care approaches, the PERMA model offers practical strategies for promoting wellbeing among older adults.</w:t>
      </w:r>
    </w:p>
    <w:p w14:paraId="43BA125C" w14:textId="77777777" w:rsidR="00AB1BA4" w:rsidRPr="00E15306" w:rsidRDefault="00000000">
      <w:pPr>
        <w:pStyle w:val="Heading2"/>
        <w:rPr>
          <w:rFonts w:asciiTheme="minorBidi" w:hAnsiTheme="minorBidi" w:cstheme="minorBidi"/>
          <w:color w:val="000000" w:themeColor="text1"/>
        </w:rPr>
      </w:pPr>
      <w:r w:rsidRPr="00E15306">
        <w:rPr>
          <w:rFonts w:asciiTheme="minorBidi" w:hAnsiTheme="minorBidi" w:cstheme="minorBidi"/>
          <w:color w:val="000000" w:themeColor="text1"/>
        </w:rPr>
        <w:lastRenderedPageBreak/>
        <w:t>Source 4</w:t>
      </w:r>
    </w:p>
    <w:p w14:paraId="3B44EE3E" w14:textId="77777777" w:rsidR="00686379" w:rsidRPr="003D3065" w:rsidRDefault="00686379" w:rsidP="00686379">
      <w:pPr>
        <w:rPr>
          <w:rFonts w:asciiTheme="minorBidi" w:hAnsiTheme="minorBidi"/>
          <w:lang w:val="en-GB"/>
        </w:rPr>
      </w:pPr>
      <w:r w:rsidRPr="003D3065">
        <w:rPr>
          <w:rFonts w:asciiTheme="minorBidi" w:hAnsiTheme="minorBidi"/>
          <w:lang w:val="en-GB"/>
        </w:rPr>
        <w:t xml:space="preserve">Gergen, K.J. and Gergen, M.M. (2001) ‘Positive aging: New images for a new age’, </w:t>
      </w:r>
      <w:r w:rsidRPr="003D3065">
        <w:rPr>
          <w:rFonts w:asciiTheme="minorBidi" w:hAnsiTheme="minorBidi"/>
          <w:i/>
          <w:iCs/>
          <w:lang w:val="en-GB"/>
        </w:rPr>
        <w:t>Ageing International</w:t>
      </w:r>
      <w:r w:rsidRPr="003D3065">
        <w:rPr>
          <w:rFonts w:asciiTheme="minorBidi" w:hAnsiTheme="minorBidi"/>
          <w:lang w:val="en-GB"/>
        </w:rPr>
        <w:t>, 27(1), pp. 3–23.</w:t>
      </w:r>
    </w:p>
    <w:p w14:paraId="6301CD61" w14:textId="4F258008" w:rsidR="00AB1BA4" w:rsidRPr="00686379" w:rsidRDefault="5868D66D" w:rsidP="16C1E6F2">
      <w:pPr>
        <w:rPr>
          <w:rFonts w:asciiTheme="minorBidi" w:hAnsiTheme="minorBidi"/>
        </w:rPr>
      </w:pPr>
      <w:r w:rsidRPr="16C1E6F2">
        <w:rPr>
          <w:rFonts w:asciiTheme="minorBidi" w:hAnsiTheme="minorBidi"/>
        </w:rPr>
        <w:t xml:space="preserve">Gergen and Gergen (2001) challenge dominant social narratives that portray ageing as a period of decline and dependency. They propose the concept of positive ageing, which </w:t>
      </w:r>
      <w:r w:rsidR="186F5535" w:rsidRPr="16C1E6F2">
        <w:rPr>
          <w:rFonts w:asciiTheme="minorBidi" w:hAnsiTheme="minorBidi"/>
        </w:rPr>
        <w:t>emphasizes</w:t>
      </w:r>
      <w:r w:rsidRPr="16C1E6F2">
        <w:rPr>
          <w:rFonts w:asciiTheme="minorBidi" w:hAnsiTheme="minorBidi"/>
        </w:rPr>
        <w:t xml:space="preserve"> the continued potential for growth, </w:t>
      </w:r>
      <w:r w:rsidR="19BF3E41" w:rsidRPr="16C1E6F2">
        <w:rPr>
          <w:rFonts w:asciiTheme="minorBidi" w:hAnsiTheme="minorBidi"/>
        </w:rPr>
        <w:t>contribution,</w:t>
      </w:r>
      <w:r w:rsidRPr="16C1E6F2">
        <w:rPr>
          <w:rFonts w:asciiTheme="minorBidi" w:hAnsiTheme="minorBidi"/>
        </w:rPr>
        <w:t xml:space="preserve"> and meaningful engagement in later life. According to this perspective, the way society views ageing strongly influences how older adults experience this stage of life.</w:t>
      </w:r>
    </w:p>
    <w:p w14:paraId="5730F507" w14:textId="20D0F700" w:rsidR="00AB1BA4" w:rsidRPr="00686379" w:rsidRDefault="5868D66D" w:rsidP="16C1E6F2">
      <w:pPr>
        <w:rPr>
          <w:rFonts w:asciiTheme="minorBidi" w:hAnsiTheme="minorBidi"/>
        </w:rPr>
      </w:pPr>
      <w:r w:rsidRPr="16C1E6F2">
        <w:rPr>
          <w:rFonts w:asciiTheme="minorBidi" w:hAnsiTheme="minorBidi"/>
        </w:rPr>
        <w:t>This perspective has important implications for health and social care practice. Institutional environments such as residential care homes can sometimes reinforce stereotypes that older adults are passive recipients of care. Adopting a positive ageing perspective encourages professionals to recognise residents’ strengths, experiences and capabilities. Encouraging participation in decision</w:t>
      </w:r>
      <w:r w:rsidRPr="16C1E6F2">
        <w:rPr>
          <w:rFonts w:ascii="Cambria Math" w:hAnsi="Cambria Math" w:cs="Cambria Math"/>
        </w:rPr>
        <w:t>‑</w:t>
      </w:r>
      <w:r w:rsidRPr="16C1E6F2">
        <w:rPr>
          <w:rFonts w:asciiTheme="minorBidi" w:hAnsiTheme="minorBidi"/>
        </w:rPr>
        <w:t xml:space="preserve">making, social </w:t>
      </w:r>
      <w:r w:rsidR="15B73AF6" w:rsidRPr="16C1E6F2">
        <w:rPr>
          <w:rFonts w:asciiTheme="minorBidi" w:hAnsiTheme="minorBidi"/>
        </w:rPr>
        <w:t>activities,</w:t>
      </w:r>
      <w:r w:rsidRPr="16C1E6F2">
        <w:rPr>
          <w:rFonts w:asciiTheme="minorBidi" w:hAnsiTheme="minorBidi"/>
        </w:rPr>
        <w:t xml:space="preserve"> and community roles may help maintain identity and dignity. Nevertheless, some scholars argue that positive ageing discourses may overlook structural inequalities that influence opportunities in later life (Foster and Walker, 2021). Despite this critique, the concept remains valuable in promoting empowerment and respectful care for older adults.</w:t>
      </w:r>
    </w:p>
    <w:p w14:paraId="0C34F1E0" w14:textId="77777777" w:rsidR="00AB1BA4" w:rsidRPr="00686379" w:rsidRDefault="00000000">
      <w:pPr>
        <w:rPr>
          <w:rFonts w:asciiTheme="minorBidi" w:hAnsiTheme="minorBidi"/>
        </w:rPr>
      </w:pPr>
      <w:r w:rsidRPr="00686379">
        <w:rPr>
          <w:rFonts w:asciiTheme="minorBidi" w:hAnsiTheme="minorBidi"/>
        </w:rPr>
        <w:br w:type="page"/>
      </w:r>
    </w:p>
    <w:p w14:paraId="662FDA2A" w14:textId="77777777" w:rsidR="00AB1BA4" w:rsidRPr="00E15306" w:rsidRDefault="00000000">
      <w:pPr>
        <w:pStyle w:val="Heading1"/>
        <w:rPr>
          <w:rFonts w:asciiTheme="minorBidi" w:hAnsiTheme="minorBidi" w:cstheme="minorBidi"/>
          <w:color w:val="000000" w:themeColor="text1"/>
        </w:rPr>
      </w:pPr>
      <w:r w:rsidRPr="00E15306">
        <w:rPr>
          <w:rFonts w:asciiTheme="minorBidi" w:hAnsiTheme="minorBidi" w:cstheme="minorBidi"/>
          <w:color w:val="000000" w:themeColor="text1"/>
        </w:rPr>
        <w:lastRenderedPageBreak/>
        <w:t>Part B: Short Report</w:t>
      </w:r>
    </w:p>
    <w:p w14:paraId="54D17B83" w14:textId="77777777" w:rsidR="00AB1BA4" w:rsidRPr="00E15306" w:rsidRDefault="00000000">
      <w:pPr>
        <w:rPr>
          <w:rFonts w:asciiTheme="minorBidi" w:hAnsiTheme="minorBidi"/>
          <w:b/>
          <w:bCs/>
        </w:rPr>
      </w:pPr>
      <w:r w:rsidRPr="00E15306">
        <w:rPr>
          <w:rFonts w:asciiTheme="minorBidi" w:hAnsiTheme="minorBidi"/>
          <w:b/>
          <w:bCs/>
        </w:rPr>
        <w:t>Introduction</w:t>
      </w:r>
    </w:p>
    <w:p w14:paraId="037C2CE8" w14:textId="20B428EA" w:rsidR="00AB1BA4" w:rsidRPr="00686379" w:rsidRDefault="5868D66D" w:rsidP="16C1E6F2">
      <w:pPr>
        <w:rPr>
          <w:rFonts w:asciiTheme="minorBidi" w:hAnsiTheme="minorBidi"/>
        </w:rPr>
      </w:pPr>
      <w:r w:rsidRPr="16C1E6F2">
        <w:rPr>
          <w:rFonts w:asciiTheme="minorBidi" w:hAnsiTheme="minorBidi"/>
        </w:rPr>
        <w:t xml:space="preserve">Older adults living in residential care homes frequently experience significant life transitions including loss of independence, changes in social </w:t>
      </w:r>
      <w:r w:rsidR="50F7CD99" w:rsidRPr="16C1E6F2">
        <w:rPr>
          <w:rFonts w:asciiTheme="minorBidi" w:hAnsiTheme="minorBidi"/>
        </w:rPr>
        <w:t>networks,</w:t>
      </w:r>
      <w:r w:rsidRPr="16C1E6F2">
        <w:rPr>
          <w:rFonts w:asciiTheme="minorBidi" w:hAnsiTheme="minorBidi"/>
        </w:rPr>
        <w:t xml:space="preserve"> and declining physical health. These transitions can have a substantial impact on psychological wellbeing and may increase the risk of loneliness, </w:t>
      </w:r>
      <w:r w:rsidR="4199AC21" w:rsidRPr="16C1E6F2">
        <w:rPr>
          <w:rFonts w:asciiTheme="minorBidi" w:hAnsiTheme="minorBidi"/>
        </w:rPr>
        <w:t>depression,</w:t>
      </w:r>
      <w:r w:rsidRPr="16C1E6F2">
        <w:rPr>
          <w:rFonts w:asciiTheme="minorBidi" w:hAnsiTheme="minorBidi"/>
        </w:rPr>
        <w:t xml:space="preserve"> and reduced sense of purpose. Health and social care professionals therefore have a critical role in supporting emotional wellbeing in later life. Positive psychology provides a useful framework for understanding how wellbeing can be promoted among older adults. This report examines the principles of positive psychology and explores how this theory can be applied within residential care environments to improve psychological wellbeing and quality of life.</w:t>
      </w:r>
    </w:p>
    <w:p w14:paraId="4DD36B5D" w14:textId="77777777" w:rsidR="00AB1BA4" w:rsidRPr="00E15306" w:rsidRDefault="00000000">
      <w:pPr>
        <w:rPr>
          <w:rFonts w:asciiTheme="minorBidi" w:hAnsiTheme="minorBidi"/>
          <w:b/>
          <w:bCs/>
        </w:rPr>
      </w:pPr>
      <w:r w:rsidRPr="00E15306">
        <w:rPr>
          <w:rFonts w:asciiTheme="minorBidi" w:hAnsiTheme="minorBidi"/>
          <w:b/>
          <w:bCs/>
        </w:rPr>
        <w:t>Explanation of the Theory</w:t>
      </w:r>
    </w:p>
    <w:p w14:paraId="42CAB9A2" w14:textId="1227FD8A" w:rsidR="00AB1BA4" w:rsidRPr="00686379" w:rsidRDefault="5868D66D" w:rsidP="16C1E6F2">
      <w:pPr>
        <w:rPr>
          <w:rFonts w:asciiTheme="minorBidi" w:hAnsiTheme="minorBidi"/>
        </w:rPr>
      </w:pPr>
      <w:r w:rsidRPr="16C1E6F2">
        <w:rPr>
          <w:rFonts w:asciiTheme="minorBidi" w:hAnsiTheme="minorBidi"/>
        </w:rPr>
        <w:t xml:space="preserve">Positive psychology focuses on the factors that allow individuals and communities to flourish. Rather than concentrating solely on illness or dysfunction, this perspective </w:t>
      </w:r>
      <w:r w:rsidR="00F6AD7D" w:rsidRPr="16C1E6F2">
        <w:rPr>
          <w:rFonts w:asciiTheme="minorBidi" w:hAnsiTheme="minorBidi"/>
        </w:rPr>
        <w:t>emphasizes</w:t>
      </w:r>
      <w:r w:rsidRPr="16C1E6F2">
        <w:rPr>
          <w:rFonts w:asciiTheme="minorBidi" w:hAnsiTheme="minorBidi"/>
        </w:rPr>
        <w:t xml:space="preserve"> strengths, </w:t>
      </w:r>
      <w:r w:rsidR="5CC28CEB" w:rsidRPr="16C1E6F2">
        <w:rPr>
          <w:rFonts w:asciiTheme="minorBidi" w:hAnsiTheme="minorBidi"/>
        </w:rPr>
        <w:t>resilience,</w:t>
      </w:r>
      <w:r w:rsidRPr="16C1E6F2">
        <w:rPr>
          <w:rFonts w:asciiTheme="minorBidi" w:hAnsiTheme="minorBidi"/>
        </w:rPr>
        <w:t xml:space="preserve"> and positive experiences. Seligman’s (2011) PERMA model outlines five key components of wellbeing: positive emotions, engagement, relationships, meaning and accomplishment.</w:t>
      </w:r>
    </w:p>
    <w:p w14:paraId="76405670" w14:textId="6DD40B12" w:rsidR="00AB1BA4" w:rsidRPr="00686379" w:rsidRDefault="5868D66D" w:rsidP="16C1E6F2">
      <w:pPr>
        <w:rPr>
          <w:rFonts w:asciiTheme="minorBidi" w:hAnsiTheme="minorBidi"/>
        </w:rPr>
      </w:pPr>
      <w:r w:rsidRPr="16C1E6F2">
        <w:rPr>
          <w:rFonts w:asciiTheme="minorBidi" w:hAnsiTheme="minorBidi"/>
        </w:rPr>
        <w:t xml:space="preserve">Positive emotions such as happiness, </w:t>
      </w:r>
      <w:r w:rsidR="671658DD" w:rsidRPr="16C1E6F2">
        <w:rPr>
          <w:rFonts w:asciiTheme="minorBidi" w:hAnsiTheme="minorBidi"/>
        </w:rPr>
        <w:t>gratitude,</w:t>
      </w:r>
      <w:r w:rsidRPr="16C1E6F2">
        <w:rPr>
          <w:rFonts w:asciiTheme="minorBidi" w:hAnsiTheme="minorBidi"/>
        </w:rPr>
        <w:t xml:space="preserve"> and hope contribute to emotional resilience and life satisfaction. Engagement refers to being deeply involved in meaningful activities, which can promote a sense of fulfilment. Research has shown that meaningful engagement is strongly associated with improved mental health and reduced loneliness among older adults (Steptoe, Deaton and Stone, 2015). Relationships represent another essential element of wellbeing because supportive social networks help individuals cope with stress and maintain emotional stability.</w:t>
      </w:r>
    </w:p>
    <w:p w14:paraId="1D40F7AF" w14:textId="6931EF9E" w:rsidR="00AB1BA4" w:rsidRPr="00686379" w:rsidRDefault="5868D66D" w:rsidP="16C1E6F2">
      <w:pPr>
        <w:rPr>
          <w:rFonts w:asciiTheme="minorBidi" w:hAnsiTheme="minorBidi"/>
        </w:rPr>
      </w:pPr>
      <w:r w:rsidRPr="16C1E6F2">
        <w:rPr>
          <w:rFonts w:asciiTheme="minorBidi" w:hAnsiTheme="minorBidi"/>
        </w:rPr>
        <w:t xml:space="preserve">Meaning involves feeling that life has purpose and value. Older adults often find meaning through sharing life experiences, mentoring </w:t>
      </w:r>
      <w:r w:rsidR="48BA06B4" w:rsidRPr="16C1E6F2">
        <w:rPr>
          <w:rFonts w:asciiTheme="minorBidi" w:hAnsiTheme="minorBidi"/>
        </w:rPr>
        <w:t>others,</w:t>
      </w:r>
      <w:r w:rsidRPr="16C1E6F2">
        <w:rPr>
          <w:rFonts w:asciiTheme="minorBidi" w:hAnsiTheme="minorBidi"/>
        </w:rPr>
        <w:t xml:space="preserve"> or participating in community activities. Accomplishment refers to achieving goals and maintaining confidence in one’s abilities. Even small achievements, such as learning a new skill or contributing to group activities, can strengthen self</w:t>
      </w:r>
      <w:r w:rsidRPr="16C1E6F2">
        <w:rPr>
          <w:rFonts w:ascii="Cambria Math" w:hAnsi="Cambria Math" w:cs="Cambria Math"/>
        </w:rPr>
        <w:t>‑</w:t>
      </w:r>
      <w:r w:rsidRPr="16C1E6F2">
        <w:rPr>
          <w:rFonts w:asciiTheme="minorBidi" w:hAnsiTheme="minorBidi"/>
        </w:rPr>
        <w:t>esteem. Together these elements provide a framework for promoting wellbeing across the lifespan.</w:t>
      </w:r>
    </w:p>
    <w:p w14:paraId="606AA4C0" w14:textId="77777777" w:rsidR="00AB1BA4" w:rsidRPr="00E15306" w:rsidRDefault="00000000">
      <w:pPr>
        <w:rPr>
          <w:rFonts w:asciiTheme="minorBidi" w:hAnsiTheme="minorBidi"/>
          <w:b/>
          <w:bCs/>
        </w:rPr>
      </w:pPr>
      <w:r w:rsidRPr="00E15306">
        <w:rPr>
          <w:rFonts w:asciiTheme="minorBidi" w:hAnsiTheme="minorBidi"/>
          <w:b/>
          <w:bCs/>
        </w:rPr>
        <w:lastRenderedPageBreak/>
        <w:t>Application to Residential Care</w:t>
      </w:r>
    </w:p>
    <w:p w14:paraId="763F5215" w14:textId="51139A0F" w:rsidR="00AB1BA4" w:rsidRPr="00686379" w:rsidRDefault="5868D66D" w:rsidP="16C1E6F2">
      <w:pPr>
        <w:rPr>
          <w:rFonts w:asciiTheme="minorBidi" w:hAnsiTheme="minorBidi"/>
        </w:rPr>
      </w:pPr>
      <w:r w:rsidRPr="16C1E6F2">
        <w:rPr>
          <w:rFonts w:asciiTheme="minorBidi" w:hAnsiTheme="minorBidi"/>
        </w:rPr>
        <w:t xml:space="preserve">Applying positive psychology within residential care homes involves creating environments that support engagement, social </w:t>
      </w:r>
      <w:r w:rsidR="108DF689" w:rsidRPr="16C1E6F2">
        <w:rPr>
          <w:rFonts w:asciiTheme="minorBidi" w:hAnsiTheme="minorBidi"/>
        </w:rPr>
        <w:t>connection,</w:t>
      </w:r>
      <w:r w:rsidRPr="16C1E6F2">
        <w:rPr>
          <w:rFonts w:asciiTheme="minorBidi" w:hAnsiTheme="minorBidi"/>
        </w:rPr>
        <w:t xml:space="preserve"> and meaningful activity. Activities such as music therapy, art workshops, gardening projects and group discussions can encourage residents to remain socially active and mentally stimulated. These initiatives can also help residents maintain a sense of identity and purpose.</w:t>
      </w:r>
    </w:p>
    <w:p w14:paraId="763CE4E4" w14:textId="5B82AE9F" w:rsidR="00AB1BA4" w:rsidRPr="00686379" w:rsidRDefault="5868D66D" w:rsidP="16C1E6F2">
      <w:pPr>
        <w:rPr>
          <w:rFonts w:asciiTheme="minorBidi" w:hAnsiTheme="minorBidi"/>
        </w:rPr>
      </w:pPr>
      <w:r w:rsidRPr="16C1E6F2">
        <w:rPr>
          <w:rFonts w:asciiTheme="minorBidi" w:hAnsiTheme="minorBidi"/>
        </w:rPr>
        <w:t>For example, consider the case of Margaret, an 82</w:t>
      </w:r>
      <w:r w:rsidRPr="16C1E6F2">
        <w:rPr>
          <w:rFonts w:ascii="Cambria Math" w:hAnsi="Cambria Math" w:cs="Cambria Math"/>
        </w:rPr>
        <w:t>‑</w:t>
      </w:r>
      <w:r w:rsidRPr="16C1E6F2">
        <w:rPr>
          <w:rFonts w:asciiTheme="minorBidi" w:hAnsiTheme="minorBidi"/>
        </w:rPr>
        <w:t>year</w:t>
      </w:r>
      <w:r w:rsidRPr="16C1E6F2">
        <w:rPr>
          <w:rFonts w:ascii="Cambria Math" w:hAnsi="Cambria Math" w:cs="Cambria Math"/>
        </w:rPr>
        <w:t>‑</w:t>
      </w:r>
      <w:r w:rsidRPr="16C1E6F2">
        <w:rPr>
          <w:rFonts w:asciiTheme="minorBidi" w:hAnsiTheme="minorBidi"/>
        </w:rPr>
        <w:t xml:space="preserve">old resident who previously worked as a primary school teacher. After moving into residential </w:t>
      </w:r>
      <w:r w:rsidR="58DE47F9" w:rsidRPr="16C1E6F2">
        <w:rPr>
          <w:rFonts w:asciiTheme="minorBidi" w:hAnsiTheme="minorBidi"/>
        </w:rPr>
        <w:t>care,</w:t>
      </w:r>
      <w:r w:rsidRPr="16C1E6F2">
        <w:rPr>
          <w:rFonts w:asciiTheme="minorBidi" w:hAnsiTheme="minorBidi"/>
        </w:rPr>
        <w:t xml:space="preserve"> she reported feeling isolated and disconnected from her previous identity. Care staff introduced a weekly reading and storytelling group where Margaret reads short stories and facilitates discussions with other residents. This activity allows her to use her existing skills while also forming new social relationships.</w:t>
      </w:r>
    </w:p>
    <w:p w14:paraId="1925E303" w14:textId="77777777" w:rsidR="00AB1BA4" w:rsidRPr="00686379" w:rsidRDefault="00000000">
      <w:pPr>
        <w:rPr>
          <w:rFonts w:asciiTheme="minorBidi" w:hAnsiTheme="minorBidi"/>
        </w:rPr>
      </w:pPr>
      <w:r w:rsidRPr="00686379">
        <w:rPr>
          <w:rFonts w:asciiTheme="minorBidi" w:hAnsiTheme="minorBidi"/>
        </w:rPr>
        <w:t>This example reflects several aspects of the PERMA model. Margaret experiences engagement through leading the group, relationships through interaction with other residents and accomplishment through contributing to the care home community. Research indicates that opportunities for social participation and purposeful activity are strongly linked with improved wellbeing in older adults (Martin</w:t>
      </w:r>
      <w:r w:rsidRPr="00686379">
        <w:rPr>
          <w:rFonts w:ascii="Cambria Math" w:hAnsi="Cambria Math" w:cs="Cambria Math"/>
        </w:rPr>
        <w:t>‑</w:t>
      </w:r>
      <w:r w:rsidRPr="00686379">
        <w:rPr>
          <w:rFonts w:asciiTheme="minorBidi" w:hAnsiTheme="minorBidi"/>
        </w:rPr>
        <w:t xml:space="preserve">Maria </w:t>
      </w:r>
      <w:r w:rsidRPr="00B93D65">
        <w:rPr>
          <w:rFonts w:asciiTheme="minorBidi" w:hAnsiTheme="minorBidi"/>
          <w:i/>
          <w:iCs/>
        </w:rPr>
        <w:t>et al.</w:t>
      </w:r>
      <w:r w:rsidRPr="00686379">
        <w:rPr>
          <w:rFonts w:asciiTheme="minorBidi" w:hAnsiTheme="minorBidi"/>
        </w:rPr>
        <w:t>, 2020). By integrating such initiatives into residential care settings, professionals can create environments that actively support psychological wellbeing.</w:t>
      </w:r>
    </w:p>
    <w:p w14:paraId="5D829805" w14:textId="77777777" w:rsidR="00AB1BA4" w:rsidRPr="00E15306" w:rsidRDefault="00000000">
      <w:pPr>
        <w:rPr>
          <w:rFonts w:asciiTheme="minorBidi" w:hAnsiTheme="minorBidi"/>
          <w:b/>
          <w:bCs/>
        </w:rPr>
      </w:pPr>
      <w:r w:rsidRPr="00E15306">
        <w:rPr>
          <w:rFonts w:asciiTheme="minorBidi" w:hAnsiTheme="minorBidi"/>
          <w:b/>
          <w:bCs/>
        </w:rPr>
        <w:t>Challenge and Strategy</w:t>
      </w:r>
    </w:p>
    <w:p w14:paraId="760EDEEA" w14:textId="5E683CE5" w:rsidR="00AB1BA4" w:rsidRPr="00686379" w:rsidRDefault="5868D66D" w:rsidP="16C1E6F2">
      <w:pPr>
        <w:rPr>
          <w:rFonts w:asciiTheme="minorBidi" w:hAnsiTheme="minorBidi"/>
        </w:rPr>
      </w:pPr>
      <w:r w:rsidRPr="16C1E6F2">
        <w:rPr>
          <w:rFonts w:asciiTheme="minorBidi" w:hAnsiTheme="minorBidi"/>
        </w:rPr>
        <w:t xml:space="preserve">Despite the benefits of positive psychology approaches, implementing them within residential care environments can present challenges. One of the most common difficulties is limited staffing levels and time pressures. Care professionals often </w:t>
      </w:r>
      <w:r w:rsidR="621377B4" w:rsidRPr="16C1E6F2">
        <w:rPr>
          <w:rFonts w:asciiTheme="minorBidi" w:hAnsiTheme="minorBidi"/>
        </w:rPr>
        <w:t>prioritise</w:t>
      </w:r>
      <w:r w:rsidRPr="16C1E6F2">
        <w:rPr>
          <w:rFonts w:asciiTheme="minorBidi" w:hAnsiTheme="minorBidi"/>
        </w:rPr>
        <w:t xml:space="preserve"> essential physical care tasks such as medication administration, mobility </w:t>
      </w:r>
      <w:r w:rsidR="46936A80" w:rsidRPr="16C1E6F2">
        <w:rPr>
          <w:rFonts w:asciiTheme="minorBidi" w:hAnsiTheme="minorBidi"/>
        </w:rPr>
        <w:t>support,</w:t>
      </w:r>
      <w:r w:rsidRPr="16C1E6F2">
        <w:rPr>
          <w:rFonts w:asciiTheme="minorBidi" w:hAnsiTheme="minorBidi"/>
        </w:rPr>
        <w:t xml:space="preserve"> and personal care.</w:t>
      </w:r>
    </w:p>
    <w:p w14:paraId="338AB4D0" w14:textId="77777777" w:rsidR="00AB1BA4" w:rsidRPr="00686379" w:rsidRDefault="00000000">
      <w:pPr>
        <w:rPr>
          <w:rFonts w:asciiTheme="minorBidi" w:hAnsiTheme="minorBidi"/>
        </w:rPr>
      </w:pPr>
      <w:r w:rsidRPr="00686379">
        <w:rPr>
          <w:rFonts w:asciiTheme="minorBidi" w:hAnsiTheme="minorBidi"/>
        </w:rPr>
        <w:t xml:space="preserve">A practical strategy for addressing this challenge is to integrate </w:t>
      </w:r>
      <w:proofErr w:type="gramStart"/>
      <w:r w:rsidRPr="00686379">
        <w:rPr>
          <w:rFonts w:asciiTheme="minorBidi" w:hAnsiTheme="minorBidi"/>
        </w:rPr>
        <w:t>wellbeing</w:t>
      </w:r>
      <w:r w:rsidRPr="00686379">
        <w:rPr>
          <w:rFonts w:ascii="Cambria Math" w:hAnsi="Cambria Math" w:cs="Cambria Math"/>
        </w:rPr>
        <w:t>‑</w:t>
      </w:r>
      <w:proofErr w:type="gramEnd"/>
      <w:r w:rsidRPr="00686379">
        <w:rPr>
          <w:rFonts w:asciiTheme="minorBidi" w:hAnsiTheme="minorBidi"/>
        </w:rPr>
        <w:t>focused interactions into everyday routines. For example, staff can encourage conversations about residents</w:t>
      </w:r>
      <w:r w:rsidRPr="00686379">
        <w:rPr>
          <w:rFonts w:cs="Arial"/>
        </w:rPr>
        <w:t>’</w:t>
      </w:r>
      <w:r w:rsidRPr="00686379">
        <w:rPr>
          <w:rFonts w:asciiTheme="minorBidi" w:hAnsiTheme="minorBidi"/>
        </w:rPr>
        <w:t xml:space="preserve"> interests during mealtimes, involve residents in decisions about daily activities and support informal social interactions. Providing staff training on person</w:t>
      </w:r>
      <w:r w:rsidRPr="00686379">
        <w:rPr>
          <w:rFonts w:ascii="Cambria Math" w:hAnsi="Cambria Math" w:cs="Cambria Math"/>
        </w:rPr>
        <w:t>‑</w:t>
      </w:r>
      <w:r w:rsidRPr="00686379">
        <w:rPr>
          <w:rFonts w:asciiTheme="minorBidi" w:hAnsiTheme="minorBidi"/>
        </w:rPr>
        <w:t xml:space="preserve">centred care and wellbeing promotion can also help ensure that psychological </w:t>
      </w:r>
      <w:r w:rsidRPr="00686379">
        <w:rPr>
          <w:rFonts w:asciiTheme="minorBidi" w:hAnsiTheme="minorBidi"/>
        </w:rPr>
        <w:lastRenderedPageBreak/>
        <w:t>wellbeing is recognised as a core component of high</w:t>
      </w:r>
      <w:r w:rsidRPr="00686379">
        <w:rPr>
          <w:rFonts w:ascii="Cambria Math" w:hAnsi="Cambria Math" w:cs="Cambria Math"/>
        </w:rPr>
        <w:t>‑</w:t>
      </w:r>
      <w:r w:rsidRPr="00686379">
        <w:rPr>
          <w:rFonts w:asciiTheme="minorBidi" w:hAnsiTheme="minorBidi"/>
        </w:rPr>
        <w:t>quality care rather than an optional extra.</w:t>
      </w:r>
    </w:p>
    <w:p w14:paraId="6B476880" w14:textId="77777777" w:rsidR="00AB1BA4" w:rsidRPr="00E15306" w:rsidRDefault="00000000">
      <w:pPr>
        <w:rPr>
          <w:rFonts w:asciiTheme="minorBidi" w:hAnsiTheme="minorBidi"/>
          <w:b/>
          <w:bCs/>
        </w:rPr>
      </w:pPr>
      <w:r w:rsidRPr="00E15306">
        <w:rPr>
          <w:rFonts w:asciiTheme="minorBidi" w:hAnsiTheme="minorBidi"/>
          <w:b/>
          <w:bCs/>
        </w:rPr>
        <w:t>Conclusion</w:t>
      </w:r>
    </w:p>
    <w:p w14:paraId="2D80E7A5" w14:textId="32A450CC" w:rsidR="00AB1BA4" w:rsidRPr="00686379" w:rsidRDefault="5868D66D" w:rsidP="16C1E6F2">
      <w:pPr>
        <w:rPr>
          <w:rFonts w:asciiTheme="minorBidi" w:hAnsiTheme="minorBidi"/>
        </w:rPr>
      </w:pPr>
      <w:r w:rsidRPr="16C1E6F2">
        <w:rPr>
          <w:rFonts w:asciiTheme="minorBidi" w:hAnsiTheme="minorBidi"/>
        </w:rPr>
        <w:t xml:space="preserve">Positive psychology provides a valuable framework for supporting the psychological wellbeing of older adults living in residential care homes. By promoting engagement, relationships, meaning and accomplishment, care professionals can help residents maintain identity, </w:t>
      </w:r>
      <w:r w:rsidR="3BAB1F1B" w:rsidRPr="16C1E6F2">
        <w:rPr>
          <w:rFonts w:asciiTheme="minorBidi" w:hAnsiTheme="minorBidi"/>
        </w:rPr>
        <w:t>dignity,</w:t>
      </w:r>
      <w:r w:rsidRPr="16C1E6F2">
        <w:rPr>
          <w:rFonts w:asciiTheme="minorBidi" w:hAnsiTheme="minorBidi"/>
        </w:rPr>
        <w:t xml:space="preserve"> and life satisfaction. Integrating these principles into everyday care practice can therefore contribute significantly to improving quality of life in later adulthood.</w:t>
      </w:r>
    </w:p>
    <w:p w14:paraId="45436335" w14:textId="77777777" w:rsidR="00AB1BA4" w:rsidRPr="00686379" w:rsidRDefault="00000000">
      <w:pPr>
        <w:rPr>
          <w:rFonts w:asciiTheme="minorBidi" w:hAnsiTheme="minorBidi"/>
        </w:rPr>
      </w:pPr>
      <w:r w:rsidRPr="00686379">
        <w:rPr>
          <w:rFonts w:asciiTheme="minorBidi" w:hAnsiTheme="minorBidi"/>
        </w:rPr>
        <w:br w:type="page"/>
      </w:r>
    </w:p>
    <w:p w14:paraId="74A773FD" w14:textId="5719B575" w:rsidR="00E15306" w:rsidRPr="00E15306" w:rsidRDefault="00000000" w:rsidP="00E15306">
      <w:pPr>
        <w:pStyle w:val="Heading1"/>
        <w:rPr>
          <w:rFonts w:asciiTheme="minorBidi" w:hAnsiTheme="minorBidi" w:cstheme="minorBidi"/>
          <w:color w:val="000000" w:themeColor="text1"/>
        </w:rPr>
      </w:pPr>
      <w:r w:rsidRPr="00E15306">
        <w:rPr>
          <w:rFonts w:asciiTheme="minorBidi" w:hAnsiTheme="minorBidi" w:cstheme="minorBidi"/>
          <w:color w:val="000000" w:themeColor="text1"/>
        </w:rPr>
        <w:lastRenderedPageBreak/>
        <w:t>Reference List</w:t>
      </w:r>
    </w:p>
    <w:p w14:paraId="1ED78F02" w14:textId="77777777" w:rsidR="00B93D65" w:rsidRDefault="00B93D65" w:rsidP="003D3065">
      <w:pPr>
        <w:rPr>
          <w:rFonts w:asciiTheme="minorBidi" w:hAnsiTheme="minorBidi"/>
          <w:lang w:val="en-GB"/>
        </w:rPr>
      </w:pPr>
    </w:p>
    <w:p w14:paraId="77C2B46B" w14:textId="5B030B5B" w:rsidR="003D3065" w:rsidRPr="003D3065" w:rsidRDefault="003D3065" w:rsidP="003D3065">
      <w:pPr>
        <w:rPr>
          <w:rFonts w:asciiTheme="minorBidi" w:hAnsiTheme="minorBidi"/>
          <w:lang w:val="en-GB"/>
        </w:rPr>
      </w:pPr>
      <w:r w:rsidRPr="003D3065">
        <w:rPr>
          <w:rFonts w:asciiTheme="minorBidi" w:hAnsiTheme="minorBidi"/>
          <w:lang w:val="en-GB"/>
        </w:rPr>
        <w:t xml:space="preserve">Erikson, E.H. (1982) </w:t>
      </w:r>
      <w:r w:rsidRPr="003D3065">
        <w:rPr>
          <w:rFonts w:asciiTheme="minorBidi" w:hAnsiTheme="minorBidi"/>
          <w:i/>
          <w:iCs/>
          <w:lang w:val="en-GB"/>
        </w:rPr>
        <w:t>The life cycle completed</w:t>
      </w:r>
      <w:r w:rsidRPr="003D3065">
        <w:rPr>
          <w:rFonts w:asciiTheme="minorBidi" w:hAnsiTheme="minorBidi"/>
          <w:lang w:val="en-GB"/>
        </w:rPr>
        <w:t>. New York: W.W. Norton.</w:t>
      </w:r>
    </w:p>
    <w:p w14:paraId="03906A61" w14:textId="77777777" w:rsidR="003D3065" w:rsidRPr="003D3065" w:rsidRDefault="003D3065" w:rsidP="003D3065">
      <w:pPr>
        <w:rPr>
          <w:rFonts w:asciiTheme="minorBidi" w:hAnsiTheme="minorBidi"/>
          <w:lang w:val="en-GB"/>
        </w:rPr>
      </w:pPr>
      <w:r w:rsidRPr="003D3065">
        <w:rPr>
          <w:rFonts w:asciiTheme="minorBidi" w:hAnsiTheme="minorBidi"/>
          <w:lang w:val="en-GB"/>
        </w:rPr>
        <w:t xml:space="preserve">Foster, L. and Walker, A. (2021) ‘Active and positive ageing: A framework for policy and practice’, </w:t>
      </w:r>
      <w:r w:rsidRPr="003D3065">
        <w:rPr>
          <w:rFonts w:asciiTheme="minorBidi" w:hAnsiTheme="minorBidi"/>
          <w:i/>
          <w:iCs/>
          <w:lang w:val="en-GB"/>
        </w:rPr>
        <w:t>Social Policy &amp; Society</w:t>
      </w:r>
      <w:r w:rsidRPr="003D3065">
        <w:rPr>
          <w:rFonts w:asciiTheme="minorBidi" w:hAnsiTheme="minorBidi"/>
          <w:lang w:val="en-GB"/>
        </w:rPr>
        <w:t>, 20(2), pp. 1–12.</w:t>
      </w:r>
    </w:p>
    <w:p w14:paraId="564DC84E" w14:textId="77777777" w:rsidR="003D3065" w:rsidRPr="003D3065" w:rsidRDefault="003D3065" w:rsidP="003D3065">
      <w:pPr>
        <w:rPr>
          <w:rFonts w:asciiTheme="minorBidi" w:hAnsiTheme="minorBidi"/>
          <w:lang w:val="en-GB"/>
        </w:rPr>
      </w:pPr>
      <w:r w:rsidRPr="003D3065">
        <w:rPr>
          <w:rFonts w:asciiTheme="minorBidi" w:hAnsiTheme="minorBidi"/>
          <w:lang w:val="en-GB"/>
        </w:rPr>
        <w:t xml:space="preserve">Gergen, K.J. and Gergen, M.M. (2001) ‘Positive aging: New images for a new age’, </w:t>
      </w:r>
      <w:r w:rsidRPr="003D3065">
        <w:rPr>
          <w:rFonts w:asciiTheme="minorBidi" w:hAnsiTheme="minorBidi"/>
          <w:i/>
          <w:iCs/>
          <w:lang w:val="en-GB"/>
        </w:rPr>
        <w:t>Ageing International</w:t>
      </w:r>
      <w:r w:rsidRPr="003D3065">
        <w:rPr>
          <w:rFonts w:asciiTheme="minorBidi" w:hAnsiTheme="minorBidi"/>
          <w:lang w:val="en-GB"/>
        </w:rPr>
        <w:t>, 27(1), pp. 3–23.</w:t>
      </w:r>
    </w:p>
    <w:p w14:paraId="010A339A" w14:textId="77777777" w:rsidR="003D3065" w:rsidRPr="003D3065" w:rsidRDefault="003D3065" w:rsidP="003D3065">
      <w:pPr>
        <w:rPr>
          <w:rFonts w:asciiTheme="minorBidi" w:hAnsiTheme="minorBidi"/>
          <w:lang w:val="en-GB"/>
        </w:rPr>
      </w:pPr>
      <w:r w:rsidRPr="003D3065">
        <w:rPr>
          <w:rFonts w:asciiTheme="minorBidi" w:hAnsiTheme="minorBidi"/>
          <w:lang w:val="en-GB"/>
        </w:rPr>
        <w:t xml:space="preserve">Martin-Maria, N., Caballero, F.F., Miret, M., Tyrovolas, S., Haro, J.M. and Ayuso-Mateos, J.L. (2020) ‘Differential impact of social participation on health outcomes among community-dwelling older adults’, </w:t>
      </w:r>
      <w:r w:rsidRPr="003D3065">
        <w:rPr>
          <w:rFonts w:asciiTheme="minorBidi" w:hAnsiTheme="minorBidi"/>
          <w:i/>
          <w:iCs/>
          <w:lang w:val="en-GB"/>
        </w:rPr>
        <w:t>Aging &amp; Mental Health</w:t>
      </w:r>
      <w:r w:rsidRPr="003D3065">
        <w:rPr>
          <w:rFonts w:asciiTheme="minorBidi" w:hAnsiTheme="minorBidi"/>
          <w:lang w:val="en-GB"/>
        </w:rPr>
        <w:t>, 24(4), pp. 578–585.</w:t>
      </w:r>
    </w:p>
    <w:p w14:paraId="7F6A578F" w14:textId="77777777" w:rsidR="003D3065" w:rsidRPr="003D3065" w:rsidRDefault="003D3065" w:rsidP="003D3065">
      <w:pPr>
        <w:rPr>
          <w:rFonts w:asciiTheme="minorBidi" w:hAnsiTheme="minorBidi"/>
          <w:lang w:val="en-GB"/>
        </w:rPr>
      </w:pPr>
      <w:r w:rsidRPr="003D3065">
        <w:rPr>
          <w:rFonts w:asciiTheme="minorBidi" w:hAnsiTheme="minorBidi"/>
          <w:lang w:val="en-GB"/>
        </w:rPr>
        <w:t xml:space="preserve">Seligman, M.E.P. (2011) </w:t>
      </w:r>
      <w:r w:rsidRPr="003D3065">
        <w:rPr>
          <w:rFonts w:asciiTheme="minorBidi" w:hAnsiTheme="minorBidi"/>
          <w:i/>
          <w:iCs/>
          <w:lang w:val="en-GB"/>
        </w:rPr>
        <w:t>Flourish: A visionary new understanding of happiness and wellbeing</w:t>
      </w:r>
      <w:r w:rsidRPr="003D3065">
        <w:rPr>
          <w:rFonts w:asciiTheme="minorBidi" w:hAnsiTheme="minorBidi"/>
          <w:lang w:val="en-GB"/>
        </w:rPr>
        <w:t>. New York: Free Press.</w:t>
      </w:r>
    </w:p>
    <w:p w14:paraId="2DAE0722" w14:textId="77777777" w:rsidR="003D3065" w:rsidRPr="003D3065" w:rsidRDefault="003D3065" w:rsidP="003D3065">
      <w:pPr>
        <w:rPr>
          <w:rFonts w:asciiTheme="minorBidi" w:hAnsiTheme="minorBidi"/>
          <w:lang w:val="en-GB"/>
        </w:rPr>
      </w:pPr>
      <w:r w:rsidRPr="003D3065">
        <w:rPr>
          <w:rFonts w:asciiTheme="minorBidi" w:hAnsiTheme="minorBidi"/>
          <w:lang w:val="en-GB"/>
        </w:rPr>
        <w:t xml:space="preserve">Steptoe, A., Deaton, A. and Stone, A.A. (2015) ‘Subjective wellbeing, health and ageing’, </w:t>
      </w:r>
      <w:r w:rsidRPr="003D3065">
        <w:rPr>
          <w:rFonts w:asciiTheme="minorBidi" w:hAnsiTheme="minorBidi"/>
          <w:i/>
          <w:iCs/>
          <w:lang w:val="en-GB"/>
        </w:rPr>
        <w:t>The Lancet</w:t>
      </w:r>
      <w:r w:rsidRPr="003D3065">
        <w:rPr>
          <w:rFonts w:asciiTheme="minorBidi" w:hAnsiTheme="minorBidi"/>
          <w:lang w:val="en-GB"/>
        </w:rPr>
        <w:t>, 385(9968), pp. 640–648.</w:t>
      </w:r>
    </w:p>
    <w:p w14:paraId="08545DE0" w14:textId="77777777" w:rsidR="003D3065" w:rsidRPr="003D3065" w:rsidRDefault="003D3065" w:rsidP="003D3065">
      <w:pPr>
        <w:rPr>
          <w:rFonts w:asciiTheme="minorBidi" w:hAnsiTheme="minorBidi"/>
          <w:lang w:val="en-GB"/>
        </w:rPr>
      </w:pPr>
      <w:r w:rsidRPr="003D3065">
        <w:rPr>
          <w:rFonts w:asciiTheme="minorBidi" w:hAnsiTheme="minorBidi"/>
          <w:lang w:val="en-GB"/>
        </w:rPr>
        <w:t xml:space="preserve">Westerhof, G.J. and Keyes, C.L.M. (2010) ‘Mental illness and mental health: The two continua model across the lifespan’, </w:t>
      </w:r>
      <w:r w:rsidRPr="003D3065">
        <w:rPr>
          <w:rFonts w:asciiTheme="minorBidi" w:hAnsiTheme="minorBidi"/>
          <w:i/>
          <w:iCs/>
          <w:lang w:val="en-GB"/>
        </w:rPr>
        <w:t>Journal of Adult Development</w:t>
      </w:r>
      <w:r w:rsidRPr="003D3065">
        <w:rPr>
          <w:rFonts w:asciiTheme="minorBidi" w:hAnsiTheme="minorBidi"/>
          <w:lang w:val="en-GB"/>
        </w:rPr>
        <w:t>, 17(2), pp. 110–119.</w:t>
      </w:r>
    </w:p>
    <w:p w14:paraId="3676CA7A" w14:textId="2AA785BF" w:rsidR="00AB1BA4" w:rsidRPr="00686379" w:rsidRDefault="00AB1BA4" w:rsidP="003D3065">
      <w:pPr>
        <w:rPr>
          <w:rFonts w:asciiTheme="minorBidi" w:hAnsiTheme="minorBidi"/>
        </w:rPr>
      </w:pPr>
    </w:p>
    <w:sectPr w:rsidR="00AB1BA4" w:rsidRPr="00686379" w:rsidSect="00034616">
      <w:footerReference w:type="default" r:id="rId8"/>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4F2479" w14:textId="77777777" w:rsidR="00301289" w:rsidRDefault="00301289" w:rsidP="00B93D65">
      <w:pPr>
        <w:spacing w:after="0" w:line="240" w:lineRule="auto"/>
      </w:pPr>
      <w:r>
        <w:separator/>
      </w:r>
    </w:p>
  </w:endnote>
  <w:endnote w:type="continuationSeparator" w:id="0">
    <w:p w14:paraId="100F43A5" w14:textId="77777777" w:rsidR="00301289" w:rsidRDefault="00301289" w:rsidP="00B93D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60105002"/>
      <w:docPartObj>
        <w:docPartGallery w:val="Page Numbers (Bottom of Page)"/>
        <w:docPartUnique/>
      </w:docPartObj>
    </w:sdtPr>
    <w:sdtContent>
      <w:p w14:paraId="6A453FE7" w14:textId="470B46C7" w:rsidR="00B93D65" w:rsidRDefault="00B93D65">
        <w:pPr>
          <w:pStyle w:val="Footer"/>
          <w:jc w:val="center"/>
        </w:pPr>
        <w:r>
          <w:fldChar w:fldCharType="begin"/>
        </w:r>
        <w:r>
          <w:instrText>PAGE   \* MERGEFORMAT</w:instrText>
        </w:r>
        <w:r>
          <w:fldChar w:fldCharType="separate"/>
        </w:r>
        <w:r>
          <w:rPr>
            <w:lang w:val="en-GB"/>
          </w:rPr>
          <w:t>2</w:t>
        </w:r>
        <w:r>
          <w:fldChar w:fldCharType="end"/>
        </w:r>
      </w:p>
    </w:sdtContent>
  </w:sdt>
  <w:p w14:paraId="0F293EEE" w14:textId="77777777" w:rsidR="00B93D65" w:rsidRDefault="00B93D6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105BC05" w14:textId="77777777" w:rsidR="00301289" w:rsidRDefault="00301289" w:rsidP="00B93D65">
      <w:pPr>
        <w:spacing w:after="0" w:line="240" w:lineRule="auto"/>
      </w:pPr>
      <w:r>
        <w:separator/>
      </w:r>
    </w:p>
  </w:footnote>
  <w:footnote w:type="continuationSeparator" w:id="0">
    <w:p w14:paraId="02AE7D79" w14:textId="77777777" w:rsidR="00301289" w:rsidRDefault="00301289" w:rsidP="00B93D6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449816079">
    <w:abstractNumId w:val="8"/>
  </w:num>
  <w:num w:numId="2" w16cid:durableId="557402210">
    <w:abstractNumId w:val="6"/>
  </w:num>
  <w:num w:numId="3" w16cid:durableId="1391268577">
    <w:abstractNumId w:val="5"/>
  </w:num>
  <w:num w:numId="4" w16cid:durableId="299262802">
    <w:abstractNumId w:val="4"/>
  </w:num>
  <w:num w:numId="5" w16cid:durableId="71900074">
    <w:abstractNumId w:val="7"/>
  </w:num>
  <w:num w:numId="6" w16cid:durableId="894123695">
    <w:abstractNumId w:val="3"/>
  </w:num>
  <w:num w:numId="7" w16cid:durableId="474564716">
    <w:abstractNumId w:val="2"/>
  </w:num>
  <w:num w:numId="8" w16cid:durableId="1767968388">
    <w:abstractNumId w:val="1"/>
  </w:num>
  <w:num w:numId="9" w16cid:durableId="127516396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8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2319E"/>
    <w:rsid w:val="00034616"/>
    <w:rsid w:val="0006063C"/>
    <w:rsid w:val="0015074B"/>
    <w:rsid w:val="001E412C"/>
    <w:rsid w:val="0024687C"/>
    <w:rsid w:val="0029639D"/>
    <w:rsid w:val="00301289"/>
    <w:rsid w:val="00326F90"/>
    <w:rsid w:val="003D3065"/>
    <w:rsid w:val="00647330"/>
    <w:rsid w:val="00686379"/>
    <w:rsid w:val="00AA1D8D"/>
    <w:rsid w:val="00AB1BA4"/>
    <w:rsid w:val="00B47730"/>
    <w:rsid w:val="00B93D65"/>
    <w:rsid w:val="00CB0664"/>
    <w:rsid w:val="00E15306"/>
    <w:rsid w:val="00F6AD7D"/>
    <w:rsid w:val="00F836C7"/>
    <w:rsid w:val="00FC693F"/>
    <w:rsid w:val="01527250"/>
    <w:rsid w:val="060A2A38"/>
    <w:rsid w:val="0CB289D1"/>
    <w:rsid w:val="108DF689"/>
    <w:rsid w:val="13826580"/>
    <w:rsid w:val="15B73AF6"/>
    <w:rsid w:val="16166913"/>
    <w:rsid w:val="16C1E6F2"/>
    <w:rsid w:val="186F5535"/>
    <w:rsid w:val="19BF3E41"/>
    <w:rsid w:val="3818623B"/>
    <w:rsid w:val="3BAB1F1B"/>
    <w:rsid w:val="4199AC21"/>
    <w:rsid w:val="44FD24B7"/>
    <w:rsid w:val="46936A80"/>
    <w:rsid w:val="48BA06B4"/>
    <w:rsid w:val="4C1B1A27"/>
    <w:rsid w:val="50F7CD99"/>
    <w:rsid w:val="5868D66D"/>
    <w:rsid w:val="58DE47F9"/>
    <w:rsid w:val="5CC28CEB"/>
    <w:rsid w:val="621377B4"/>
    <w:rsid w:val="63157DA1"/>
    <w:rsid w:val="66091706"/>
    <w:rsid w:val="671658DD"/>
    <w:rsid w:val="6D9F0711"/>
    <w:rsid w:val="715F4F52"/>
    <w:rsid w:val="74337210"/>
    <w:rsid w:val="7C8EE09E"/>
    <w:rsid w:val="7DB0681E"/>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0F3EF587"/>
  <w14:defaultImageDpi w14:val="300"/>
  <w15:docId w15:val="{147129E8-CA82-4A0E-990C-872C915741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line="360" w:lineRule="auto"/>
    </w:pPr>
    <w:rPr>
      <w:rFonts w:ascii="Arial" w:hAnsi="Arial"/>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9</Pages>
  <Words>1829</Words>
  <Characters>10426</Characters>
  <Application>Microsoft Office Word</Application>
  <DocSecurity>0</DocSecurity>
  <Lines>86</Lines>
  <Paragraphs>24</Paragraphs>
  <ScaleCrop>false</ScaleCrop>
  <Manager/>
  <Company/>
  <LinksUpToDate>false</LinksUpToDate>
  <CharactersWithSpaces>12231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Alice Clayton</cp:lastModifiedBy>
  <cp:revision>2</cp:revision>
  <dcterms:created xsi:type="dcterms:W3CDTF">2026-03-19T10:14:00Z</dcterms:created>
  <dcterms:modified xsi:type="dcterms:W3CDTF">2026-03-19T10:14:00Z</dcterms:modified>
  <cp:category/>
</cp:coreProperties>
</file>