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74F" w14:textId="77777777" w:rsidR="00FD3A2C" w:rsidRPr="00FD3A2C" w:rsidRDefault="00FD3A2C" w:rsidP="004842BF">
      <w:pPr>
        <w:pStyle w:val="Heading1"/>
        <w:jc w:val="center"/>
        <w:rPr>
          <w:lang w:val="en-GB"/>
        </w:rPr>
      </w:pPr>
      <w:r w:rsidRPr="00FD3A2C">
        <w:rPr>
          <w:lang w:val="en-GB"/>
        </w:rPr>
        <w:t>The Business Model Canvas: Strategic Discovery Guide</w:t>
      </w:r>
    </w:p>
    <w:p w14:paraId="486A22E2" w14:textId="1D83EE5F" w:rsidR="00FD3A2C" w:rsidRPr="00FD3A2C" w:rsidRDefault="00FD3A2C" w:rsidP="004842BF">
      <w:pPr>
        <w:spacing w:after="240"/>
        <w:jc w:val="center"/>
        <w:rPr>
          <w:rFonts w:ascii="Aptos" w:eastAsiaTheme="majorEastAsia" w:hAnsi="Aptos" w:cstheme="majorBidi"/>
          <w:b/>
          <w:bCs/>
          <w:color w:val="E36C0A" w:themeColor="accent6" w:themeShade="BF"/>
          <w:lang w:val="en-GB"/>
        </w:rPr>
      </w:pPr>
      <w:r w:rsidRPr="00FD3A2C">
        <w:rPr>
          <w:rFonts w:ascii="Aptos" w:eastAsiaTheme="majorEastAsia" w:hAnsi="Aptos" w:cstheme="majorBidi"/>
          <w:b/>
          <w:bCs/>
          <w:color w:val="E36C0A" w:themeColor="accent6" w:themeShade="BF"/>
          <w:lang w:val="en-GB"/>
        </w:rPr>
        <w:t>Framework Architecture for Standalone Business Development Proposals</w:t>
      </w:r>
    </w:p>
    <w:p w14:paraId="08B98360" w14:textId="2066B9C7" w:rsidR="00FD3A2C" w:rsidRDefault="00FD3A2C" w:rsidP="00FD3A2C">
      <w:pPr>
        <w:spacing w:after="240"/>
        <w:rPr>
          <w:rFonts w:ascii="Segoe UI Emoji" w:eastAsiaTheme="majorEastAsia" w:hAnsi="Segoe UI Emoji" w:cs="Segoe UI Emoji"/>
          <w:lang w:val="en-GB"/>
        </w:rPr>
      </w:pPr>
      <w:r w:rsidRPr="004842BF">
        <w:rPr>
          <w:rFonts w:ascii="Segoe UI Emoji" w:eastAsiaTheme="majorEastAsia" w:hAnsi="Segoe UI Emoji" w:cs="Segoe UI Emoji"/>
          <w:b/>
          <w:bCs/>
          <w:lang w:val="en-GB"/>
        </w:rPr>
        <w:t>Update:</w:t>
      </w:r>
      <w:r>
        <w:rPr>
          <w:rFonts w:ascii="Segoe UI Emoji" w:eastAsiaTheme="majorEastAsia" w:hAnsi="Segoe UI Emoji" w:cs="Segoe UI Emoji"/>
          <w:lang w:val="en-GB"/>
        </w:rPr>
        <w:t xml:space="preserve"> 2026.07.19</w:t>
      </w:r>
    </w:p>
    <w:p w14:paraId="1B17C0E4" w14:textId="77777777" w:rsidR="00FD3A2C" w:rsidRDefault="00FD3A2C" w:rsidP="00FD3A2C">
      <w:pPr>
        <w:spacing w:after="240"/>
        <w:rPr>
          <w:rFonts w:ascii="Segoe UI Emoji" w:eastAsiaTheme="majorEastAsia" w:hAnsi="Segoe UI Emoji" w:cs="Segoe UI Emoji"/>
          <w:lang w:val="en-GB"/>
        </w:rPr>
      </w:pPr>
    </w:p>
    <w:p w14:paraId="2AC90222" w14:textId="7F92D5A0" w:rsidR="00FD3A2C" w:rsidRPr="00454D35" w:rsidRDefault="00924284" w:rsidP="00FD3A2C">
      <w:pPr>
        <w:spacing w:after="240"/>
        <w:rPr>
          <w:rFonts w:ascii="Aptos" w:eastAsiaTheme="majorEastAsia" w:hAnsi="Aptos" w:cstheme="majorBidi"/>
          <w:b/>
          <w:bCs/>
          <w:lang w:val="en-GB"/>
        </w:rPr>
      </w:pPr>
      <w:r>
        <w:rPr>
          <w:rFonts w:ascii="Aptos" w:eastAsiaTheme="majorEastAsia" w:hAnsi="Aptos" w:cstheme="majorBidi"/>
          <w:b/>
          <w:bCs/>
          <w:lang w:val="en-GB"/>
        </w:rPr>
        <w:t>Introduction</w:t>
      </w:r>
    </w:p>
    <w:p w14:paraId="7C639782" w14:textId="77777777" w:rsidR="00FD3A2C" w:rsidRDefault="00FD3A2C" w:rsidP="00FD3A2C">
      <w:pPr>
        <w:spacing w:after="240"/>
        <w:rPr>
          <w:rFonts w:ascii="Aptos" w:eastAsiaTheme="majorEastAsia" w:hAnsi="Aptos" w:cstheme="majorBidi"/>
          <w:lang w:val="en-GB"/>
        </w:rPr>
      </w:pPr>
      <w:r w:rsidRPr="00FD3A2C">
        <w:rPr>
          <w:rFonts w:ascii="Aptos" w:eastAsiaTheme="majorEastAsia" w:hAnsi="Aptos" w:cstheme="majorBidi"/>
          <w:lang w:val="en-GB"/>
        </w:rPr>
        <w:t>This Business Model Canvas (BMC) framework is designed exclusively to guide the formulation of a high-impact Business Development Proposal aimed at identifying, validating, and capturing a single, independent business opportunity. This framework operates as a rigorous, self-contained architecture; it does not function as an extension of an existing corporate plan, nor does it assume the presence of external corporate partnerships to subsidize its execution. Every operational workflow, customer acquisition engine, and financial model must be built to run entirely on the venture’s own balance sheet.</w:t>
      </w:r>
    </w:p>
    <w:p w14:paraId="616E1F35" w14:textId="7C06399A" w:rsidR="00454D35" w:rsidRDefault="001847DF" w:rsidP="00FD3A2C">
      <w:pPr>
        <w:spacing w:after="240"/>
        <w:rPr>
          <w:rFonts w:ascii="Aptos" w:eastAsiaTheme="majorEastAsia" w:hAnsi="Aptos" w:cstheme="majorBidi"/>
          <w:lang w:val="en-GB"/>
        </w:rPr>
      </w:pPr>
      <w:r w:rsidRPr="00F01F54">
        <w:rPr>
          <w:rFonts w:ascii="Aptos" w:hAnsi="Aptos"/>
          <w:noProof/>
        </w:rPr>
        <w:drawing>
          <wp:inline distT="0" distB="0" distL="0" distR="0" wp14:anchorId="15DCCC4C" wp14:editId="4ED6D14B">
            <wp:extent cx="5943600" cy="3343275"/>
            <wp:effectExtent l="0" t="0" r="0" b="9525"/>
            <wp:docPr id="6" name="Picture 5">
              <a:extLst xmlns:a="http://schemas.openxmlformats.org/drawingml/2006/main">
                <a:ext uri="{FF2B5EF4-FFF2-40B4-BE49-F238E27FC236}">
                  <a16:creationId xmlns:a16="http://schemas.microsoft.com/office/drawing/2014/main" id="{ECEAE1BD-A30C-95E2-CF4D-AEB1F3EF27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CEAE1BD-A30C-95E2-CF4D-AEB1F3EF2740}"/>
                        </a:ext>
                      </a:extLst>
                    </pic:cNvPr>
                    <pic:cNvPicPr>
                      <a:picLocks noChangeAspect="1"/>
                    </pic:cNvPicPr>
                  </pic:nvPicPr>
                  <pic:blipFill>
                    <a:blip r:embed="rId6"/>
                    <a:srcRect b="13793"/>
                    <a:stretch>
                      <a:fillRect/>
                    </a:stretch>
                  </pic:blipFill>
                  <pic:spPr>
                    <a:xfrm>
                      <a:off x="0" y="0"/>
                      <a:ext cx="5943600" cy="3343275"/>
                    </a:xfrm>
                    <a:prstGeom prst="rect">
                      <a:avLst/>
                    </a:prstGeom>
                    <a:noFill/>
                  </pic:spPr>
                </pic:pic>
              </a:graphicData>
            </a:graphic>
          </wp:inline>
        </w:drawing>
      </w:r>
    </w:p>
    <w:p w14:paraId="6D9DAAD3" w14:textId="77777777" w:rsidR="00764688" w:rsidRDefault="00764688" w:rsidP="00FD3A2C">
      <w:pPr>
        <w:spacing w:after="240"/>
        <w:rPr>
          <w:rFonts w:ascii="Aptos" w:eastAsiaTheme="majorEastAsia" w:hAnsi="Aptos" w:cstheme="majorBidi"/>
          <w:lang w:val="en-GB"/>
        </w:rPr>
      </w:pPr>
    </w:p>
    <w:p w14:paraId="5FB00EA4" w14:textId="77777777" w:rsidR="00764688" w:rsidRPr="00764688" w:rsidRDefault="00764688" w:rsidP="00764688">
      <w:pPr>
        <w:spacing w:after="240"/>
        <w:rPr>
          <w:rFonts w:ascii="Aptos" w:eastAsiaTheme="majorEastAsia" w:hAnsi="Aptos" w:cstheme="majorBidi"/>
          <w:b/>
          <w:bCs/>
          <w:lang w:val="en-GB"/>
        </w:rPr>
      </w:pPr>
      <w:r w:rsidRPr="00764688">
        <w:rPr>
          <w:rFonts w:ascii="Aptos" w:eastAsiaTheme="majorEastAsia" w:hAnsi="Aptos" w:cstheme="majorBidi"/>
          <w:b/>
          <w:bCs/>
          <w:lang w:val="en-GB"/>
        </w:rPr>
        <w:t>How to Utilize This Guide</w:t>
      </w:r>
    </w:p>
    <w:p w14:paraId="002E964E" w14:textId="77777777" w:rsidR="00764688" w:rsidRPr="00764688" w:rsidRDefault="00764688" w:rsidP="00764688">
      <w:pPr>
        <w:spacing w:after="240"/>
        <w:rPr>
          <w:rFonts w:ascii="Aptos" w:eastAsiaTheme="majorEastAsia" w:hAnsi="Aptos" w:cstheme="majorBidi"/>
          <w:lang w:val="en-GB"/>
        </w:rPr>
      </w:pPr>
      <w:r w:rsidRPr="00764688">
        <w:rPr>
          <w:rFonts w:ascii="Aptos" w:eastAsiaTheme="majorEastAsia" w:hAnsi="Aptos" w:cstheme="majorBidi"/>
          <w:lang w:val="en-GB"/>
        </w:rPr>
        <w:t>To complete this document effectively, every strategic answer provided must directly address the core discovery questions and be robustly anchored by relevant, empirical marketplace evidence.</w:t>
      </w:r>
    </w:p>
    <w:p w14:paraId="0CE6414D" w14:textId="77777777" w:rsidR="005D111C" w:rsidRPr="007C0CE5" w:rsidRDefault="005D111C" w:rsidP="007C0CE5">
      <w:pPr>
        <w:pStyle w:val="Heading2"/>
        <w:rPr>
          <w:lang w:val="en-GB"/>
        </w:rPr>
      </w:pPr>
      <w:r w:rsidRPr="007C0CE5">
        <w:rPr>
          <w:lang w:val="en-GB"/>
        </w:rPr>
        <w:lastRenderedPageBreak/>
        <w:t>1. Customer Segments</w:t>
      </w:r>
    </w:p>
    <w:p w14:paraId="65DF8008" w14:textId="77777777" w:rsidR="009F30E5" w:rsidRDefault="009F30E5" w:rsidP="00294797">
      <w:pPr>
        <w:spacing w:after="240"/>
        <w:rPr>
          <w:rFonts w:ascii="Aptos" w:hAnsi="Aptos" w:cs="Segoe UI Emoji"/>
          <w:b/>
          <w:bCs/>
          <w:lang w:val="en-GB"/>
        </w:rPr>
      </w:pPr>
    </w:p>
    <w:p w14:paraId="533BD179" w14:textId="5D497377" w:rsidR="00294797" w:rsidRDefault="008A175F" w:rsidP="00294797">
      <w:pPr>
        <w:spacing w:after="240"/>
        <w:rPr>
          <w:rFonts w:ascii="Aptos" w:hAnsi="Aptos" w:cs="Segoe UI Emoji"/>
          <w:lang w:val="en-GB"/>
        </w:rPr>
      </w:pPr>
      <w:r w:rsidRPr="008A175F">
        <w:rPr>
          <w:rFonts w:ascii="Aptos" w:hAnsi="Aptos" w:cs="Segoe UI Emoji"/>
          <w:b/>
          <w:bCs/>
          <w:lang w:val="en-GB"/>
        </w:rPr>
        <w:t>Purposes:</w:t>
      </w:r>
      <w:r w:rsidR="00891BBE">
        <w:rPr>
          <w:rFonts w:ascii="Aptos" w:hAnsi="Aptos" w:cs="Segoe UI Emoji"/>
          <w:b/>
          <w:bCs/>
          <w:lang w:val="en-GB"/>
        </w:rPr>
        <w:t xml:space="preserve"> </w:t>
      </w:r>
      <w:r w:rsidR="00294797" w:rsidRPr="007C0CE5">
        <w:rPr>
          <w:rFonts w:ascii="Aptos" w:hAnsi="Aptos" w:cs="Segoe UI Emoji"/>
          <w:lang w:val="en-GB"/>
        </w:rPr>
        <w:t>This section defines the specific, hyper-focused target audience, demographic profiles, and critical behavioral traits of the exact consumer or business segment the standalone opportunity aims to capture.</w:t>
      </w:r>
    </w:p>
    <w:p w14:paraId="0287F98D" w14:textId="77777777" w:rsidR="00294797" w:rsidRDefault="00294797" w:rsidP="00294797">
      <w:pPr>
        <w:spacing w:after="240"/>
        <w:rPr>
          <w:rFonts w:ascii="Aptos" w:hAnsi="Aptos" w:cs="Segoe UI Emoji"/>
          <w:lang w:val="en-GB"/>
        </w:rPr>
      </w:pPr>
      <w:r w:rsidRPr="008A175F">
        <w:rPr>
          <w:rFonts w:ascii="Aptos" w:hAnsi="Aptos" w:cs="Segoe UI Emoji"/>
          <w:b/>
          <w:bCs/>
          <w:lang w:val="en-GB"/>
        </w:rPr>
        <w:t>How this section fits the proposal's goal</w:t>
      </w:r>
      <w:r w:rsidRPr="007C0CE5">
        <w:rPr>
          <w:rFonts w:ascii="Aptos" w:hAnsi="Aptos" w:cs="Segoe UI Emoji"/>
          <w:lang w:val="en-GB"/>
        </w:rPr>
        <w:t>: A Business Development (BD) proposal must identify and capture a single, specific, and commercially viable business opportunity. Defining a sharp customer segment ensures that the proposal does not waste capital on a broad, generalized market entry, but instead targets a highly concentrated pool of demand that can be won independently.</w:t>
      </w:r>
    </w:p>
    <w:p w14:paraId="357D43A1" w14:textId="77777777" w:rsidR="00294797" w:rsidRPr="008A175F" w:rsidRDefault="00294797" w:rsidP="00294797">
      <w:pPr>
        <w:spacing w:after="240"/>
        <w:rPr>
          <w:rFonts w:ascii="Aptos" w:hAnsi="Aptos" w:cs="Segoe UI Emoji"/>
          <w:b/>
          <w:bCs/>
          <w:lang w:val="en-GB"/>
        </w:rPr>
      </w:pPr>
      <w:r w:rsidRPr="008A175F">
        <w:rPr>
          <w:rFonts w:ascii="Aptos" w:hAnsi="Aptos" w:cs="Segoe UI Emoji"/>
          <w:b/>
          <w:bCs/>
          <w:lang w:val="en-GB"/>
        </w:rPr>
        <w:t>Cross-Functional Mapping (Fitting with other blocks):</w:t>
      </w:r>
    </w:p>
    <w:p w14:paraId="2198542E" w14:textId="77777777" w:rsidR="00294797" w:rsidRPr="007C0CE5" w:rsidRDefault="00294797" w:rsidP="007D692C">
      <w:pPr>
        <w:numPr>
          <w:ilvl w:val="0"/>
          <w:numId w:val="19"/>
        </w:numPr>
        <w:spacing w:after="240"/>
        <w:rPr>
          <w:rFonts w:ascii="Aptos" w:hAnsi="Aptos" w:cs="Segoe UI Emoji"/>
          <w:lang w:val="en-GB"/>
        </w:rPr>
      </w:pPr>
      <w:r w:rsidRPr="007C0CE5">
        <w:rPr>
          <w:rFonts w:ascii="Aptos" w:hAnsi="Aptos" w:cs="Segoe UI Emoji"/>
          <w:lang w:val="en-GB"/>
        </w:rPr>
        <w:t>With Block 2 (Value Propositions): The specific pain points, anxiety triggers, and "jobs-to-be-done" detailed here must perfectly mirror the core benefits and features delivered in Block 2.</w:t>
      </w:r>
    </w:p>
    <w:p w14:paraId="6BE22746" w14:textId="77777777" w:rsidR="00294797" w:rsidRPr="007C0CE5" w:rsidRDefault="00294797" w:rsidP="007D692C">
      <w:pPr>
        <w:numPr>
          <w:ilvl w:val="0"/>
          <w:numId w:val="19"/>
        </w:numPr>
        <w:spacing w:after="240"/>
        <w:rPr>
          <w:rFonts w:ascii="Aptos" w:hAnsi="Aptos" w:cs="Segoe UI Emoji"/>
          <w:lang w:val="en-GB"/>
        </w:rPr>
      </w:pPr>
      <w:r w:rsidRPr="007C0CE5">
        <w:rPr>
          <w:rFonts w:ascii="Aptos" w:hAnsi="Aptos" w:cs="Segoe UI Emoji"/>
          <w:lang w:val="en-GB"/>
        </w:rPr>
        <w:t>With Block 3 &amp; 4 (Channels &amp; Relationships): The behavioral patterns, usage frequencies, and device choices identified below dictate exactly which marketing channels must be funded and how automated or personal the customer relationship must be.</w:t>
      </w:r>
    </w:p>
    <w:p w14:paraId="5E099BF8" w14:textId="264B9568" w:rsidR="00294797" w:rsidRDefault="00294797" w:rsidP="007D692C">
      <w:pPr>
        <w:numPr>
          <w:ilvl w:val="0"/>
          <w:numId w:val="19"/>
        </w:numPr>
        <w:spacing w:after="240"/>
        <w:rPr>
          <w:rFonts w:ascii="Aptos" w:hAnsi="Aptos" w:cs="Segoe UI Emoji"/>
          <w:lang w:val="en-GB"/>
        </w:rPr>
      </w:pPr>
      <w:r w:rsidRPr="007C0CE5">
        <w:rPr>
          <w:rFonts w:ascii="Aptos" w:hAnsi="Aptos" w:cs="Segoe UI Emoji"/>
          <w:lang w:val="en-GB"/>
        </w:rPr>
        <w:t>With Block 5 &amp; 9 (Revenue Streams &amp; Cost Structure): The segment's demonstrated willingness-to-pay directly sets the pricing model in Block 5, while their acquisition behaviors determine the target Customer Acquisition Cost (</w:t>
      </w:r>
      <m:oMath>
        <m:r>
          <w:rPr>
            <w:rFonts w:ascii="Cambria Math" w:hAnsi="Cambria Math" w:cs="Segoe UI Emoji"/>
            <w:lang w:val="en-GB"/>
          </w:rPr>
          <m:t>CAC</m:t>
        </m:r>
      </m:oMath>
      <w:r w:rsidRPr="007C0CE5">
        <w:rPr>
          <w:rFonts w:ascii="Aptos" w:hAnsi="Aptos" w:cs="Segoe UI Emoji"/>
          <w:lang w:val="en-GB"/>
        </w:rPr>
        <w:t>) limits in Block 9.</w:t>
      </w:r>
    </w:p>
    <w:p w14:paraId="39F48959" w14:textId="77777777" w:rsidR="008A175F" w:rsidRDefault="008A175F" w:rsidP="008A175F">
      <w:pPr>
        <w:spacing w:after="240"/>
        <w:ind w:left="360"/>
        <w:rPr>
          <w:rFonts w:ascii="Aptos" w:hAnsi="Aptos" w:cs="Segoe UI Emoji"/>
          <w:lang w:val="en-GB"/>
        </w:rPr>
      </w:pPr>
    </w:p>
    <w:p w14:paraId="6ECE3AB5" w14:textId="77777777" w:rsidR="00EF0899" w:rsidRPr="007C0CE5" w:rsidRDefault="00EF0899" w:rsidP="00EF0899">
      <w:pPr>
        <w:spacing w:after="240"/>
        <w:rPr>
          <w:rFonts w:ascii="Aptos" w:hAnsi="Aptos" w:cs="Segoe UI Emoji"/>
          <w:lang w:val="en-GB"/>
        </w:rPr>
      </w:pPr>
      <w:r w:rsidRPr="008A175F">
        <w:rPr>
          <w:rFonts w:ascii="Aptos" w:hAnsi="Aptos" w:cs="Segoe UI Emoji"/>
          <w:b/>
          <w:bCs/>
          <w:lang w:val="en-GB"/>
        </w:rPr>
        <w:t>Key questions</w:t>
      </w:r>
      <w:r w:rsidRPr="007C0CE5">
        <w:rPr>
          <w:rFonts w:ascii="Aptos" w:hAnsi="Aptos" w:cs="Segoe UI Emoji"/>
          <w:lang w:val="en-GB"/>
        </w:rPr>
        <w:t>: Who are we creating value for, and how does our independent market positioning capture segments that are currently underserved by incumbent competitors?</w:t>
      </w:r>
    </w:p>
    <w:p w14:paraId="2CC3CE4D" w14:textId="77777777" w:rsidR="00EF0899" w:rsidRDefault="00EF0899" w:rsidP="008A175F">
      <w:pPr>
        <w:spacing w:after="240"/>
        <w:ind w:left="360"/>
        <w:rPr>
          <w:rFonts w:ascii="Aptos" w:hAnsi="Aptos" w:cs="Segoe UI Emoji"/>
          <w:lang w:val="en-GB"/>
        </w:rPr>
      </w:pPr>
    </w:p>
    <w:p w14:paraId="178AEE48" w14:textId="1FBACD88" w:rsidR="008A175F" w:rsidRPr="008A175F" w:rsidRDefault="00264B26" w:rsidP="00EF0899">
      <w:pPr>
        <w:spacing w:after="240"/>
        <w:rPr>
          <w:rFonts w:ascii="Aptos" w:hAnsi="Aptos" w:cs="Segoe UI Emoji"/>
          <w:b/>
          <w:bCs/>
          <w:lang w:val="en-GB"/>
        </w:rPr>
      </w:pPr>
      <w:r>
        <w:rPr>
          <w:rFonts w:ascii="Aptos" w:hAnsi="Aptos" w:cs="Segoe UI Emoji"/>
          <w:b/>
          <w:bCs/>
          <w:lang w:val="en-GB"/>
        </w:rPr>
        <w:t>Specific</w:t>
      </w:r>
      <w:r w:rsidR="008A175F" w:rsidRPr="008A175F">
        <w:rPr>
          <w:rFonts w:ascii="Aptos" w:hAnsi="Aptos" w:cs="Segoe UI Emoji"/>
          <w:b/>
          <w:bCs/>
          <w:lang w:val="en-GB"/>
        </w:rPr>
        <w:t xml:space="preserve"> questions to address</w:t>
      </w:r>
      <w:r w:rsidR="008A175F">
        <w:rPr>
          <w:rFonts w:ascii="Aptos" w:hAnsi="Aptos" w:cs="Segoe UI Emoji"/>
          <w:b/>
          <w:bCs/>
          <w:lang w:val="en-GB"/>
        </w:rPr>
        <w:t>:</w:t>
      </w:r>
    </w:p>
    <w:p w14:paraId="7B516649" w14:textId="77777777" w:rsidR="00294797" w:rsidRPr="007C0CE5" w:rsidRDefault="00294797" w:rsidP="007D692C">
      <w:pPr>
        <w:numPr>
          <w:ilvl w:val="0"/>
          <w:numId w:val="20"/>
        </w:numPr>
        <w:spacing w:after="240"/>
        <w:rPr>
          <w:rFonts w:ascii="Aptos" w:hAnsi="Aptos" w:cs="Segoe UI Emoji"/>
          <w:lang w:val="en-GB"/>
        </w:rPr>
      </w:pPr>
      <w:r w:rsidRPr="007C0CE5">
        <w:rPr>
          <w:rFonts w:ascii="Aptos" w:hAnsi="Aptos" w:cs="Segoe UI Emoji"/>
          <w:lang w:val="en-GB"/>
        </w:rPr>
        <w:t>Question 1: Who are the ultimate end-users of this proposed solution, and what are their defining traits? [Segment Identification]</w:t>
      </w:r>
    </w:p>
    <w:p w14:paraId="7CCDF846" w14:textId="77777777" w:rsidR="00294797" w:rsidRPr="007C0CE5" w:rsidRDefault="00294797" w:rsidP="007D692C">
      <w:pPr>
        <w:numPr>
          <w:ilvl w:val="1"/>
          <w:numId w:val="20"/>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"Tech-forward freelancers and gig-economy workers aged 22–40 who experience irregular monthly income. They are highly digital, mobile-first, but struggle with unpredictable cash flows, volatile monthly revenues, and complex quarterly tax withholding obligations."</w:t>
      </w:r>
    </w:p>
    <w:p w14:paraId="04BA9C14" w14:textId="77777777" w:rsidR="00294797" w:rsidRPr="007C0CE5" w:rsidRDefault="00294797" w:rsidP="007D692C">
      <w:pPr>
        <w:numPr>
          <w:ilvl w:val="0"/>
          <w:numId w:val="20"/>
        </w:numPr>
        <w:spacing w:after="240"/>
        <w:rPr>
          <w:rFonts w:ascii="Aptos" w:hAnsi="Aptos" w:cs="Segoe UI Emoji"/>
          <w:lang w:val="en-GB"/>
        </w:rPr>
      </w:pPr>
      <w:r w:rsidRPr="007C0CE5">
        <w:rPr>
          <w:rFonts w:ascii="Aptos" w:hAnsi="Aptos" w:cs="Segoe UI Emoji"/>
          <w:lang w:val="en-GB"/>
        </w:rPr>
        <w:lastRenderedPageBreak/>
        <w:t>Question 2: Are we targeting a mass market, a specific high-value niche, or a multi-sided market platform? [Market Architecture]</w:t>
      </w:r>
    </w:p>
    <w:p w14:paraId="06026E7B" w14:textId="77777777" w:rsidR="00294797" w:rsidRPr="007C0CE5" w:rsidRDefault="00294797" w:rsidP="007D692C">
      <w:pPr>
        <w:numPr>
          <w:ilvl w:val="1"/>
          <w:numId w:val="20"/>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"A specific high-value niche. We are bypassing the generic mass consumer market to explicitly capture the rapidly growing 'full-time independent contractor' subset, a high-value segment characterized by high transactional volume and a severe willingness to adopt specialized financial software."</w:t>
      </w:r>
    </w:p>
    <w:p w14:paraId="2655158A" w14:textId="77777777" w:rsidR="00294797" w:rsidRPr="007C0CE5" w:rsidRDefault="00294797" w:rsidP="007D692C">
      <w:pPr>
        <w:numPr>
          <w:ilvl w:val="0"/>
          <w:numId w:val="20"/>
        </w:numPr>
        <w:spacing w:after="240"/>
        <w:rPr>
          <w:rFonts w:ascii="Aptos" w:hAnsi="Aptos" w:cs="Segoe UI Emoji"/>
          <w:lang w:val="en-GB"/>
        </w:rPr>
      </w:pPr>
      <w:r w:rsidRPr="007C0CE5">
        <w:rPr>
          <w:rFonts w:ascii="Aptos" w:hAnsi="Aptos" w:cs="Segoe UI Emoji"/>
          <w:lang w:val="en-GB"/>
        </w:rPr>
        <w:t>Question 3: How does our targeted segment currently interact with existing solutions in the market? [Incumbent Interaction Workflow]</w:t>
      </w:r>
    </w:p>
    <w:p w14:paraId="29281318" w14:textId="77777777" w:rsidR="00294797" w:rsidRPr="007C0CE5" w:rsidRDefault="00294797" w:rsidP="007D692C">
      <w:pPr>
        <w:numPr>
          <w:ilvl w:val="1"/>
          <w:numId w:val="20"/>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"The target segment currently relies on fragmented workflows. They keep their primary cash in traditional personal checking accounts, but are forced to manually export data into clunky, desktop-heavy accounting legacy platforms (like QuickBooks) because traditional retail banks offer zero native freelance tax features."</w:t>
      </w:r>
    </w:p>
    <w:p w14:paraId="01714FE5" w14:textId="77777777" w:rsidR="00294797" w:rsidRPr="007C0CE5" w:rsidRDefault="00294797" w:rsidP="007D692C">
      <w:pPr>
        <w:numPr>
          <w:ilvl w:val="0"/>
          <w:numId w:val="20"/>
        </w:numPr>
        <w:spacing w:after="240"/>
        <w:rPr>
          <w:rFonts w:ascii="Aptos" w:hAnsi="Aptos" w:cs="Segoe UI Emoji"/>
          <w:lang w:val="en-GB"/>
        </w:rPr>
      </w:pPr>
      <w:r w:rsidRPr="007C0CE5">
        <w:rPr>
          <w:rFonts w:ascii="Aptos" w:hAnsi="Aptos" w:cs="Segoe UI Emoji"/>
          <w:lang w:val="en-GB"/>
        </w:rPr>
        <w:t>Question 4: Who is the 'most important' client archetype we must satisfy first to establish immediate market viability? [Primary Archetype]</w:t>
      </w:r>
    </w:p>
    <w:p w14:paraId="7312C54D" w14:textId="77777777" w:rsidR="00294797" w:rsidRPr="007C0CE5" w:rsidRDefault="00294797" w:rsidP="007D692C">
      <w:pPr>
        <w:numPr>
          <w:ilvl w:val="1"/>
          <w:numId w:val="20"/>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"The 'Full-Time Solo Freelancer.' If we can satisfy the solo contractor who manages multiple clients, irregular payout dates, and complex quarterly business billing weekly, our platform will easily adapt to low-volume, part-time side-hustlers later."</w:t>
      </w:r>
    </w:p>
    <w:p w14:paraId="32281542" w14:textId="77777777" w:rsidR="00294797" w:rsidRPr="007C0CE5" w:rsidRDefault="00294797" w:rsidP="007D692C">
      <w:pPr>
        <w:numPr>
          <w:ilvl w:val="0"/>
          <w:numId w:val="20"/>
        </w:numPr>
        <w:spacing w:after="240"/>
        <w:rPr>
          <w:rFonts w:ascii="Aptos" w:hAnsi="Aptos" w:cs="Segoe UI Emoji"/>
          <w:lang w:val="en-GB"/>
        </w:rPr>
      </w:pPr>
      <w:r w:rsidRPr="007C0CE5">
        <w:rPr>
          <w:rFonts w:ascii="Aptos" w:hAnsi="Aptos" w:cs="Segoe UI Emoji"/>
          <w:lang w:val="en-GB"/>
        </w:rPr>
        <w:t>Question 5: What behavioral patterns define this segment (motivations, triggers, usage frequency, decision drivers)? [Psychographic Profile]</w:t>
      </w:r>
    </w:p>
    <w:p w14:paraId="46C454C6" w14:textId="77777777" w:rsidR="00294797" w:rsidRPr="007C0CE5" w:rsidRDefault="00294797" w:rsidP="007D692C">
      <w:pPr>
        <w:numPr>
          <w:ilvl w:val="1"/>
          <w:numId w:val="20"/>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"They log into their financial dashboards 3–5 times per day driven by income anxiety. The primary trigger for active platform engagement is the cleared status of an external client invoice. Their main purchase decision driver is the absolute elimination of administrative accounting hours."</w:t>
      </w:r>
    </w:p>
    <w:p w14:paraId="74F51AED" w14:textId="77777777" w:rsidR="00294797" w:rsidRPr="007C0CE5" w:rsidRDefault="00294797" w:rsidP="007D692C">
      <w:pPr>
        <w:numPr>
          <w:ilvl w:val="0"/>
          <w:numId w:val="20"/>
        </w:numPr>
        <w:spacing w:after="240"/>
        <w:rPr>
          <w:rFonts w:ascii="Aptos" w:hAnsi="Aptos" w:cs="Segoe UI Emoji"/>
          <w:lang w:val="en-GB"/>
        </w:rPr>
      </w:pPr>
      <w:r w:rsidRPr="007C0CE5">
        <w:rPr>
          <w:rFonts w:ascii="Aptos" w:hAnsi="Aptos" w:cs="Segoe UI Emoji"/>
          <w:lang w:val="en-GB"/>
        </w:rPr>
        <w:t>Question 6: What core “job-to-be-done” is the customer trying to accomplish, and how does our solution fit natively into that flow? [Functional Job-To-Be-Done]</w:t>
      </w:r>
    </w:p>
    <w:p w14:paraId="7A16DE9F" w14:textId="77777777" w:rsidR="00294797" w:rsidRPr="007C0CE5" w:rsidRDefault="00294797" w:rsidP="007D692C">
      <w:pPr>
        <w:numPr>
          <w:ilvl w:val="1"/>
          <w:numId w:val="20"/>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"The customer is trying to 'instantly know how much money is actually safe to spend today after isolating real-time tax liabilities.' Our standalone mobile application handles this natively by syncing via open banking APIs, automatically siloing calculated tax percentages into virtual pockets the millisecond an external deposit hits."</w:t>
      </w:r>
    </w:p>
    <w:p w14:paraId="5A676296" w14:textId="77777777" w:rsidR="00294797" w:rsidRPr="007C0CE5" w:rsidRDefault="00294797" w:rsidP="007D692C">
      <w:pPr>
        <w:numPr>
          <w:ilvl w:val="0"/>
          <w:numId w:val="20"/>
        </w:numPr>
        <w:spacing w:after="240"/>
        <w:rPr>
          <w:rFonts w:ascii="Aptos" w:hAnsi="Aptos" w:cs="Segoe UI Emoji"/>
          <w:lang w:val="en-GB"/>
        </w:rPr>
      </w:pPr>
      <w:r w:rsidRPr="007C0CE5">
        <w:rPr>
          <w:rFonts w:ascii="Aptos" w:hAnsi="Aptos" w:cs="Segoe UI Emoji"/>
          <w:lang w:val="en-GB"/>
        </w:rPr>
        <w:lastRenderedPageBreak/>
        <w:t>Question 7: Why is this segment commercially meaningful (willingness-to-pay, unmet need intensity, or strategic importance)? [Commercial Viability]</w:t>
      </w:r>
    </w:p>
    <w:p w14:paraId="4B3DF2D4" w14:textId="364075F4" w:rsidR="00294797" w:rsidRPr="007C0CE5" w:rsidRDefault="00294797" w:rsidP="007D692C">
      <w:pPr>
        <w:numPr>
          <w:ilvl w:val="1"/>
          <w:numId w:val="20"/>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"The intensity of the unmet need is exceptionally high; calculation errors result in compounding legal tax penalties. While their willingness to pay for generic budgeting apps is low, their willingness to pay a premium subscription for automated tax protection is high, yielding strong initial Customer Lifetime Value (</w:t>
      </w:r>
      <m:oMath>
        <m:r>
          <w:rPr>
            <w:rFonts w:ascii="Cambria Math" w:hAnsi="Cambria Math" w:cs="Segoe UI Emoji"/>
            <w:lang w:val="en-GB"/>
          </w:rPr>
          <m:t>LTV</m:t>
        </m:r>
      </m:oMath>
      <w:r w:rsidRPr="007C0CE5">
        <w:rPr>
          <w:rFonts w:ascii="Aptos" w:hAnsi="Aptos" w:cs="Segoe UI Emoji"/>
          <w:lang w:val="en-GB"/>
        </w:rPr>
        <w:t>) and creating an entry beachhead for premium financial add-ons down the line."</w:t>
      </w:r>
    </w:p>
    <w:p w14:paraId="6FD7E738" w14:textId="77777777" w:rsidR="006E59EA" w:rsidRDefault="006E59EA" w:rsidP="00294797">
      <w:pPr>
        <w:spacing w:after="240"/>
        <w:rPr>
          <w:rFonts w:ascii="Aptos" w:hAnsi="Aptos" w:cs="Segoe UI Emoji"/>
          <w:b/>
          <w:bCs/>
          <w:lang w:val="en-GB"/>
        </w:rPr>
      </w:pPr>
    </w:p>
    <w:p w14:paraId="22997CCB" w14:textId="38354D01" w:rsidR="00294797" w:rsidRPr="006E59EA" w:rsidRDefault="00294797" w:rsidP="00294797">
      <w:pPr>
        <w:spacing w:after="240"/>
        <w:rPr>
          <w:rFonts w:ascii="Aptos" w:hAnsi="Aptos" w:cs="Segoe UI Emoji"/>
          <w:b/>
          <w:bCs/>
          <w:lang w:val="en-GB"/>
        </w:rPr>
      </w:pPr>
      <w:r w:rsidRPr="006E59EA">
        <w:rPr>
          <w:rFonts w:ascii="Aptos" w:hAnsi="Aptos" w:cs="Segoe UI Emoji"/>
          <w:b/>
          <w:bCs/>
          <w:lang w:val="en-GB"/>
        </w:rPr>
        <w:t>Critical Execution Pitfalls &amp; Mistakes to Avoid</w:t>
      </w:r>
    </w:p>
    <w:p w14:paraId="7555400D" w14:textId="77777777" w:rsidR="00294797" w:rsidRPr="007C0CE5" w:rsidRDefault="00294797" w:rsidP="00294797">
      <w:pPr>
        <w:spacing w:after="240"/>
        <w:rPr>
          <w:rFonts w:ascii="Aptos" w:hAnsi="Aptos" w:cs="Segoe UI Emoji"/>
          <w:lang w:val="en-GB"/>
        </w:rPr>
      </w:pPr>
      <w:r w:rsidRPr="007C0CE5">
        <w:rPr>
          <w:rFonts w:ascii="Aptos" w:hAnsi="Aptos" w:cs="Segoe UI Emoji"/>
          <w:lang w:val="en-GB"/>
        </w:rPr>
        <w:t>To complete this section effectively, ensure the proposal steers clear of these common analytical blind spots:</w:t>
      </w:r>
    </w:p>
    <w:p w14:paraId="6287176D" w14:textId="77777777" w:rsidR="00294797" w:rsidRPr="007C0CE5" w:rsidRDefault="00294797" w:rsidP="007D692C">
      <w:pPr>
        <w:numPr>
          <w:ilvl w:val="0"/>
          <w:numId w:val="21"/>
        </w:numPr>
        <w:spacing w:after="240"/>
        <w:rPr>
          <w:rFonts w:ascii="Aptos" w:hAnsi="Aptos" w:cs="Segoe UI Emoji"/>
          <w:lang w:val="en-GB"/>
        </w:rPr>
      </w:pPr>
      <w:r w:rsidRPr="007C0CE5">
        <w:rPr>
          <w:rFonts w:ascii="Aptos" w:hAnsi="Aptos" w:cs="Segoe UI Emoji"/>
          <w:lang w:val="en-GB"/>
        </w:rPr>
        <w:t xml:space="preserve">The "Everyone is My Customer" Fallacy: Proposals frequently define their market too broadly (e.g., </w:t>
      </w:r>
      <w:r w:rsidRPr="007C0CE5">
        <w:rPr>
          <w:rFonts w:ascii="Aptos" w:hAnsi="Aptos" w:cs="Segoe UI Emoji"/>
          <w:i/>
          <w:iCs/>
          <w:lang w:val="en-GB"/>
        </w:rPr>
        <w:t>"Our target market is all global independent workers"</w:t>
      </w:r>
      <w:r w:rsidRPr="007C0CE5">
        <w:rPr>
          <w:rFonts w:ascii="Aptos" w:hAnsi="Aptos" w:cs="Segoe UI Emoji"/>
          <w:lang w:val="en-GB"/>
        </w:rPr>
        <w:t>). An elite standalone proposal must narrow this down to a hyper-specific, reachable beachhead niche (like the Full-Time Solo Freelancer) so that the downstream customer acquisition strategies make operational and financial sense.</w:t>
      </w:r>
    </w:p>
    <w:p w14:paraId="739A8F3B" w14:textId="77777777" w:rsidR="00294797" w:rsidRPr="007C0CE5" w:rsidRDefault="00294797" w:rsidP="007D692C">
      <w:pPr>
        <w:numPr>
          <w:ilvl w:val="0"/>
          <w:numId w:val="21"/>
        </w:numPr>
        <w:spacing w:after="240"/>
        <w:rPr>
          <w:rFonts w:ascii="Aptos" w:hAnsi="Aptos" w:cs="Segoe UI Emoji"/>
          <w:lang w:val="en-GB"/>
        </w:rPr>
      </w:pPr>
      <w:r w:rsidRPr="007C0CE5">
        <w:rPr>
          <w:rFonts w:ascii="Aptos" w:hAnsi="Aptos" w:cs="Segoe UI Emoji"/>
          <w:lang w:val="en-GB"/>
        </w:rPr>
        <w:t>Listing Flat Demographics Instead of Psychographics: It is a major mistake to stop at basic age, location, and income brackets. Purchasing decisions are driven by real human behavior. High-scoring proposals must capture the internal triggers and daily friction points (like income anxiety or checking accounts multiple times a day) which dictate how the value proposition must actually be engineered.</w:t>
      </w:r>
    </w:p>
    <w:p w14:paraId="0B75B416" w14:textId="77777777" w:rsidR="00294797" w:rsidRPr="007C0CE5" w:rsidRDefault="00294797" w:rsidP="007D692C">
      <w:pPr>
        <w:numPr>
          <w:ilvl w:val="0"/>
          <w:numId w:val="21"/>
        </w:numPr>
        <w:spacing w:after="240"/>
        <w:rPr>
          <w:rFonts w:ascii="Aptos" w:hAnsi="Aptos" w:cs="Segoe UI Emoji"/>
          <w:lang w:val="en-GB"/>
        </w:rPr>
      </w:pPr>
      <w:r w:rsidRPr="007C0CE5">
        <w:rPr>
          <w:rFonts w:ascii="Aptos" w:hAnsi="Aptos" w:cs="Segoe UI Emoji"/>
          <w:lang w:val="en-GB"/>
        </w:rPr>
        <w:t>Failing to Prove Independent Commercial Viability: It is common to identify a segment with a massive problem, but completely forget to evaluate if that segment has the financial capacity or intent to pay for a solution. The proposal must explicitly prove that the target segment has a high enough urgency or compliance risk to absorb premium standalone pricing.</w:t>
      </w:r>
    </w:p>
    <w:p w14:paraId="1E209B8D" w14:textId="77777777" w:rsidR="005D111C" w:rsidRPr="007C0CE5" w:rsidRDefault="005D111C">
      <w:pPr>
        <w:spacing w:after="240"/>
        <w:rPr>
          <w:rFonts w:ascii="Aptos" w:hAnsi="Aptos"/>
        </w:rPr>
      </w:pPr>
    </w:p>
    <w:p w14:paraId="211C49DD" w14:textId="77777777" w:rsidR="005D111C" w:rsidRPr="007C0CE5" w:rsidRDefault="005D111C">
      <w:pPr>
        <w:spacing w:after="240"/>
        <w:rPr>
          <w:rFonts w:ascii="Aptos" w:hAnsi="Aptos"/>
        </w:rPr>
      </w:pPr>
    </w:p>
    <w:p w14:paraId="32A05CAF" w14:textId="77777777" w:rsidR="00520A73" w:rsidRPr="007C0CE5" w:rsidRDefault="00520A73" w:rsidP="007C0CE5">
      <w:pPr>
        <w:pStyle w:val="Heading2"/>
        <w:rPr>
          <w:lang w:val="en-GB"/>
        </w:rPr>
      </w:pPr>
      <w:r w:rsidRPr="007C0CE5">
        <w:rPr>
          <w:lang w:val="en-GB"/>
        </w:rPr>
        <w:t>2. Value Propositions</w:t>
      </w:r>
    </w:p>
    <w:p w14:paraId="08768E78" w14:textId="77777777" w:rsidR="009F30E5" w:rsidRDefault="009F30E5" w:rsidP="007A52C0">
      <w:pPr>
        <w:spacing w:after="240"/>
        <w:rPr>
          <w:rFonts w:ascii="Aptos" w:hAnsi="Aptos" w:cs="Segoe UI Emoji"/>
          <w:b/>
          <w:bCs/>
          <w:lang w:val="en-GB"/>
        </w:rPr>
      </w:pPr>
    </w:p>
    <w:p w14:paraId="0528A023" w14:textId="4A3FB103" w:rsidR="007A52C0" w:rsidRPr="007C0CE5" w:rsidRDefault="00891BBE" w:rsidP="007A52C0">
      <w:pPr>
        <w:spacing w:after="240"/>
        <w:rPr>
          <w:rFonts w:ascii="Aptos" w:hAnsi="Aptos" w:cs="Segoe UI Emoji"/>
          <w:lang w:val="en-GB"/>
        </w:rPr>
      </w:pPr>
      <w:r w:rsidRPr="00891BBE">
        <w:rPr>
          <w:rFonts w:ascii="Aptos" w:hAnsi="Aptos" w:cs="Segoe UI Emoji"/>
          <w:b/>
          <w:bCs/>
          <w:lang w:val="en-GB"/>
        </w:rPr>
        <w:lastRenderedPageBreak/>
        <w:t>Purposes:</w:t>
      </w:r>
      <w:r w:rsidR="007A52C0" w:rsidRPr="007C0CE5">
        <w:rPr>
          <w:rFonts w:ascii="Aptos" w:hAnsi="Aptos" w:cs="Segoe UI Emoji"/>
          <w:lang w:val="en-GB"/>
        </w:rPr>
        <w:t>This section defines the unique bundle of products, services, and operational advantages that the independent venture delivers to solve core customer pain points and build a defensible competitive moat.</w:t>
      </w:r>
    </w:p>
    <w:p w14:paraId="05DB2FDB" w14:textId="77777777" w:rsidR="007A52C0" w:rsidRDefault="007A52C0" w:rsidP="007A52C0">
      <w:pPr>
        <w:spacing w:after="240"/>
        <w:rPr>
          <w:rFonts w:ascii="Aptos" w:hAnsi="Aptos" w:cs="Segoe UI Emoji"/>
          <w:lang w:val="en-GB"/>
        </w:rPr>
      </w:pPr>
      <w:r w:rsidRPr="00891BBE">
        <w:rPr>
          <w:rFonts w:ascii="Aptos" w:hAnsi="Aptos" w:cs="Segoe UI Emoji"/>
          <w:b/>
          <w:bCs/>
          <w:lang w:val="en-GB"/>
        </w:rPr>
        <w:t>How this section fits the proposal's goal</w:t>
      </w:r>
      <w:r w:rsidRPr="007C0CE5">
        <w:rPr>
          <w:rFonts w:ascii="Aptos" w:hAnsi="Aptos" w:cs="Segoe UI Emoji"/>
          <w:lang w:val="en-GB"/>
        </w:rPr>
        <w:t>: A Business Development (BD) proposal must establish a clear, defensible commercial opportunity that can be captured independently. The Value Proposition block acts as the economic engine of the proposal; it explicitly bridges the gap between the identified market pain point and a proprietary, standalone product solution. It proves that the opportunity is worth pursuing by quantifying the exact economic value created.</w:t>
      </w:r>
    </w:p>
    <w:p w14:paraId="7F460238" w14:textId="77777777" w:rsidR="00891BBE" w:rsidRPr="00891BBE" w:rsidRDefault="00891BBE" w:rsidP="007A52C0">
      <w:pPr>
        <w:spacing w:after="240"/>
        <w:rPr>
          <w:rFonts w:ascii="Aptos" w:hAnsi="Aptos" w:cs="Segoe UI Emoji"/>
          <w:b/>
          <w:bCs/>
          <w:lang w:val="en-GB"/>
        </w:rPr>
      </w:pPr>
    </w:p>
    <w:p w14:paraId="44C7974A" w14:textId="77777777" w:rsidR="007A52C0" w:rsidRPr="00891BBE" w:rsidRDefault="007A52C0" w:rsidP="007A52C0">
      <w:pPr>
        <w:spacing w:after="240"/>
        <w:rPr>
          <w:rFonts w:ascii="Aptos" w:hAnsi="Aptos" w:cs="Segoe UI Emoji"/>
          <w:b/>
          <w:bCs/>
          <w:lang w:val="en-GB"/>
        </w:rPr>
      </w:pPr>
      <w:r w:rsidRPr="00891BBE">
        <w:rPr>
          <w:rFonts w:ascii="Aptos" w:hAnsi="Aptos" w:cs="Segoe UI Emoji"/>
          <w:b/>
          <w:bCs/>
          <w:lang w:val="en-GB"/>
        </w:rPr>
        <w:t>Cross-Functional Mapping (Fitting with other blocks):</w:t>
      </w:r>
    </w:p>
    <w:p w14:paraId="3803BB3B" w14:textId="77777777" w:rsidR="007A52C0" w:rsidRPr="007C0CE5" w:rsidRDefault="007A52C0" w:rsidP="007D692C">
      <w:pPr>
        <w:numPr>
          <w:ilvl w:val="0"/>
          <w:numId w:val="22"/>
        </w:numPr>
        <w:spacing w:after="240"/>
        <w:rPr>
          <w:rFonts w:ascii="Aptos" w:hAnsi="Aptos" w:cs="Segoe UI Emoji"/>
          <w:lang w:val="en-GB"/>
        </w:rPr>
      </w:pPr>
      <w:r w:rsidRPr="007C0CE5">
        <w:rPr>
          <w:rFonts w:ascii="Aptos" w:hAnsi="Aptos" w:cs="Segoe UI Emoji"/>
          <w:lang w:val="en-GB"/>
        </w:rPr>
        <w:t>With Block 1 (Customer Segments): Every value pillar, risk reducer, and quantifiable benefit outlined here must perfectly align with the specific psychographic triggers, functional "jobs-to-be-done," and income anxieties mapped in Block 1.</w:t>
      </w:r>
    </w:p>
    <w:p w14:paraId="02328A53" w14:textId="77777777" w:rsidR="007A52C0" w:rsidRPr="007C0CE5" w:rsidRDefault="007A52C0" w:rsidP="007D692C">
      <w:pPr>
        <w:numPr>
          <w:ilvl w:val="0"/>
          <w:numId w:val="22"/>
        </w:numPr>
        <w:spacing w:after="240"/>
        <w:rPr>
          <w:rFonts w:ascii="Aptos" w:hAnsi="Aptos" w:cs="Segoe UI Emoji"/>
          <w:lang w:val="en-GB"/>
        </w:rPr>
      </w:pPr>
      <w:r w:rsidRPr="007C0CE5">
        <w:rPr>
          <w:rFonts w:ascii="Aptos" w:hAnsi="Aptos" w:cs="Segoe UI Emoji"/>
          <w:lang w:val="en-GB"/>
        </w:rPr>
        <w:t>With Block 7 &amp; 8 (Key Activities &amp; Critical Vendors): The core product promises made here (e.g., real-time processing speed, automated accuracy) dictate the mandatory operational processes in Block 7 and govern the selection of high-performance technical infrastructure vendors in Block 8.</w:t>
      </w:r>
    </w:p>
    <w:p w14:paraId="67F134FE" w14:textId="77777777" w:rsidR="007A52C0" w:rsidRPr="007C0CE5" w:rsidRDefault="007A52C0" w:rsidP="007D692C">
      <w:pPr>
        <w:numPr>
          <w:ilvl w:val="0"/>
          <w:numId w:val="22"/>
        </w:numPr>
        <w:spacing w:after="240"/>
        <w:rPr>
          <w:rFonts w:ascii="Aptos" w:hAnsi="Aptos" w:cs="Segoe UI Emoji"/>
          <w:lang w:val="en-GB"/>
        </w:rPr>
      </w:pPr>
      <w:r w:rsidRPr="007C0CE5">
        <w:rPr>
          <w:rFonts w:ascii="Aptos" w:hAnsi="Aptos" w:cs="Segoe UI Emoji"/>
          <w:lang w:val="en-GB"/>
        </w:rPr>
        <w:t>With Block 5 &amp; 9 (Revenue Streams &amp; Cost Structure): The quantifiable monetary returns and administrative hours saved directly justify the premium subscription pricing model in Block 5 and anchor the R&amp;D and engineering cost structures budgeted in Block 9.</w:t>
      </w:r>
    </w:p>
    <w:p w14:paraId="59C9479C" w14:textId="77777777" w:rsidR="00EF0899" w:rsidRPr="00EF0899" w:rsidRDefault="00EF0899" w:rsidP="00EF0899">
      <w:pPr>
        <w:spacing w:after="240"/>
        <w:ind w:left="360"/>
        <w:rPr>
          <w:rFonts w:ascii="Aptos" w:hAnsi="Aptos" w:cs="Segoe UI Emoji"/>
          <w:lang w:val="en-GB"/>
        </w:rPr>
      </w:pPr>
      <w:r w:rsidRPr="00EF0899">
        <w:rPr>
          <w:rFonts w:ascii="Aptos" w:hAnsi="Aptos" w:cs="Segoe UI Emoji"/>
          <w:b/>
          <w:bCs/>
          <w:lang w:val="en-GB"/>
        </w:rPr>
        <w:t>Key questions:</w:t>
      </w:r>
      <w:r w:rsidRPr="00EF0899">
        <w:rPr>
          <w:rFonts w:ascii="Aptos" w:hAnsi="Aptos" w:cs="Segoe UI Emoji"/>
          <w:lang w:val="en-GB"/>
        </w:rPr>
        <w:t xml:space="preserve"> What unique bundle of products, services, or pain relievers do we independently deliver to our market that solves a critical problem? How do we articulate a compelling, defensible competitive advantage without relying on external corporate partners?</w:t>
      </w:r>
    </w:p>
    <w:p w14:paraId="236A1623" w14:textId="749280C2" w:rsidR="00891BBE" w:rsidRDefault="00891BBE" w:rsidP="00891BBE">
      <w:pPr>
        <w:spacing w:after="240"/>
        <w:rPr>
          <w:rFonts w:ascii="Aptos" w:hAnsi="Aptos" w:cs="Segoe UI Emoji"/>
          <w:lang w:val="en-GB"/>
        </w:rPr>
      </w:pPr>
    </w:p>
    <w:p w14:paraId="298756BA" w14:textId="77777777" w:rsidR="00264B26" w:rsidRPr="008A175F" w:rsidRDefault="00264B26" w:rsidP="00264B26">
      <w:pPr>
        <w:spacing w:after="240"/>
        <w:ind w:left="360"/>
        <w:rPr>
          <w:rFonts w:ascii="Aptos" w:hAnsi="Aptos" w:cs="Segoe UI Emoji"/>
          <w:b/>
          <w:bCs/>
          <w:lang w:val="en-GB"/>
        </w:rPr>
      </w:pPr>
      <w:r>
        <w:rPr>
          <w:rFonts w:ascii="Aptos" w:hAnsi="Aptos" w:cs="Segoe UI Emoji"/>
          <w:b/>
          <w:bCs/>
          <w:lang w:val="en-GB"/>
        </w:rPr>
        <w:t>Specific</w:t>
      </w:r>
      <w:r w:rsidRPr="008A175F">
        <w:rPr>
          <w:rFonts w:ascii="Aptos" w:hAnsi="Aptos" w:cs="Segoe UI Emoji"/>
          <w:b/>
          <w:bCs/>
          <w:lang w:val="en-GB"/>
        </w:rPr>
        <w:t xml:space="preserve"> questions to address</w:t>
      </w:r>
      <w:r>
        <w:rPr>
          <w:rFonts w:ascii="Aptos" w:hAnsi="Aptos" w:cs="Segoe UI Emoji"/>
          <w:b/>
          <w:bCs/>
          <w:lang w:val="en-GB"/>
        </w:rPr>
        <w:t>:</w:t>
      </w:r>
    </w:p>
    <w:p w14:paraId="09BB5890" w14:textId="37C53409" w:rsidR="007A52C0" w:rsidRPr="007C0CE5" w:rsidRDefault="007A52C0" w:rsidP="007D692C">
      <w:pPr>
        <w:numPr>
          <w:ilvl w:val="0"/>
          <w:numId w:val="23"/>
        </w:numPr>
        <w:spacing w:after="240"/>
        <w:rPr>
          <w:rFonts w:ascii="Aptos" w:hAnsi="Aptos" w:cs="Segoe UI Emoji"/>
          <w:lang w:val="en-GB"/>
        </w:rPr>
      </w:pPr>
      <w:r w:rsidRPr="007C0CE5">
        <w:rPr>
          <w:rFonts w:ascii="Aptos" w:hAnsi="Aptos" w:cs="Segoe UI Emoji"/>
          <w:lang w:val="en-GB"/>
        </w:rPr>
        <w:t>Question 1: What acute client problem are we solving, or what essential need are we satisfying? [Problem Identification]</w:t>
      </w:r>
    </w:p>
    <w:p w14:paraId="73414B06" w14:textId="77777777" w:rsidR="007A52C0" w:rsidRPr="007C0CE5" w:rsidRDefault="007A52C0" w:rsidP="007D692C">
      <w:pPr>
        <w:numPr>
          <w:ilvl w:val="1"/>
          <w:numId w:val="23"/>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"Freelancers suffer from severe 'income anxiety' and unpredictable tax liabilities. Lacking native institutional tooling, they struggle to manually calculate how much of every incoming invoice must be set aside for quarterly taxes, leading to frequent cash flow crunches, structural operational errors, and compounding IRS tax penalties."</w:t>
      </w:r>
    </w:p>
    <w:p w14:paraId="2AE826A8" w14:textId="77777777" w:rsidR="007A52C0" w:rsidRPr="007C0CE5" w:rsidRDefault="007A52C0" w:rsidP="007D692C">
      <w:pPr>
        <w:numPr>
          <w:ilvl w:val="0"/>
          <w:numId w:val="23"/>
        </w:numPr>
        <w:spacing w:after="240"/>
        <w:rPr>
          <w:rFonts w:ascii="Aptos" w:hAnsi="Aptos" w:cs="Segoe UI Emoji"/>
          <w:lang w:val="en-GB"/>
        </w:rPr>
      </w:pPr>
      <w:r w:rsidRPr="007C0CE5">
        <w:rPr>
          <w:rFonts w:ascii="Aptos" w:hAnsi="Aptos" w:cs="Segoe UI Emoji"/>
          <w:lang w:val="en-GB"/>
        </w:rPr>
        <w:lastRenderedPageBreak/>
        <w:t>Question 2: What is the specific, quantifiable value (e.g., speed, price, convenience, risk reduction) we deliver? [Quantifiable Value Metric]</w:t>
      </w:r>
    </w:p>
    <w:p w14:paraId="271FD014" w14:textId="77777777" w:rsidR="007A52C0" w:rsidRPr="007C0CE5" w:rsidRDefault="007A52C0" w:rsidP="007D692C">
      <w:pPr>
        <w:numPr>
          <w:ilvl w:val="1"/>
          <w:numId w:val="23"/>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"We deliver maximum convenience and total risk reduction. Freelance tax calculations and sub-accounting are automated instantly at the point of deposit via our application. This operational efficiency reduces the time an independent contractor spends on manual bookkeeping from 5 hours a week to 0, while driving the risk of IRS underpayment penalties down to 0%."</w:t>
      </w:r>
    </w:p>
    <w:p w14:paraId="0A7E48F7" w14:textId="77777777" w:rsidR="007A52C0" w:rsidRPr="007C0CE5" w:rsidRDefault="007A52C0" w:rsidP="007D692C">
      <w:pPr>
        <w:numPr>
          <w:ilvl w:val="0"/>
          <w:numId w:val="23"/>
        </w:numPr>
        <w:spacing w:after="240"/>
        <w:rPr>
          <w:rFonts w:ascii="Aptos" w:hAnsi="Aptos" w:cs="Segoe UI Emoji"/>
          <w:lang w:val="en-GB"/>
        </w:rPr>
      </w:pPr>
      <w:r w:rsidRPr="007C0CE5">
        <w:rPr>
          <w:rFonts w:ascii="Aptos" w:hAnsi="Aptos" w:cs="Segoe UI Emoji"/>
          <w:lang w:val="en-GB"/>
        </w:rPr>
        <w:t>Question 3: How does our standalone market positioning change the value proposition compared to traditional market incumbents? [Competitive Differentiation]</w:t>
      </w:r>
    </w:p>
    <w:p w14:paraId="29C1D9F7" w14:textId="77777777" w:rsidR="007A52C0" w:rsidRPr="007C0CE5" w:rsidRDefault="007A52C0" w:rsidP="007D692C">
      <w:pPr>
        <w:numPr>
          <w:ilvl w:val="1"/>
          <w:numId w:val="23"/>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"Traditional market incumbents—such as legacy accounting software platforms or traditional retail banks—treat freelancers like standard small businesses or mass consumers, forcing manual data entries or offering zero tax-isolation features. Our standalone application natively bypasses this friction by building a dedicated, open-banking-driven environment built exclusively for the gig-economy workflow."</w:t>
      </w:r>
    </w:p>
    <w:p w14:paraId="0CD38EFB" w14:textId="77777777" w:rsidR="007A52C0" w:rsidRPr="007C0CE5" w:rsidRDefault="007A52C0" w:rsidP="007D692C">
      <w:pPr>
        <w:numPr>
          <w:ilvl w:val="0"/>
          <w:numId w:val="23"/>
        </w:numPr>
        <w:spacing w:after="240"/>
        <w:rPr>
          <w:rFonts w:ascii="Aptos" w:hAnsi="Aptos" w:cs="Segoe UI Emoji"/>
          <w:lang w:val="en-GB"/>
        </w:rPr>
      </w:pPr>
      <w:r w:rsidRPr="007C0CE5">
        <w:rPr>
          <w:rFonts w:ascii="Aptos" w:hAnsi="Aptos" w:cs="Segoe UI Emoji"/>
          <w:lang w:val="en-GB"/>
        </w:rPr>
        <w:t>Question 4: Which products/services represent the 'core' offer, and which are the 'auxiliary/support' features? [Product Architecture]</w:t>
      </w:r>
    </w:p>
    <w:p w14:paraId="2B20FA24" w14:textId="77777777" w:rsidR="007A52C0" w:rsidRPr="007C0CE5" w:rsidRDefault="007A52C0" w:rsidP="007D692C">
      <w:pPr>
        <w:numPr>
          <w:ilvl w:val="1"/>
          <w:numId w:val="23"/>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"The core offer is our proprietary, automated real-time tax-siloing algorithm and the continuous freelance cash flow dashboard. The auxiliary features consist of automated quarterly IRS deadline push notifications, downloadable expense PDF reporting tools, and an integrated digital compliance knowledge base for independent contractors."</w:t>
      </w:r>
    </w:p>
    <w:p w14:paraId="2B291171" w14:textId="77777777" w:rsidR="007A52C0" w:rsidRPr="007C0CE5" w:rsidRDefault="007A52C0" w:rsidP="007D692C">
      <w:pPr>
        <w:numPr>
          <w:ilvl w:val="0"/>
          <w:numId w:val="23"/>
        </w:numPr>
        <w:spacing w:after="240"/>
        <w:rPr>
          <w:rFonts w:ascii="Aptos" w:hAnsi="Aptos" w:cs="Segoe UI Emoji"/>
          <w:lang w:val="en-GB"/>
        </w:rPr>
      </w:pPr>
      <w:r w:rsidRPr="007C0CE5">
        <w:rPr>
          <w:rFonts w:ascii="Aptos" w:hAnsi="Aptos" w:cs="Segoe UI Emoji"/>
          <w:lang w:val="en-GB"/>
        </w:rPr>
        <w:t>Question 5: Why us? What can we do that competitors cannot replicate easily? [Defensible Moat]</w:t>
      </w:r>
    </w:p>
    <w:p w14:paraId="618EF823" w14:textId="77777777" w:rsidR="007A52C0" w:rsidRPr="007C0CE5" w:rsidRDefault="007A52C0" w:rsidP="007D692C">
      <w:pPr>
        <w:numPr>
          <w:ilvl w:val="1"/>
          <w:numId w:val="23"/>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"We own a proprietary, predictive machine learning algorithm trained on 5 years of erratic gig-economy transaction metadata. While standard accounting software requires users to manually categorize expenses and self-report brackets, our engine predicts real-time tax brackets and expense categories with 94% accuracy out-of-the-box."</w:t>
      </w:r>
    </w:p>
    <w:p w14:paraId="44D2399F" w14:textId="77777777" w:rsidR="007A52C0" w:rsidRPr="007C0CE5" w:rsidRDefault="007A52C0" w:rsidP="007D692C">
      <w:pPr>
        <w:numPr>
          <w:ilvl w:val="0"/>
          <w:numId w:val="23"/>
        </w:numPr>
        <w:spacing w:after="240"/>
        <w:rPr>
          <w:rFonts w:ascii="Aptos" w:hAnsi="Aptos" w:cs="Segoe UI Emoji"/>
          <w:lang w:val="en-GB"/>
        </w:rPr>
      </w:pPr>
      <w:r w:rsidRPr="007C0CE5">
        <w:rPr>
          <w:rFonts w:ascii="Aptos" w:hAnsi="Aptos" w:cs="Segoe UI Emoji"/>
          <w:lang w:val="en-GB"/>
        </w:rPr>
        <w:t>Question 6: What proof points support our claimed value? [Evidence-Based Validation]</w:t>
      </w:r>
    </w:p>
    <w:p w14:paraId="4FF9599C" w14:textId="77777777" w:rsidR="007A52C0" w:rsidRPr="007C0CE5" w:rsidRDefault="007A52C0" w:rsidP="007D692C">
      <w:pPr>
        <w:numPr>
          <w:ilvl w:val="1"/>
          <w:numId w:val="23"/>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"During our beta pilot of 2,500 active independent contractors, users saved an average of $3,400 annually in missed tax deductions. Furthermore, platform user engagement data yielded an 82% Net Promoter Score (NPS), and 91% of active participants reported a noticeable, sustained reduction in monthly financial stress."</w:t>
      </w:r>
    </w:p>
    <w:p w14:paraId="2BEF8F23" w14:textId="77777777" w:rsidR="007A52C0" w:rsidRPr="007C0CE5" w:rsidRDefault="007A52C0" w:rsidP="007D692C">
      <w:pPr>
        <w:numPr>
          <w:ilvl w:val="0"/>
          <w:numId w:val="23"/>
        </w:numPr>
        <w:spacing w:after="240"/>
        <w:rPr>
          <w:rFonts w:ascii="Aptos" w:hAnsi="Aptos" w:cs="Segoe UI Emoji"/>
          <w:lang w:val="en-GB"/>
        </w:rPr>
      </w:pPr>
      <w:r w:rsidRPr="007C0CE5">
        <w:rPr>
          <w:rFonts w:ascii="Aptos" w:hAnsi="Aptos" w:cs="Segoe UI Emoji"/>
          <w:lang w:val="en-GB"/>
        </w:rPr>
        <w:lastRenderedPageBreak/>
        <w:t>Question 7: What measurable improvement does the customer experience? [Customer Outcome Framing]</w:t>
      </w:r>
    </w:p>
    <w:p w14:paraId="205306E9" w14:textId="77777777" w:rsidR="007A52C0" w:rsidRPr="007C0CE5" w:rsidRDefault="007A52C0" w:rsidP="007D692C">
      <w:pPr>
        <w:numPr>
          <w:ilvl w:val="1"/>
          <w:numId w:val="23"/>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"Instead of facing a stressful, opaque tax bill at the end of the quarter, the customer experiences absolute financial clarity: '100% certainty over spendable income in real-time.' They experience a measurable 40% reduction in time spent on administrative business accounting per month."</w:t>
      </w:r>
    </w:p>
    <w:p w14:paraId="3DB0BD47" w14:textId="77777777" w:rsidR="008602E0" w:rsidRDefault="008602E0" w:rsidP="007A52C0">
      <w:pPr>
        <w:spacing w:after="240"/>
        <w:rPr>
          <w:rFonts w:ascii="Segoe UI Emoji" w:hAnsi="Segoe UI Emoji" w:cs="Segoe UI Emoji"/>
          <w:b/>
          <w:bCs/>
          <w:lang w:val="en-GB"/>
        </w:rPr>
      </w:pPr>
    </w:p>
    <w:p w14:paraId="2C3CE047" w14:textId="5F1E0648" w:rsidR="007A52C0" w:rsidRPr="008602E0" w:rsidRDefault="007A52C0" w:rsidP="007A52C0">
      <w:pPr>
        <w:spacing w:after="240"/>
        <w:rPr>
          <w:rFonts w:ascii="Aptos" w:hAnsi="Aptos" w:cs="Segoe UI Emoji"/>
          <w:b/>
          <w:bCs/>
          <w:lang w:val="en-GB"/>
        </w:rPr>
      </w:pPr>
      <w:r w:rsidRPr="008602E0">
        <w:rPr>
          <w:rFonts w:ascii="Aptos" w:hAnsi="Aptos" w:cs="Segoe UI Emoji"/>
          <w:b/>
          <w:bCs/>
          <w:lang w:val="en-GB"/>
        </w:rPr>
        <w:t>Critical Execution Pitfalls &amp; Mistakes to Avoid</w:t>
      </w:r>
    </w:p>
    <w:p w14:paraId="3674D025" w14:textId="77777777" w:rsidR="007A52C0" w:rsidRPr="007C0CE5" w:rsidRDefault="007A52C0" w:rsidP="007A52C0">
      <w:pPr>
        <w:spacing w:after="240"/>
        <w:rPr>
          <w:rFonts w:ascii="Aptos" w:hAnsi="Aptos" w:cs="Segoe UI Emoji"/>
          <w:lang w:val="en-GB"/>
        </w:rPr>
      </w:pPr>
      <w:r w:rsidRPr="007C0CE5">
        <w:rPr>
          <w:rFonts w:ascii="Aptos" w:hAnsi="Aptos" w:cs="Segoe UI Emoji"/>
          <w:lang w:val="en-GB"/>
        </w:rPr>
        <w:t>To complete this section effectively, ensure the proposal steers clear of these common analytical blind spots:</w:t>
      </w:r>
    </w:p>
    <w:p w14:paraId="3A61F8CD" w14:textId="77777777" w:rsidR="007A52C0" w:rsidRPr="007C0CE5" w:rsidRDefault="007A52C0" w:rsidP="007D692C">
      <w:pPr>
        <w:numPr>
          <w:ilvl w:val="0"/>
          <w:numId w:val="24"/>
        </w:numPr>
        <w:spacing w:after="240"/>
        <w:rPr>
          <w:rFonts w:ascii="Aptos" w:hAnsi="Aptos" w:cs="Segoe UI Emoji"/>
          <w:lang w:val="en-GB"/>
        </w:rPr>
      </w:pPr>
      <w:r w:rsidRPr="007C0CE5">
        <w:rPr>
          <w:rFonts w:ascii="Aptos" w:hAnsi="Aptos" w:cs="Segoe UI Emoji"/>
          <w:lang w:val="en-GB"/>
        </w:rPr>
        <w:t xml:space="preserve">Confounding Product Features with True Value: Proposals frequently list technical product specifications (e.g., </w:t>
      </w:r>
      <w:r w:rsidRPr="007C0CE5">
        <w:rPr>
          <w:rFonts w:ascii="Aptos" w:hAnsi="Aptos" w:cs="Segoe UI Emoji"/>
          <w:i/>
          <w:iCs/>
          <w:lang w:val="en-GB"/>
        </w:rPr>
        <w:t>"We feature an interactive UI dashboard and a native iOS app"</w:t>
      </w:r>
      <w:r w:rsidRPr="007C0CE5">
        <w:rPr>
          <w:rFonts w:ascii="Aptos" w:hAnsi="Aptos" w:cs="Segoe UI Emoji"/>
          <w:lang w:val="en-GB"/>
        </w:rPr>
        <w:t xml:space="preserve">) rather than the actual economic value delivered to the end user (e.g., </w:t>
      </w:r>
      <w:r w:rsidRPr="007C0CE5">
        <w:rPr>
          <w:rFonts w:ascii="Aptos" w:hAnsi="Aptos" w:cs="Segoe UI Emoji"/>
          <w:i/>
          <w:iCs/>
          <w:lang w:val="en-GB"/>
        </w:rPr>
        <w:t>"saving 5 hours of manual administration per week"</w:t>
      </w:r>
      <w:r w:rsidRPr="007C0CE5">
        <w:rPr>
          <w:rFonts w:ascii="Aptos" w:hAnsi="Aptos" w:cs="Segoe UI Emoji"/>
          <w:lang w:val="en-GB"/>
        </w:rPr>
        <w:t>). Customers do not buy software architectures or feature sets; they buy the structural elimination of their operational friction.</w:t>
      </w:r>
    </w:p>
    <w:p w14:paraId="5B92B6C0" w14:textId="77777777" w:rsidR="007A52C0" w:rsidRPr="007C0CE5" w:rsidRDefault="007A52C0" w:rsidP="007D692C">
      <w:pPr>
        <w:numPr>
          <w:ilvl w:val="0"/>
          <w:numId w:val="24"/>
        </w:numPr>
        <w:spacing w:after="240"/>
        <w:rPr>
          <w:rFonts w:ascii="Aptos" w:hAnsi="Aptos" w:cs="Segoe UI Emoji"/>
          <w:lang w:val="en-GB"/>
        </w:rPr>
      </w:pPr>
      <w:r w:rsidRPr="007C0CE5">
        <w:rPr>
          <w:rFonts w:ascii="Aptos" w:hAnsi="Aptos" w:cs="Segoe UI Emoji"/>
          <w:lang w:val="en-GB"/>
        </w:rPr>
        <w:t xml:space="preserve">The "Unfair Advantage" Illusion: When answering the "Why Us?" question, it is a significant mistake to use weak, non-defensible phrases like </w:t>
      </w:r>
      <w:r w:rsidRPr="007C0CE5">
        <w:rPr>
          <w:rFonts w:ascii="Aptos" w:hAnsi="Aptos" w:cs="Segoe UI Emoji"/>
          <w:i/>
          <w:iCs/>
          <w:lang w:val="en-GB"/>
        </w:rPr>
        <w:t>"We care more about our users"</w:t>
      </w:r>
      <w:r w:rsidRPr="007C0CE5">
        <w:rPr>
          <w:rFonts w:ascii="Aptos" w:hAnsi="Aptos" w:cs="Segoe UI Emoji"/>
          <w:lang w:val="en-GB"/>
        </w:rPr>
        <w:t xml:space="preserve"> or </w:t>
      </w:r>
      <w:r w:rsidRPr="007C0CE5">
        <w:rPr>
          <w:rFonts w:ascii="Aptos" w:hAnsi="Aptos" w:cs="Segoe UI Emoji"/>
          <w:i/>
          <w:iCs/>
          <w:lang w:val="en-GB"/>
        </w:rPr>
        <w:t>"Our solution is faster and cheaper."</w:t>
      </w:r>
      <w:r w:rsidRPr="007C0CE5">
        <w:rPr>
          <w:rFonts w:ascii="Aptos" w:hAnsi="Aptos" w:cs="Segoe UI Emoji"/>
          <w:lang w:val="en-GB"/>
        </w:rPr>
        <w:t xml:space="preserve"> These assertions are easily copied by any incumbent. An elite proposal must outline an operational entry barrier that is genuinely difficult to replicate, such as proprietary codebases, exclusive data access pools, or deep structural domain expertise.</w:t>
      </w:r>
    </w:p>
    <w:p w14:paraId="2679BB45" w14:textId="77777777" w:rsidR="007A52C0" w:rsidRPr="007C0CE5" w:rsidRDefault="007A52C0" w:rsidP="007D692C">
      <w:pPr>
        <w:numPr>
          <w:ilvl w:val="0"/>
          <w:numId w:val="24"/>
        </w:numPr>
        <w:spacing w:after="240"/>
        <w:rPr>
          <w:rFonts w:ascii="Aptos" w:hAnsi="Aptos" w:cs="Segoe UI Emoji"/>
          <w:lang w:val="en-GB"/>
        </w:rPr>
      </w:pPr>
      <w:r w:rsidRPr="007C0CE5">
        <w:rPr>
          <w:rFonts w:ascii="Aptos" w:hAnsi="Aptos" w:cs="Segoe UI Emoji"/>
          <w:lang w:val="en-GB"/>
        </w:rPr>
        <w:t xml:space="preserve">Vague or Unverified Performance Metrics: For proof points, proposals often default to fabricated or ungrounded claims (e.g., </w:t>
      </w:r>
      <w:r w:rsidRPr="007C0CE5">
        <w:rPr>
          <w:rFonts w:ascii="Aptos" w:hAnsi="Aptos" w:cs="Segoe UI Emoji"/>
          <w:i/>
          <w:iCs/>
          <w:lang w:val="en-GB"/>
        </w:rPr>
        <w:t>"Our customers will be 100% more satisfied"</w:t>
      </w:r>
      <w:r w:rsidRPr="007C0CE5">
        <w:rPr>
          <w:rFonts w:ascii="Aptos" w:hAnsi="Aptos" w:cs="Segoe UI Emoji"/>
          <w:lang w:val="en-GB"/>
        </w:rPr>
        <w:t>). In a formal business proposal, value evidence must be anchored to specific, realistic, and quantifiable operational benchmarks—such as verified dollar amounts saved, customer churn percentages, or concrete pilot metrics.</w:t>
      </w:r>
    </w:p>
    <w:p w14:paraId="57660326" w14:textId="77777777" w:rsidR="007A52C0" w:rsidRPr="007C0CE5" w:rsidRDefault="007A52C0" w:rsidP="00520A73">
      <w:pPr>
        <w:spacing w:after="240"/>
        <w:rPr>
          <w:rFonts w:ascii="Aptos" w:hAnsi="Aptos" w:cs="Segoe UI Emoji"/>
          <w:lang w:val="en-GB"/>
        </w:rPr>
      </w:pPr>
    </w:p>
    <w:p w14:paraId="4B84A94C" w14:textId="77777777" w:rsidR="007A52C0" w:rsidRPr="007C0CE5" w:rsidRDefault="007A52C0" w:rsidP="00520A73">
      <w:pPr>
        <w:spacing w:after="240"/>
        <w:rPr>
          <w:rFonts w:ascii="Aptos" w:hAnsi="Aptos" w:cs="Segoe UI Emoji"/>
          <w:lang w:val="en-GB"/>
        </w:rPr>
      </w:pPr>
    </w:p>
    <w:p w14:paraId="09B951B0" w14:textId="77777777" w:rsidR="00995436" w:rsidRPr="007C0CE5" w:rsidRDefault="00C211B2" w:rsidP="007C0CE5">
      <w:pPr>
        <w:pStyle w:val="Heading2"/>
      </w:pPr>
      <w:r w:rsidRPr="007C0CE5">
        <w:t>3. Channels</w:t>
      </w:r>
    </w:p>
    <w:p w14:paraId="2114D579" w14:textId="77777777" w:rsidR="009F30E5" w:rsidRDefault="009F30E5" w:rsidP="003707F7">
      <w:pPr>
        <w:spacing w:after="240"/>
        <w:rPr>
          <w:rFonts w:ascii="Aptos" w:hAnsi="Aptos" w:cs="Segoe UI Emoji"/>
          <w:b/>
          <w:bCs/>
          <w:lang w:val="en-GB"/>
        </w:rPr>
      </w:pPr>
    </w:p>
    <w:p w14:paraId="2AC2B7DE" w14:textId="474444EB" w:rsidR="003707F7" w:rsidRDefault="00F979E0" w:rsidP="003707F7">
      <w:pPr>
        <w:spacing w:after="240"/>
        <w:rPr>
          <w:rFonts w:ascii="Aptos" w:hAnsi="Aptos" w:cs="Segoe UI Emoji"/>
          <w:lang w:val="en-GB"/>
        </w:rPr>
      </w:pPr>
      <w:r w:rsidRPr="00F979E0">
        <w:rPr>
          <w:rFonts w:ascii="Aptos" w:hAnsi="Aptos" w:cs="Segoe UI Emoji"/>
          <w:b/>
          <w:bCs/>
          <w:lang w:val="en-GB"/>
        </w:rPr>
        <w:t>Purposes</w:t>
      </w:r>
      <w:r>
        <w:rPr>
          <w:rFonts w:ascii="Aptos" w:hAnsi="Aptos" w:cs="Segoe UI Emoji"/>
          <w:lang w:val="en-GB"/>
        </w:rPr>
        <w:t xml:space="preserve">: </w:t>
      </w:r>
      <w:r w:rsidR="003707F7" w:rsidRPr="007C0CE5">
        <w:rPr>
          <w:rFonts w:ascii="Aptos" w:hAnsi="Aptos" w:cs="Segoe UI Emoji"/>
          <w:lang w:val="en-GB"/>
        </w:rPr>
        <w:t>This section outlines the direct-to-market communication and distribution architecture used to independently drive customer awareness, streamline onboarding, and deliver the core value proposition.</w:t>
      </w:r>
    </w:p>
    <w:p w14:paraId="2BFE73E0" w14:textId="77777777" w:rsidR="003707F7" w:rsidRDefault="003707F7" w:rsidP="003707F7">
      <w:pPr>
        <w:spacing w:after="240"/>
        <w:rPr>
          <w:rFonts w:ascii="Aptos" w:hAnsi="Aptos" w:cs="Segoe UI Emoji"/>
          <w:lang w:val="en-GB"/>
        </w:rPr>
      </w:pPr>
      <w:r w:rsidRPr="00F979E0">
        <w:rPr>
          <w:rFonts w:ascii="Aptos" w:hAnsi="Aptos" w:cs="Segoe UI Emoji"/>
          <w:b/>
          <w:bCs/>
          <w:lang w:val="en-GB"/>
        </w:rPr>
        <w:lastRenderedPageBreak/>
        <w:t>How this section fits the proposal's goal:</w:t>
      </w:r>
      <w:r w:rsidRPr="007C0CE5">
        <w:rPr>
          <w:rFonts w:ascii="Aptos" w:hAnsi="Aptos" w:cs="Segoe UI Emoji"/>
          <w:lang w:val="en-GB"/>
        </w:rPr>
        <w:t xml:space="preserve"> A Business Development (BD) proposal must detail exactly how an independent business opportunity will scale its market share without the aid of established partner distribution networks. The Channels block serves as the tactical delivery system of the proposal; it blueprints how the company will cost-effectively acquire users, compress sales cycles, and manage the full customer lifecycle using self-directed infrastructure.</w:t>
      </w:r>
    </w:p>
    <w:p w14:paraId="613BE902" w14:textId="77777777" w:rsidR="006E1498" w:rsidRPr="007C0CE5" w:rsidRDefault="006E1498" w:rsidP="003707F7">
      <w:pPr>
        <w:spacing w:after="240"/>
        <w:rPr>
          <w:rFonts w:ascii="Aptos" w:hAnsi="Aptos" w:cs="Segoe UI Emoji"/>
          <w:lang w:val="en-GB"/>
        </w:rPr>
      </w:pPr>
    </w:p>
    <w:p w14:paraId="5BB0191D" w14:textId="77777777" w:rsidR="003707F7" w:rsidRPr="006E1498" w:rsidRDefault="003707F7" w:rsidP="003707F7">
      <w:pPr>
        <w:spacing w:after="240"/>
        <w:rPr>
          <w:rFonts w:ascii="Aptos" w:hAnsi="Aptos" w:cs="Segoe UI Emoji"/>
          <w:b/>
          <w:bCs/>
          <w:lang w:val="en-GB"/>
        </w:rPr>
      </w:pPr>
      <w:r w:rsidRPr="006E1498">
        <w:rPr>
          <w:rFonts w:ascii="Aptos" w:hAnsi="Aptos" w:cs="Segoe UI Emoji"/>
          <w:b/>
          <w:bCs/>
          <w:lang w:val="en-GB"/>
        </w:rPr>
        <w:t>Cross-Functional Mapping (Fitting with other blocks):</w:t>
      </w:r>
    </w:p>
    <w:p w14:paraId="0DC044FB" w14:textId="77777777" w:rsidR="003707F7" w:rsidRPr="007C0CE5" w:rsidRDefault="003707F7" w:rsidP="007D692C">
      <w:pPr>
        <w:numPr>
          <w:ilvl w:val="0"/>
          <w:numId w:val="25"/>
        </w:numPr>
        <w:spacing w:after="240"/>
        <w:rPr>
          <w:rFonts w:ascii="Aptos" w:hAnsi="Aptos" w:cs="Segoe UI Emoji"/>
          <w:lang w:val="en-GB"/>
        </w:rPr>
      </w:pPr>
      <w:r w:rsidRPr="007C0CE5">
        <w:rPr>
          <w:rFonts w:ascii="Aptos" w:hAnsi="Aptos" w:cs="Segoe UI Emoji"/>
          <w:lang w:val="en-GB"/>
        </w:rPr>
        <w:t>With Block 1 (Customer Segments): The channels chosen must precisely align with the media consumption habits, mobile-first daily usage frequencies, and device preferences defined in Block 1.</w:t>
      </w:r>
    </w:p>
    <w:p w14:paraId="242303B0" w14:textId="77777777" w:rsidR="003707F7" w:rsidRPr="007C0CE5" w:rsidRDefault="003707F7" w:rsidP="007D692C">
      <w:pPr>
        <w:numPr>
          <w:ilvl w:val="0"/>
          <w:numId w:val="25"/>
        </w:numPr>
        <w:spacing w:after="240"/>
        <w:rPr>
          <w:rFonts w:ascii="Aptos" w:hAnsi="Aptos" w:cs="Segoe UI Emoji"/>
          <w:lang w:val="en-GB"/>
        </w:rPr>
      </w:pPr>
      <w:r w:rsidRPr="007C0CE5">
        <w:rPr>
          <w:rFonts w:ascii="Aptos" w:hAnsi="Aptos" w:cs="Segoe UI Emoji"/>
          <w:lang w:val="en-GB"/>
        </w:rPr>
        <w:t>With Block 2 (Value Propositions): Distribution and communication methods must physically embody the brand's core promises. For instance, a promise of "instant speed" cannot be delivered via slow email reports; it requires real-time push architecture.</w:t>
      </w:r>
    </w:p>
    <w:p w14:paraId="6E513ABF" w14:textId="03929095" w:rsidR="003707F7" w:rsidRDefault="003707F7" w:rsidP="007D692C">
      <w:pPr>
        <w:numPr>
          <w:ilvl w:val="0"/>
          <w:numId w:val="25"/>
        </w:numPr>
        <w:spacing w:after="240"/>
        <w:rPr>
          <w:rFonts w:ascii="Aptos" w:hAnsi="Aptos" w:cs="Segoe UI Emoji"/>
          <w:lang w:val="en-GB"/>
        </w:rPr>
      </w:pPr>
      <w:r w:rsidRPr="007C0CE5">
        <w:rPr>
          <w:rFonts w:ascii="Aptos" w:hAnsi="Aptos" w:cs="Segoe UI Emoji"/>
          <w:lang w:val="en-GB"/>
        </w:rPr>
        <w:t>With Block 5 &amp; 9 (Revenue Streams &amp; Cost Structure): The cost to run these distribution channels directly shapes the Customer Acquisition Cost (</w:t>
      </w:r>
      <m:oMath>
        <m:r>
          <w:rPr>
            <w:rFonts w:ascii="Cambria Math" w:hAnsi="Cambria Math" w:cs="Segoe UI Emoji"/>
            <w:lang w:val="en-GB"/>
          </w:rPr>
          <m:t>CAC</m:t>
        </m:r>
      </m:oMath>
      <w:r w:rsidRPr="007C0CE5">
        <w:rPr>
          <w:rFonts w:ascii="Aptos" w:hAnsi="Aptos" w:cs="Segoe UI Emoji"/>
          <w:lang w:val="en-GB"/>
        </w:rPr>
        <w:t xml:space="preserve">) budgeted in Block 9. This </w:t>
      </w:r>
      <m:oMath>
        <m:r>
          <w:rPr>
            <w:rFonts w:ascii="Cambria Math" w:hAnsi="Cambria Math" w:cs="Segoe UI Emoji"/>
            <w:lang w:val="en-GB"/>
          </w:rPr>
          <m:t>CAC</m:t>
        </m:r>
      </m:oMath>
      <w:r w:rsidRPr="007C0CE5">
        <w:rPr>
          <w:rFonts w:ascii="Aptos" w:hAnsi="Aptos" w:cs="Segoe UI Emoji"/>
          <w:lang w:val="en-GB"/>
        </w:rPr>
        <w:t xml:space="preserve"> must be mathematically supported by the recurring monetization models detailed in Block 5 to guarantee long-term financial viability.</w:t>
      </w:r>
    </w:p>
    <w:p w14:paraId="7FAF1570" w14:textId="77777777" w:rsidR="006B0393" w:rsidRDefault="006B0393" w:rsidP="006B0393">
      <w:pPr>
        <w:spacing w:after="240"/>
        <w:ind w:left="360"/>
        <w:rPr>
          <w:rFonts w:ascii="Aptos" w:hAnsi="Aptos" w:cs="Segoe UI Emoji"/>
          <w:lang w:val="en-GB"/>
        </w:rPr>
      </w:pPr>
    </w:p>
    <w:p w14:paraId="4C540B97" w14:textId="77777777" w:rsidR="00EF0899" w:rsidRPr="007C0CE5" w:rsidRDefault="00EF0899" w:rsidP="00EF0899">
      <w:pPr>
        <w:spacing w:after="240"/>
        <w:rPr>
          <w:rFonts w:ascii="Aptos" w:hAnsi="Aptos" w:cs="Segoe UI Emoji"/>
          <w:lang w:val="en-GB"/>
        </w:rPr>
      </w:pPr>
      <w:r w:rsidRPr="006E1498">
        <w:rPr>
          <w:rFonts w:ascii="Aptos" w:hAnsi="Aptos" w:cs="Segoe UI Emoji"/>
          <w:b/>
          <w:bCs/>
          <w:lang w:val="en-GB"/>
        </w:rPr>
        <w:t>Key questions:</w:t>
      </w:r>
      <w:r w:rsidRPr="007C0CE5">
        <w:rPr>
          <w:rFonts w:ascii="Aptos" w:hAnsi="Aptos" w:cs="Segoe UI Emoji"/>
          <w:lang w:val="en-GB"/>
        </w:rPr>
        <w:t xml:space="preserve"> How do we communicate with and reach our target customer segments to deliver our value proposition? How do we build, control, and scale our own distribution infrastructure to drive acquisition efficiently?</w:t>
      </w:r>
    </w:p>
    <w:p w14:paraId="6E40F06A" w14:textId="77777777" w:rsidR="00EF0899" w:rsidRDefault="00EF0899" w:rsidP="006B0393">
      <w:pPr>
        <w:spacing w:after="240"/>
        <w:ind w:left="360"/>
        <w:rPr>
          <w:rFonts w:ascii="Aptos" w:hAnsi="Aptos" w:cs="Segoe UI Emoji"/>
          <w:lang w:val="en-GB"/>
        </w:rPr>
      </w:pPr>
    </w:p>
    <w:p w14:paraId="70988000" w14:textId="79A81831" w:rsidR="006B0393" w:rsidRPr="007C0CE5" w:rsidRDefault="006B0393" w:rsidP="006B0393">
      <w:pPr>
        <w:spacing w:after="240"/>
        <w:rPr>
          <w:rFonts w:ascii="Aptos" w:hAnsi="Aptos" w:cs="Segoe UI Emoji"/>
          <w:lang w:val="en-GB"/>
        </w:rPr>
      </w:pPr>
      <w:r>
        <w:rPr>
          <w:rFonts w:ascii="Aptos" w:hAnsi="Aptos" w:cs="Segoe UI Emoji"/>
          <w:b/>
          <w:bCs/>
          <w:lang w:val="en-GB"/>
        </w:rPr>
        <w:t>Specific</w:t>
      </w:r>
      <w:r w:rsidRPr="008A175F">
        <w:rPr>
          <w:rFonts w:ascii="Aptos" w:hAnsi="Aptos" w:cs="Segoe UI Emoji"/>
          <w:b/>
          <w:bCs/>
          <w:lang w:val="en-GB"/>
        </w:rPr>
        <w:t xml:space="preserve"> questions to address</w:t>
      </w:r>
      <w:r>
        <w:rPr>
          <w:rFonts w:ascii="Aptos" w:hAnsi="Aptos" w:cs="Segoe UI Emoji"/>
          <w:b/>
          <w:bCs/>
          <w:lang w:val="en-GB"/>
        </w:rPr>
        <w:t>:</w:t>
      </w:r>
    </w:p>
    <w:p w14:paraId="7EEB4843" w14:textId="77777777" w:rsidR="003707F7" w:rsidRPr="007C0CE5" w:rsidRDefault="003707F7" w:rsidP="007D692C">
      <w:pPr>
        <w:numPr>
          <w:ilvl w:val="0"/>
          <w:numId w:val="26"/>
        </w:numPr>
        <w:spacing w:after="240"/>
        <w:rPr>
          <w:rFonts w:ascii="Aptos" w:hAnsi="Aptos" w:cs="Segoe UI Emoji"/>
          <w:lang w:val="en-GB"/>
        </w:rPr>
      </w:pPr>
      <w:r w:rsidRPr="007C0CE5">
        <w:rPr>
          <w:rFonts w:ascii="Aptos" w:hAnsi="Aptos" w:cs="Segoe UI Emoji"/>
          <w:lang w:val="en-GB"/>
        </w:rPr>
        <w:t>Question 1: Through which communication and distribution channels do our target clients prefer to be reached? [Customer Channel Preference]</w:t>
      </w:r>
    </w:p>
    <w:p w14:paraId="23402BE0" w14:textId="77777777" w:rsidR="003707F7" w:rsidRPr="007C0CE5" w:rsidRDefault="003707F7" w:rsidP="007D692C">
      <w:pPr>
        <w:numPr>
          <w:ilvl w:val="1"/>
          <w:numId w:val="26"/>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"Freelancers interact almost exclusively within mobile-first environments. Our target market relies heavily on real-time mobile push notifications for urgent financial events, in-app dashboard cards for daily administrative tasks, and highly targeted, educational email insights for monthly business planning."</w:t>
      </w:r>
    </w:p>
    <w:p w14:paraId="6FDFFBD3" w14:textId="77777777" w:rsidR="003707F7" w:rsidRPr="007C0CE5" w:rsidRDefault="003707F7" w:rsidP="007D692C">
      <w:pPr>
        <w:numPr>
          <w:ilvl w:val="0"/>
          <w:numId w:val="26"/>
        </w:numPr>
        <w:spacing w:after="240"/>
        <w:rPr>
          <w:rFonts w:ascii="Aptos" w:hAnsi="Aptos" w:cs="Segoe UI Emoji"/>
          <w:lang w:val="en-GB"/>
        </w:rPr>
      </w:pPr>
      <w:r w:rsidRPr="007C0CE5">
        <w:rPr>
          <w:rFonts w:ascii="Aptos" w:hAnsi="Aptos" w:cs="Segoe UI Emoji"/>
          <w:lang w:val="en-GB"/>
        </w:rPr>
        <w:t>Question 2: Which internal or direct-to-market channels will we deploy to immediately capture and own our audience? [Direct-to-Market Ownership]</w:t>
      </w:r>
    </w:p>
    <w:p w14:paraId="7ECCCA7B" w14:textId="77777777" w:rsidR="003707F7" w:rsidRPr="007C0CE5" w:rsidRDefault="003707F7" w:rsidP="007D692C">
      <w:pPr>
        <w:numPr>
          <w:ilvl w:val="1"/>
          <w:numId w:val="26"/>
        </w:numPr>
        <w:spacing w:after="240"/>
        <w:rPr>
          <w:rFonts w:ascii="Aptos" w:hAnsi="Aptos" w:cs="Segoe UI Emoji"/>
          <w:lang w:val="en-GB"/>
        </w:rPr>
      </w:pPr>
      <w:r w:rsidRPr="007C0CE5">
        <w:rPr>
          <w:rFonts w:ascii="Aptos" w:hAnsi="Aptos" w:cs="Segoe UI Emoji"/>
          <w:i/>
          <w:iCs/>
          <w:lang w:val="en-GB"/>
        </w:rPr>
        <w:lastRenderedPageBreak/>
        <w:t>Expected Proposal Answer:</w:t>
      </w:r>
      <w:r w:rsidRPr="007C0CE5">
        <w:rPr>
          <w:rFonts w:ascii="Aptos" w:hAnsi="Aptos" w:cs="Segoe UI Emoji"/>
          <w:lang w:val="en-GB"/>
        </w:rPr>
        <w:t xml:space="preserve"> "We will deploy a direct-to-consumer digital acquisition engine leveraging dedicated mobile application stores (iOS App Store and Google Play), highly optimized organic Search Engine Optimization (SEO) landing pages targeted at freelance tax queries, and a proprietary, bi-weekly financial newsletter distribution list."</w:t>
      </w:r>
    </w:p>
    <w:p w14:paraId="1180C234" w14:textId="77777777" w:rsidR="003707F7" w:rsidRPr="007C0CE5" w:rsidRDefault="003707F7" w:rsidP="007D692C">
      <w:pPr>
        <w:numPr>
          <w:ilvl w:val="0"/>
          <w:numId w:val="26"/>
        </w:numPr>
        <w:spacing w:after="240"/>
        <w:rPr>
          <w:rFonts w:ascii="Aptos" w:hAnsi="Aptos" w:cs="Segoe UI Emoji"/>
          <w:lang w:val="en-GB"/>
        </w:rPr>
      </w:pPr>
      <w:r w:rsidRPr="007C0CE5">
        <w:rPr>
          <w:rFonts w:ascii="Aptos" w:hAnsi="Aptos" w:cs="Segoe UI Emoji"/>
          <w:lang w:val="en-GB"/>
        </w:rPr>
        <w:t>Question 3: How are these channels integrated, and which ones are the most cost-efficient and scalable? [Channel Integration &amp; Scalability]</w:t>
      </w:r>
    </w:p>
    <w:p w14:paraId="13A6FF90" w14:textId="77777777" w:rsidR="003707F7" w:rsidRPr="007C0CE5" w:rsidRDefault="003707F7" w:rsidP="007D692C">
      <w:pPr>
        <w:numPr>
          <w:ilvl w:val="1"/>
          <w:numId w:val="26"/>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"Our acquisition channels feed directly into our centralized Customer Relationship Management (CRM) platform via webhooks. The most cost-efficient and scalable channel is our organic, value-first content hub and SEO strategy; once established, it drives highly qualified inbound web traffic directly to our mobile app download pages at zero incremental cost per acquisition."</w:t>
      </w:r>
    </w:p>
    <w:p w14:paraId="08A6F369" w14:textId="77777777" w:rsidR="003707F7" w:rsidRPr="007C0CE5" w:rsidRDefault="003707F7" w:rsidP="007D692C">
      <w:pPr>
        <w:numPr>
          <w:ilvl w:val="0"/>
          <w:numId w:val="26"/>
        </w:numPr>
        <w:spacing w:after="240"/>
        <w:rPr>
          <w:rFonts w:ascii="Aptos" w:hAnsi="Aptos" w:cs="Segoe UI Emoji"/>
          <w:lang w:val="en-GB"/>
        </w:rPr>
      </w:pPr>
      <w:r w:rsidRPr="007C0CE5">
        <w:rPr>
          <w:rFonts w:ascii="Aptos" w:hAnsi="Aptos" w:cs="Segoe UI Emoji"/>
          <w:lang w:val="en-GB"/>
        </w:rPr>
        <w:t>Question 4: How do we construct a clean onboarding/purchasing experience entirely within our own standalone product environment? [Frictionless Conversion Environment]</w:t>
      </w:r>
    </w:p>
    <w:p w14:paraId="07D4AA30" w14:textId="77777777" w:rsidR="003707F7" w:rsidRPr="007C0CE5" w:rsidRDefault="003707F7" w:rsidP="007D692C">
      <w:pPr>
        <w:numPr>
          <w:ilvl w:val="1"/>
          <w:numId w:val="26"/>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"We deploy a frictionless, multi-step mobile onboarding flow. By integrating direct Plaid and Open Banking APIs, users securely link their existing checking accounts in under 60 seconds. This allows our standalone platform to instantly pull historical data and configure the tax-siloing algorithm without forcing the user to manually upload bank statements or navigate complex registration barriers."</w:t>
      </w:r>
    </w:p>
    <w:p w14:paraId="049198E8" w14:textId="77777777" w:rsidR="003707F7" w:rsidRPr="007C0CE5" w:rsidRDefault="003707F7" w:rsidP="007D692C">
      <w:pPr>
        <w:numPr>
          <w:ilvl w:val="0"/>
          <w:numId w:val="26"/>
        </w:numPr>
        <w:spacing w:after="240"/>
        <w:rPr>
          <w:rFonts w:ascii="Aptos" w:hAnsi="Aptos" w:cs="Segoe UI Emoji"/>
          <w:lang w:val="en-GB"/>
        </w:rPr>
      </w:pPr>
      <w:r w:rsidRPr="007C0CE5">
        <w:rPr>
          <w:rFonts w:ascii="Aptos" w:hAnsi="Aptos" w:cs="Segoe UI Emoji"/>
          <w:lang w:val="en-GB"/>
        </w:rPr>
        <w:t>Question 5: How do the chosen channels reinforce the value proposition (speed, convenience, trust, personalization)? [Channel–Value Proposition Fit]</w:t>
      </w:r>
    </w:p>
    <w:p w14:paraId="60A3A8DD" w14:textId="77777777" w:rsidR="003707F7" w:rsidRPr="007C0CE5" w:rsidRDefault="003707F7" w:rsidP="007D692C">
      <w:pPr>
        <w:numPr>
          <w:ilvl w:val="1"/>
          <w:numId w:val="26"/>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"Utilizing a native mobile app as our core channel fulfills the criteria of convenience and speed, keeping real-time calculations directly in the user's pocket. We reinforce trust by displaying banking-grade security badges (such as AES-256 encryption metrics) explicitly on our API linking screens, assuring the user that their independent financial data is fully protected."</w:t>
      </w:r>
    </w:p>
    <w:p w14:paraId="0192030D" w14:textId="77777777" w:rsidR="003707F7" w:rsidRPr="007C0CE5" w:rsidRDefault="003707F7" w:rsidP="007D692C">
      <w:pPr>
        <w:numPr>
          <w:ilvl w:val="0"/>
          <w:numId w:val="26"/>
        </w:numPr>
        <w:spacing w:after="240"/>
        <w:rPr>
          <w:rFonts w:ascii="Aptos" w:hAnsi="Aptos" w:cs="Segoe UI Emoji"/>
          <w:lang w:val="en-GB"/>
        </w:rPr>
      </w:pPr>
      <w:r w:rsidRPr="007C0CE5">
        <w:rPr>
          <w:rFonts w:ascii="Aptos" w:hAnsi="Aptos" w:cs="Segoe UI Emoji"/>
          <w:lang w:val="en-GB"/>
        </w:rPr>
        <w:t>Question 6: Which native or proprietary channels create unique distribution advantages that competitors cannot easily replicate? [Proprietary Distribution Moat]</w:t>
      </w:r>
    </w:p>
    <w:p w14:paraId="598BB840" w14:textId="77777777" w:rsidR="003707F7" w:rsidRPr="007C0CE5" w:rsidRDefault="003707F7" w:rsidP="007D692C">
      <w:pPr>
        <w:numPr>
          <w:ilvl w:val="1"/>
          <w:numId w:val="26"/>
        </w:numPr>
        <w:spacing w:after="240"/>
        <w:rPr>
          <w:rFonts w:ascii="Aptos" w:hAnsi="Aptos" w:cs="Segoe UI Emoji"/>
          <w:lang w:val="en-GB"/>
        </w:rPr>
      </w:pPr>
      <w:r w:rsidRPr="007C0CE5">
        <w:rPr>
          <w:rFonts w:ascii="Aptos" w:hAnsi="Aptos" w:cs="Segoe UI Emoji"/>
          <w:i/>
          <w:iCs/>
          <w:lang w:val="en-GB"/>
        </w:rPr>
        <w:t>Expected Proposal Answer:</w:t>
      </w:r>
      <w:r w:rsidRPr="007C0CE5">
        <w:rPr>
          <w:rFonts w:ascii="Aptos" w:hAnsi="Aptos" w:cs="Segoe UI Emoji"/>
          <w:lang w:val="en-GB"/>
        </w:rPr>
        <w:t xml:space="preserve"> "Our proprietary smart notification engine serves as our primary channel advantage. By establishing a direct, persistent background sync with open banking rails, our app triggers hyper-personalized, automated push alerts at the exact millisecond a freelance deposit clears, capturing user attention long before they open standard accounting tools."</w:t>
      </w:r>
    </w:p>
    <w:p w14:paraId="602867BC" w14:textId="77777777" w:rsidR="003707F7" w:rsidRPr="007C0CE5" w:rsidRDefault="003707F7" w:rsidP="007D692C">
      <w:pPr>
        <w:numPr>
          <w:ilvl w:val="0"/>
          <w:numId w:val="26"/>
        </w:numPr>
        <w:spacing w:after="240"/>
        <w:rPr>
          <w:rFonts w:ascii="Aptos" w:hAnsi="Aptos" w:cs="Segoe UI Emoji"/>
          <w:lang w:val="en-GB"/>
        </w:rPr>
      </w:pPr>
      <w:r w:rsidRPr="007C0CE5">
        <w:rPr>
          <w:rFonts w:ascii="Aptos" w:hAnsi="Aptos" w:cs="Segoe UI Emoji"/>
          <w:lang w:val="en-GB"/>
        </w:rPr>
        <w:lastRenderedPageBreak/>
        <w:t>Question 7: How do we ensure a seamless customer journey across awareness, evaluation, purchase, delivery, and after-sales? [Customer Journey Integration]</w:t>
      </w:r>
    </w:p>
    <w:p w14:paraId="09207F9A" w14:textId="77777777" w:rsidR="003707F7" w:rsidRPr="007C0CE5" w:rsidRDefault="003707F7" w:rsidP="007D692C">
      <w:pPr>
        <w:numPr>
          <w:ilvl w:val="1"/>
          <w:numId w:val="26"/>
        </w:numPr>
        <w:spacing w:after="240"/>
        <w:rPr>
          <w:rFonts w:ascii="Aptos" w:hAnsi="Aptos" w:cs="Segoe UI Emoji"/>
          <w:lang w:val="en-GB"/>
        </w:rPr>
      </w:pPr>
      <w:r w:rsidRPr="007C0CE5">
        <w:rPr>
          <w:rFonts w:ascii="Aptos" w:hAnsi="Aptos" w:cs="Segoe UI Emoji"/>
          <w:i/>
          <w:iCs/>
          <w:lang w:val="en-GB"/>
        </w:rPr>
        <w:t>Expected Proposal Answer:</w:t>
      </w:r>
    </w:p>
    <w:p w14:paraId="3ECBE46D" w14:textId="77777777" w:rsidR="003707F7" w:rsidRPr="007C0CE5" w:rsidRDefault="003707F7" w:rsidP="007D692C">
      <w:pPr>
        <w:numPr>
          <w:ilvl w:val="2"/>
          <w:numId w:val="26"/>
        </w:numPr>
        <w:spacing w:after="240"/>
        <w:rPr>
          <w:rFonts w:ascii="Aptos" w:hAnsi="Aptos" w:cs="Segoe UI Emoji"/>
          <w:lang w:val="en-GB"/>
        </w:rPr>
      </w:pPr>
      <w:r w:rsidRPr="007C0CE5">
        <w:rPr>
          <w:rFonts w:ascii="Aptos" w:hAnsi="Aptos" w:cs="Segoe UI Emoji"/>
          <w:lang w:val="en-GB"/>
        </w:rPr>
        <w:t>Awareness: Targeted programmatic search ads and SEO articles addressing freelance quarterly tax deadlines.</w:t>
      </w:r>
    </w:p>
    <w:p w14:paraId="2F070D41" w14:textId="77777777" w:rsidR="003707F7" w:rsidRPr="007C0CE5" w:rsidRDefault="003707F7" w:rsidP="007D692C">
      <w:pPr>
        <w:numPr>
          <w:ilvl w:val="2"/>
          <w:numId w:val="26"/>
        </w:numPr>
        <w:spacing w:after="240"/>
        <w:rPr>
          <w:rFonts w:ascii="Aptos" w:hAnsi="Aptos" w:cs="Segoe UI Emoji"/>
          <w:lang w:val="en-GB"/>
        </w:rPr>
      </w:pPr>
      <w:r w:rsidRPr="007C0CE5">
        <w:rPr>
          <w:rFonts w:ascii="Aptos" w:hAnsi="Aptos" w:cs="Segoe UI Emoji"/>
          <w:lang w:val="en-GB"/>
        </w:rPr>
        <w:t>Evaluation: A free, web-based 'Tax Estimation Calculator' that lets users preview potential savings before downloading the app.</w:t>
      </w:r>
    </w:p>
    <w:p w14:paraId="3C94406B" w14:textId="77777777" w:rsidR="003707F7" w:rsidRPr="007C0CE5" w:rsidRDefault="003707F7" w:rsidP="007D692C">
      <w:pPr>
        <w:numPr>
          <w:ilvl w:val="2"/>
          <w:numId w:val="26"/>
        </w:numPr>
        <w:spacing w:after="240"/>
        <w:rPr>
          <w:rFonts w:ascii="Aptos" w:hAnsi="Aptos" w:cs="Segoe UI Emoji"/>
          <w:lang w:val="en-GB"/>
        </w:rPr>
      </w:pPr>
      <w:r w:rsidRPr="007C0CE5">
        <w:rPr>
          <w:rFonts w:ascii="Aptos" w:hAnsi="Aptos" w:cs="Segoe UI Emoji"/>
          <w:lang w:val="en-GB"/>
        </w:rPr>
        <w:t>Purchase: Frictionless in-app subscription sign-up using Apple Pay or Google Pay authentication.</w:t>
      </w:r>
    </w:p>
    <w:p w14:paraId="1E781F7E" w14:textId="77777777" w:rsidR="003707F7" w:rsidRPr="007C0CE5" w:rsidRDefault="003707F7" w:rsidP="007D692C">
      <w:pPr>
        <w:numPr>
          <w:ilvl w:val="2"/>
          <w:numId w:val="26"/>
        </w:numPr>
        <w:spacing w:after="240"/>
        <w:rPr>
          <w:rFonts w:ascii="Aptos" w:hAnsi="Aptos" w:cs="Segoe UI Emoji"/>
          <w:lang w:val="en-GB"/>
        </w:rPr>
      </w:pPr>
      <w:r w:rsidRPr="007C0CE5">
        <w:rPr>
          <w:rFonts w:ascii="Aptos" w:hAnsi="Aptos" w:cs="Segoe UI Emoji"/>
          <w:lang w:val="en-GB"/>
        </w:rPr>
        <w:t>Delivery: Immediate redirect to the live mobile dashboard with their linked bank transaction history fully populated.</w:t>
      </w:r>
    </w:p>
    <w:p w14:paraId="015CD75B" w14:textId="77777777" w:rsidR="003707F7" w:rsidRPr="007C0CE5" w:rsidRDefault="003707F7" w:rsidP="007D692C">
      <w:pPr>
        <w:numPr>
          <w:ilvl w:val="2"/>
          <w:numId w:val="26"/>
        </w:numPr>
        <w:spacing w:after="240"/>
        <w:rPr>
          <w:rFonts w:ascii="Aptos" w:hAnsi="Aptos" w:cs="Segoe UI Emoji"/>
          <w:lang w:val="en-GB"/>
        </w:rPr>
      </w:pPr>
      <w:r w:rsidRPr="007C0CE5">
        <w:rPr>
          <w:rFonts w:ascii="Aptos" w:hAnsi="Aptos" w:cs="Segoe UI Emoji"/>
          <w:lang w:val="en-GB"/>
        </w:rPr>
        <w:t>After-sales: Automated in-app chat widgets driven by tier-1 technical support bots, with a seamless handoff to our internal customer success team for complex compliance inquiries.</w:t>
      </w:r>
    </w:p>
    <w:p w14:paraId="4CC76968" w14:textId="77777777" w:rsidR="006E1498" w:rsidRDefault="006E1498" w:rsidP="003707F7">
      <w:pPr>
        <w:spacing w:after="240"/>
        <w:rPr>
          <w:rFonts w:ascii="Segoe UI Emoji" w:hAnsi="Segoe UI Emoji" w:cs="Segoe UI Emoji"/>
          <w:b/>
          <w:bCs/>
          <w:lang w:val="en-GB"/>
        </w:rPr>
      </w:pPr>
    </w:p>
    <w:p w14:paraId="61BE6279" w14:textId="0734307A" w:rsidR="003707F7" w:rsidRPr="006E1498" w:rsidRDefault="003707F7" w:rsidP="003707F7">
      <w:pPr>
        <w:spacing w:after="240"/>
        <w:rPr>
          <w:rFonts w:ascii="Aptos" w:hAnsi="Aptos" w:cs="Segoe UI Emoji"/>
          <w:b/>
          <w:bCs/>
          <w:lang w:val="en-GB"/>
        </w:rPr>
      </w:pPr>
      <w:r w:rsidRPr="006E1498">
        <w:rPr>
          <w:rFonts w:ascii="Aptos" w:hAnsi="Aptos" w:cs="Segoe UI Emoji"/>
          <w:b/>
          <w:bCs/>
          <w:lang w:val="en-GB"/>
        </w:rPr>
        <w:t>Critical Execution Pitfalls &amp; Mistakes to Avoid</w:t>
      </w:r>
    </w:p>
    <w:p w14:paraId="5FD4A06F" w14:textId="77777777" w:rsidR="003707F7" w:rsidRPr="007C0CE5" w:rsidRDefault="003707F7" w:rsidP="003707F7">
      <w:pPr>
        <w:spacing w:after="240"/>
        <w:rPr>
          <w:rFonts w:ascii="Aptos" w:hAnsi="Aptos" w:cs="Segoe UI Emoji"/>
          <w:lang w:val="en-GB"/>
        </w:rPr>
      </w:pPr>
      <w:r w:rsidRPr="007C0CE5">
        <w:rPr>
          <w:rFonts w:ascii="Aptos" w:hAnsi="Aptos" w:cs="Segoe UI Emoji"/>
          <w:lang w:val="en-GB"/>
        </w:rPr>
        <w:t>To complete this section effectively, ensure the proposal steers clear of these common analytical blind spots:</w:t>
      </w:r>
    </w:p>
    <w:p w14:paraId="7B1BBDE1" w14:textId="77777777" w:rsidR="003707F7" w:rsidRPr="007C0CE5" w:rsidRDefault="003707F7" w:rsidP="007D692C">
      <w:pPr>
        <w:numPr>
          <w:ilvl w:val="0"/>
          <w:numId w:val="27"/>
        </w:numPr>
        <w:spacing w:after="240"/>
        <w:rPr>
          <w:rFonts w:ascii="Aptos" w:hAnsi="Aptos" w:cs="Segoe UI Emoji"/>
          <w:lang w:val="en-GB"/>
        </w:rPr>
      </w:pPr>
      <w:r w:rsidRPr="007C0CE5">
        <w:rPr>
          <w:rFonts w:ascii="Aptos" w:hAnsi="Aptos" w:cs="Segoe UI Emoji"/>
          <w:lang w:val="en-GB"/>
        </w:rPr>
        <w:t xml:space="preserve">Vague Architecture &amp; Integration Mechanics: A frequent mistake is using vague, non-distribution terms like </w:t>
      </w:r>
      <w:r w:rsidRPr="007C0CE5">
        <w:rPr>
          <w:rFonts w:ascii="Aptos" w:hAnsi="Aptos" w:cs="Segoe UI Emoji"/>
          <w:i/>
          <w:iCs/>
          <w:lang w:val="en-GB"/>
        </w:rPr>
        <w:t>"We will distribute our product via an API"</w:t>
      </w:r>
      <w:r w:rsidRPr="007C0CE5">
        <w:rPr>
          <w:rFonts w:ascii="Aptos" w:hAnsi="Aptos" w:cs="Segoe UI Emoji"/>
          <w:lang w:val="en-GB"/>
        </w:rPr>
        <w:t xml:space="preserve"> or </w:t>
      </w:r>
      <w:r w:rsidRPr="007C0CE5">
        <w:rPr>
          <w:rFonts w:ascii="Aptos" w:hAnsi="Aptos" w:cs="Segoe UI Emoji"/>
          <w:i/>
          <w:iCs/>
          <w:lang w:val="en-GB"/>
        </w:rPr>
        <w:t>"We will use the internet."</w:t>
      </w:r>
      <w:r w:rsidRPr="007C0CE5">
        <w:rPr>
          <w:rFonts w:ascii="Aptos" w:hAnsi="Aptos" w:cs="Segoe UI Emoji"/>
          <w:lang w:val="en-GB"/>
        </w:rPr>
        <w:t xml:space="preserve"> An API is a technical data pipeline, not a distribution channel. The proposal must clearly describe the exact storefronts, web applications, or digital interfaces where a customer visually encounters, tests, and purchases the software.</w:t>
      </w:r>
    </w:p>
    <w:p w14:paraId="72504EBB" w14:textId="19F4C8D2" w:rsidR="003707F7" w:rsidRPr="007C0CE5" w:rsidRDefault="003707F7" w:rsidP="007D692C">
      <w:pPr>
        <w:numPr>
          <w:ilvl w:val="0"/>
          <w:numId w:val="27"/>
        </w:numPr>
        <w:spacing w:after="240"/>
        <w:rPr>
          <w:rFonts w:ascii="Aptos" w:hAnsi="Aptos" w:cs="Segoe UI Emoji"/>
          <w:lang w:val="en-GB"/>
        </w:rPr>
      </w:pPr>
      <w:r w:rsidRPr="007C0CE5">
        <w:rPr>
          <w:rFonts w:ascii="Aptos" w:hAnsi="Aptos" w:cs="Segoe UI Emoji"/>
          <w:lang w:val="en-GB"/>
        </w:rPr>
        <w:t xml:space="preserve">The CAC/LTV Unit Economic Mismatch: Proposals often pitch incredibly expensive acquisition channels (such as hiring a nationwide, manual outbound enterprise sales force) to sell a low-cost item (like a $10/month application). Standalone plans must display strong unit economic alignment: low-cost software demands scalable, low-marginal-cost organic or programmatic digital acquisition strategies to keep </w:t>
      </w:r>
      <m:oMath>
        <m:r>
          <w:rPr>
            <w:rFonts w:ascii="Cambria Math" w:hAnsi="Cambria Math" w:cs="Segoe UI Emoji"/>
            <w:lang w:val="en-GB"/>
          </w:rPr>
          <m:t>CAC</m:t>
        </m:r>
      </m:oMath>
      <w:r w:rsidRPr="007C0CE5">
        <w:rPr>
          <w:rFonts w:ascii="Aptos" w:hAnsi="Aptos" w:cs="Segoe UI Emoji"/>
          <w:lang w:val="en-GB"/>
        </w:rPr>
        <w:t xml:space="preserve"> well below Lifetime Value (</w:t>
      </w:r>
      <m:oMath>
        <m:r>
          <w:rPr>
            <w:rFonts w:ascii="Cambria Math" w:hAnsi="Cambria Math" w:cs="Segoe UI Emoji"/>
            <w:lang w:val="en-GB"/>
          </w:rPr>
          <m:t>LTV</m:t>
        </m:r>
      </m:oMath>
      <w:r w:rsidRPr="007C0CE5">
        <w:rPr>
          <w:rFonts w:ascii="Aptos" w:hAnsi="Aptos" w:cs="Segoe UI Emoji"/>
          <w:lang w:val="en-GB"/>
        </w:rPr>
        <w:t>).</w:t>
      </w:r>
    </w:p>
    <w:p w14:paraId="0DE94EA7" w14:textId="77777777" w:rsidR="003707F7" w:rsidRPr="007C0CE5" w:rsidRDefault="003707F7" w:rsidP="007D692C">
      <w:pPr>
        <w:numPr>
          <w:ilvl w:val="0"/>
          <w:numId w:val="27"/>
        </w:numPr>
        <w:spacing w:after="240"/>
        <w:rPr>
          <w:rFonts w:ascii="Aptos" w:hAnsi="Aptos" w:cs="Segoe UI Emoji"/>
          <w:lang w:val="en-GB"/>
        </w:rPr>
      </w:pPr>
      <w:r w:rsidRPr="007C0CE5">
        <w:rPr>
          <w:rFonts w:ascii="Aptos" w:hAnsi="Aptos" w:cs="Segoe UI Emoji"/>
          <w:lang w:val="en-GB"/>
        </w:rPr>
        <w:t xml:space="preserve">Passive Channel Assumptions: It is common to assume that listing an app on the iOS or Android storefronts guarantees instant traffic. Without a distinct inbound driver (like optimized programmatic search ads or high-intent tax tools), the product will remain </w:t>
      </w:r>
      <w:r w:rsidRPr="007C0CE5">
        <w:rPr>
          <w:rFonts w:ascii="Aptos" w:hAnsi="Aptos" w:cs="Segoe UI Emoji"/>
          <w:lang w:val="en-GB"/>
        </w:rPr>
        <w:lastRenderedPageBreak/>
        <w:t>hidden. High-grade proposals must map out the deliberate external traffic engines that pull users into their proprietary channels.</w:t>
      </w:r>
    </w:p>
    <w:p w14:paraId="6EB6A2BC" w14:textId="77777777" w:rsidR="00252A67" w:rsidRPr="007C0CE5" w:rsidRDefault="00252A67" w:rsidP="00EF5851">
      <w:pPr>
        <w:spacing w:after="240"/>
        <w:rPr>
          <w:rFonts w:ascii="Aptos" w:hAnsi="Aptos"/>
        </w:rPr>
      </w:pPr>
    </w:p>
    <w:p w14:paraId="2A068E82" w14:textId="77777777" w:rsidR="006A7962" w:rsidRPr="007C0CE5" w:rsidRDefault="006A7962" w:rsidP="00EF5851">
      <w:pPr>
        <w:spacing w:after="240"/>
        <w:rPr>
          <w:rFonts w:ascii="Aptos" w:hAnsi="Aptos"/>
        </w:rPr>
      </w:pPr>
    </w:p>
    <w:p w14:paraId="7F11F33A" w14:textId="77777777" w:rsidR="00995436" w:rsidRPr="007C0CE5" w:rsidRDefault="00C211B2" w:rsidP="007C0CE5">
      <w:pPr>
        <w:pStyle w:val="Heading2"/>
      </w:pPr>
      <w:r w:rsidRPr="007C0CE5">
        <w:t>4. Customer Relationships</w:t>
      </w:r>
    </w:p>
    <w:p w14:paraId="67ECEDC3" w14:textId="77777777" w:rsidR="00B74C9A" w:rsidRPr="00B74C9A" w:rsidRDefault="00B74C9A" w:rsidP="00B74C9A">
      <w:pPr>
        <w:spacing w:after="240"/>
        <w:rPr>
          <w:rFonts w:ascii="Aptos" w:hAnsi="Aptos"/>
          <w:lang w:val="en-GB"/>
        </w:rPr>
      </w:pPr>
    </w:p>
    <w:p w14:paraId="59D89AF4" w14:textId="29F66CA3" w:rsidR="00947A77" w:rsidRPr="007C0CE5" w:rsidRDefault="00B74C9A" w:rsidP="00947A77">
      <w:pPr>
        <w:spacing w:after="240"/>
        <w:rPr>
          <w:rFonts w:ascii="Aptos" w:hAnsi="Aptos"/>
          <w:lang w:val="en-GB"/>
        </w:rPr>
      </w:pPr>
      <w:r w:rsidRPr="00B74C9A">
        <w:rPr>
          <w:rFonts w:ascii="Aptos" w:hAnsi="Aptos"/>
          <w:b/>
          <w:bCs/>
          <w:lang w:val="en-GB"/>
        </w:rPr>
        <w:t>Purposes</w:t>
      </w:r>
      <w:r w:rsidRPr="00B74C9A">
        <w:rPr>
          <w:rFonts w:ascii="Aptos" w:hAnsi="Aptos"/>
          <w:lang w:val="en-GB"/>
        </w:rPr>
        <w:t xml:space="preserve">: </w:t>
      </w:r>
      <w:r>
        <w:rPr>
          <w:rFonts w:ascii="Aptos" w:hAnsi="Aptos"/>
          <w:lang w:val="en-GB"/>
        </w:rPr>
        <w:t xml:space="preserve"> </w:t>
      </w:r>
      <w:r w:rsidR="00947A77" w:rsidRPr="007C0CE5">
        <w:rPr>
          <w:rFonts w:ascii="Aptos" w:hAnsi="Aptos"/>
          <w:lang w:val="en-GB"/>
        </w:rPr>
        <w:t>This section defines the strategic framework, internal governance, and programmatic mechanics required to build institutional trust, maximize customer lifetime value (</w:t>
      </w:r>
      <m:oMath>
        <m:r>
          <w:rPr>
            <w:rFonts w:ascii="Cambria Math" w:hAnsi="Cambria Math"/>
            <w:lang w:val="en-GB"/>
          </w:rPr>
          <m:t>LTV</m:t>
        </m:r>
      </m:oMath>
      <w:r w:rsidR="00947A77" w:rsidRPr="007C0CE5">
        <w:rPr>
          <w:rFonts w:ascii="Aptos" w:hAnsi="Aptos"/>
          <w:lang w:val="en-GB"/>
        </w:rPr>
        <w:t>), and independently protect the venture's recurring revenue streams from churn.</w:t>
      </w:r>
    </w:p>
    <w:p w14:paraId="2BF67357" w14:textId="50167E6D" w:rsidR="00947A77" w:rsidRDefault="00947A77" w:rsidP="00947A77">
      <w:pPr>
        <w:spacing w:after="240"/>
        <w:rPr>
          <w:rFonts w:ascii="Aptos" w:hAnsi="Aptos"/>
          <w:lang w:val="en-GB"/>
        </w:rPr>
      </w:pPr>
      <w:r w:rsidRPr="00B74C9A">
        <w:rPr>
          <w:rFonts w:ascii="Aptos" w:hAnsi="Aptos"/>
          <w:b/>
          <w:bCs/>
          <w:lang w:val="en-GB"/>
        </w:rPr>
        <w:t>How this section fits the proposal's goal:</w:t>
      </w:r>
      <w:r w:rsidRPr="007C0CE5">
        <w:rPr>
          <w:rFonts w:ascii="Aptos" w:hAnsi="Aptos"/>
          <w:lang w:val="en-GB"/>
        </w:rPr>
        <w:t xml:space="preserve"> A Business Development (BD) proposal must demonstrate how a newly identified business opportunity will retain its customer base and build enterprise value independently. The Customer Relationships block functions as the defensive and expansion engine of the proposal; it details how the business will systematically protect its gross revenue, drive customer retention, and maximize customer lifetime value (</w:t>
      </w:r>
      <m:oMath>
        <m:r>
          <w:rPr>
            <w:rFonts w:ascii="Cambria Math" w:hAnsi="Cambria Math"/>
            <w:lang w:val="en-GB"/>
          </w:rPr>
          <m:t>LTV</m:t>
        </m:r>
      </m:oMath>
      <w:r w:rsidRPr="007C0CE5">
        <w:rPr>
          <w:rFonts w:ascii="Aptos" w:hAnsi="Aptos"/>
          <w:lang w:val="en-GB"/>
        </w:rPr>
        <w:t>) without relying on external corporate partners to maintain customer trust.</w:t>
      </w:r>
    </w:p>
    <w:p w14:paraId="2F2AC86C" w14:textId="77777777" w:rsidR="00B74C9A" w:rsidRPr="007C0CE5" w:rsidRDefault="00B74C9A" w:rsidP="00947A77">
      <w:pPr>
        <w:spacing w:after="240"/>
        <w:rPr>
          <w:rFonts w:ascii="Aptos" w:hAnsi="Aptos"/>
          <w:lang w:val="en-GB"/>
        </w:rPr>
      </w:pPr>
    </w:p>
    <w:p w14:paraId="28B3A25B" w14:textId="77777777" w:rsidR="00947A77" w:rsidRPr="00B74C9A" w:rsidRDefault="00947A77" w:rsidP="00947A77">
      <w:pPr>
        <w:spacing w:after="240"/>
        <w:rPr>
          <w:rFonts w:ascii="Aptos" w:hAnsi="Aptos"/>
          <w:b/>
          <w:bCs/>
          <w:lang w:val="en-GB"/>
        </w:rPr>
      </w:pPr>
      <w:r w:rsidRPr="00B74C9A">
        <w:rPr>
          <w:rFonts w:ascii="Aptos" w:hAnsi="Aptos"/>
          <w:b/>
          <w:bCs/>
          <w:lang w:val="en-GB"/>
        </w:rPr>
        <w:t>Cross-Functional Mapping (Fitting with other blocks):</w:t>
      </w:r>
    </w:p>
    <w:p w14:paraId="0E68370E" w14:textId="77777777" w:rsidR="00947A77" w:rsidRPr="007C0CE5" w:rsidRDefault="00947A77" w:rsidP="007D692C">
      <w:pPr>
        <w:numPr>
          <w:ilvl w:val="0"/>
          <w:numId w:val="28"/>
        </w:numPr>
        <w:spacing w:after="240"/>
        <w:rPr>
          <w:rFonts w:ascii="Aptos" w:hAnsi="Aptos"/>
          <w:lang w:val="en-GB"/>
        </w:rPr>
      </w:pPr>
      <w:r w:rsidRPr="007C0CE5">
        <w:rPr>
          <w:rFonts w:ascii="Aptos" w:hAnsi="Aptos"/>
          <w:lang w:val="en-GB"/>
        </w:rPr>
        <w:t>With Block 1 (Customer Segments): The relationship model must align with the operational expectations and risk profiles of the archetypes identified in Block 1. High-compliance healthcare buyers require significantly different trust mechanisms than low-touch digital consumers.</w:t>
      </w:r>
    </w:p>
    <w:p w14:paraId="4F14DE30" w14:textId="77777777" w:rsidR="00947A77" w:rsidRPr="007C0CE5" w:rsidRDefault="00947A77" w:rsidP="007D692C">
      <w:pPr>
        <w:numPr>
          <w:ilvl w:val="0"/>
          <w:numId w:val="28"/>
        </w:numPr>
        <w:spacing w:after="240"/>
        <w:rPr>
          <w:rFonts w:ascii="Aptos" w:hAnsi="Aptos"/>
          <w:lang w:val="en-GB"/>
        </w:rPr>
      </w:pPr>
      <w:r w:rsidRPr="007C0CE5">
        <w:rPr>
          <w:rFonts w:ascii="Aptos" w:hAnsi="Aptos"/>
          <w:lang w:val="en-GB"/>
        </w:rPr>
        <w:t>With Block 2 (Value Propositions): The style of relationship maintained must actively deliver the brand promise. If Block 2 promises "peace of mind," the relationship structure must provide rapid, high-trust human escalations when critical events occur.</w:t>
      </w:r>
    </w:p>
    <w:p w14:paraId="6E9CC9ED" w14:textId="4C03F175" w:rsidR="00947A77" w:rsidRDefault="00947A77" w:rsidP="007D692C">
      <w:pPr>
        <w:numPr>
          <w:ilvl w:val="0"/>
          <w:numId w:val="28"/>
        </w:numPr>
        <w:spacing w:after="240"/>
        <w:rPr>
          <w:rFonts w:ascii="Aptos" w:hAnsi="Aptos"/>
          <w:lang w:val="en-GB"/>
        </w:rPr>
      </w:pPr>
      <w:r w:rsidRPr="007C0CE5">
        <w:rPr>
          <w:rFonts w:ascii="Aptos" w:hAnsi="Aptos"/>
          <w:lang w:val="en-GB"/>
        </w:rPr>
        <w:t>With Block 5 &amp; 9 (Revenue Streams &amp; Cost Structure): The financial overhead of customer success personnel and automated retention tooling must be mathematically balanced. High-touch account management costs must be absorbed by the premium contract values in Block 5 and accounted for within the operational expenditures (</w:t>
      </w:r>
      <m:oMath>
        <m:r>
          <w:rPr>
            <w:rFonts w:ascii="Cambria Math" w:hAnsi="Cambria Math"/>
            <w:lang w:val="en-GB"/>
          </w:rPr>
          <m:t>OpEx</m:t>
        </m:r>
      </m:oMath>
      <w:r w:rsidRPr="007C0CE5">
        <w:rPr>
          <w:rFonts w:ascii="Aptos" w:hAnsi="Aptos"/>
          <w:lang w:val="en-GB"/>
        </w:rPr>
        <w:t>) mapped in Block 9.</w:t>
      </w:r>
    </w:p>
    <w:p w14:paraId="16AAED7A" w14:textId="77777777" w:rsidR="006B0393" w:rsidRDefault="006B0393" w:rsidP="006B0393">
      <w:pPr>
        <w:spacing w:after="240"/>
        <w:ind w:left="360"/>
        <w:rPr>
          <w:rFonts w:ascii="Aptos" w:hAnsi="Aptos"/>
          <w:lang w:val="en-GB"/>
        </w:rPr>
      </w:pPr>
    </w:p>
    <w:p w14:paraId="381704D8" w14:textId="77777777" w:rsidR="00EF0899" w:rsidRPr="007C0CE5" w:rsidRDefault="00EF0899" w:rsidP="00EF0899">
      <w:pPr>
        <w:spacing w:after="240"/>
        <w:rPr>
          <w:rFonts w:ascii="Aptos" w:hAnsi="Aptos"/>
          <w:lang w:val="en-GB"/>
        </w:rPr>
      </w:pPr>
      <w:r w:rsidRPr="00B74C9A">
        <w:rPr>
          <w:rFonts w:ascii="Aptos" w:hAnsi="Aptos"/>
          <w:b/>
          <w:bCs/>
          <w:lang w:val="en-GB"/>
        </w:rPr>
        <w:t>Key questions</w:t>
      </w:r>
      <w:r>
        <w:rPr>
          <w:rFonts w:ascii="Aptos" w:hAnsi="Aptos"/>
          <w:lang w:val="en-GB"/>
        </w:rPr>
        <w:t xml:space="preserve">: </w:t>
      </w:r>
      <w:r w:rsidRPr="007C0CE5">
        <w:rPr>
          <w:rFonts w:ascii="Aptos" w:hAnsi="Aptos"/>
          <w:lang w:val="en-GB"/>
        </w:rPr>
        <w:t xml:space="preserve">BD Insight: What type of relationship does our customer base expect us to independently build and maintain? How do we construct an internal account management </w:t>
      </w:r>
      <w:r w:rsidRPr="007C0CE5">
        <w:rPr>
          <w:rFonts w:ascii="Aptos" w:hAnsi="Aptos"/>
          <w:lang w:val="en-GB"/>
        </w:rPr>
        <w:lastRenderedPageBreak/>
        <w:t>framework that secures high retention, builds institutional trust, and mitigates churn entirely through our own operational mechanisms?</w:t>
      </w:r>
    </w:p>
    <w:p w14:paraId="715DD73C" w14:textId="77777777" w:rsidR="00EF0899" w:rsidRDefault="00EF0899" w:rsidP="006B0393">
      <w:pPr>
        <w:spacing w:after="240"/>
        <w:ind w:left="360"/>
        <w:rPr>
          <w:rFonts w:ascii="Aptos" w:hAnsi="Aptos"/>
          <w:lang w:val="en-GB"/>
        </w:rPr>
      </w:pPr>
    </w:p>
    <w:p w14:paraId="7EF433EF" w14:textId="78F918EF" w:rsidR="006B0393" w:rsidRPr="007C0CE5" w:rsidRDefault="006B0393" w:rsidP="006B0393">
      <w:pPr>
        <w:spacing w:after="240"/>
        <w:rPr>
          <w:rFonts w:ascii="Aptos" w:hAnsi="Aptos"/>
          <w:lang w:val="en-GB"/>
        </w:rPr>
      </w:pPr>
      <w:r w:rsidRPr="006B0393">
        <w:rPr>
          <w:rFonts w:ascii="Aptos" w:hAnsi="Aptos" w:cs="Segoe UI Emoji"/>
          <w:b/>
          <w:bCs/>
          <w:lang w:val="en-GB"/>
        </w:rPr>
        <w:t>Specific questions to address:</w:t>
      </w:r>
    </w:p>
    <w:p w14:paraId="3D343EB9" w14:textId="77777777" w:rsidR="00947A77" w:rsidRPr="007C0CE5" w:rsidRDefault="00947A77" w:rsidP="007D692C">
      <w:pPr>
        <w:numPr>
          <w:ilvl w:val="0"/>
          <w:numId w:val="29"/>
        </w:numPr>
        <w:spacing w:after="240"/>
        <w:rPr>
          <w:rFonts w:ascii="Aptos" w:hAnsi="Aptos"/>
          <w:lang w:val="en-GB"/>
        </w:rPr>
      </w:pPr>
      <w:r w:rsidRPr="007C0CE5">
        <w:rPr>
          <w:rFonts w:ascii="Aptos" w:hAnsi="Aptos"/>
          <w:lang w:val="en-GB"/>
        </w:rPr>
        <w:t>Question 1: What kind of relationship does our segment expect us to maintain (e.g., self-service, personal assist)? [Relationship Type Definition]</w:t>
      </w:r>
    </w:p>
    <w:p w14:paraId="18571C92" w14:textId="77777777" w:rsidR="00947A77" w:rsidRPr="007C0CE5" w:rsidRDefault="00947A77" w:rsidP="007D692C">
      <w:pPr>
        <w:numPr>
          <w:ilvl w:val="1"/>
          <w:numId w:val="29"/>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"Healthcare administrators demand a hybrid relationship model. Day-to-day vulnerability scans and compliance tracking operate on a frictionless, automated self-service basis. However, during onboarding and annual regulatory audits, clients expect a dedicated, human-assisted 'Key Account' relationship to guide them through complex data environments."</w:t>
      </w:r>
    </w:p>
    <w:p w14:paraId="60EFCCF4" w14:textId="77777777" w:rsidR="00947A77" w:rsidRPr="007C0CE5" w:rsidRDefault="00947A77" w:rsidP="007D692C">
      <w:pPr>
        <w:numPr>
          <w:ilvl w:val="0"/>
          <w:numId w:val="29"/>
        </w:numPr>
        <w:spacing w:after="240"/>
        <w:rPr>
          <w:rFonts w:ascii="Aptos" w:hAnsi="Aptos"/>
          <w:lang w:val="en-GB"/>
        </w:rPr>
      </w:pPr>
      <w:r w:rsidRPr="007C0CE5">
        <w:rPr>
          <w:rFonts w:ascii="Aptos" w:hAnsi="Aptos"/>
          <w:lang w:val="en-GB"/>
        </w:rPr>
        <w:t>Question 2: Who 'owns' the relationship across the customer life cycle, and how do we divide support, trust-building, and account management internally? [Internal Relationship Governance]</w:t>
      </w:r>
    </w:p>
    <w:p w14:paraId="6A968428" w14:textId="77777777" w:rsidR="00947A77" w:rsidRPr="007C0CE5" w:rsidRDefault="00947A77" w:rsidP="007D692C">
      <w:pPr>
        <w:numPr>
          <w:ilvl w:val="1"/>
          <w:numId w:val="29"/>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"Relationship ownership transitions systematically across internal departments. The Account Executive owns the initial trust-building phase up to contract signing. Responsibility then shifts entirely to our internal Customer Success (CS) department for onboarding and ongoing retention metrics, while our Tier-3 DevOps engineering team handles deep technical support escalations under a strict 4-hour SLA."</w:t>
      </w:r>
    </w:p>
    <w:p w14:paraId="2B58D25E" w14:textId="77777777" w:rsidR="00947A77" w:rsidRPr="007C0CE5" w:rsidRDefault="00947A77" w:rsidP="007D692C">
      <w:pPr>
        <w:numPr>
          <w:ilvl w:val="0"/>
          <w:numId w:val="29"/>
        </w:numPr>
        <w:spacing w:after="240"/>
        <w:rPr>
          <w:rFonts w:ascii="Aptos" w:hAnsi="Aptos"/>
          <w:lang w:val="en-GB"/>
        </w:rPr>
      </w:pPr>
      <w:r w:rsidRPr="007C0CE5">
        <w:rPr>
          <w:rFonts w:ascii="Aptos" w:hAnsi="Aptos"/>
          <w:lang w:val="en-GB"/>
        </w:rPr>
        <w:t>Question 3: What are the specific costs associated with establishing and sustaining this relationship model? [Relationship Cost Realities]</w:t>
      </w:r>
    </w:p>
    <w:p w14:paraId="098B1FD7" w14:textId="38368755" w:rsidR="00947A77" w:rsidRPr="007C0CE5" w:rsidRDefault="00947A77" w:rsidP="007D692C">
      <w:pPr>
        <w:numPr>
          <w:ilvl w:val="1"/>
          <w:numId w:val="29"/>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"The cost structure scales dynamically with user volume. Automated self-service infrastructure represents a low, fixed server cost ($0.50 per user/month). Human-assisted account management introduces a variable cost, budgeted at 1 Dedicated Customer Success Manager (CSM) per 50 enterprise clinic accounts, maintaining our target Customer Acquisition Cost (</w:t>
      </w:r>
      <m:oMath>
        <m:r>
          <w:rPr>
            <w:rFonts w:ascii="Cambria Math" w:hAnsi="Cambria Math"/>
            <w:lang w:val="en-GB"/>
          </w:rPr>
          <m:t>CAC</m:t>
        </m:r>
      </m:oMath>
      <w:r w:rsidRPr="007C0CE5">
        <w:rPr>
          <w:rFonts w:ascii="Aptos" w:hAnsi="Aptos"/>
          <w:lang w:val="en-GB"/>
        </w:rPr>
        <w:t xml:space="preserve">) to </w:t>
      </w:r>
      <m:oMath>
        <m:r>
          <w:rPr>
            <w:rFonts w:ascii="Cambria Math" w:hAnsi="Cambria Math"/>
            <w:lang w:val="en-GB"/>
          </w:rPr>
          <m:t>LTV</m:t>
        </m:r>
      </m:oMath>
      <w:r w:rsidRPr="007C0CE5">
        <w:rPr>
          <w:rFonts w:ascii="Aptos" w:hAnsi="Aptos"/>
          <w:lang w:val="en-GB"/>
        </w:rPr>
        <w:t xml:space="preserve"> ratio of </w:t>
      </w:r>
      <m:oMath>
        <m:r>
          <w:rPr>
            <w:rFonts w:ascii="Cambria Math" w:hAnsi="Cambria Math"/>
            <w:lang w:val="en-GB"/>
          </w:rPr>
          <m:t>1:4</m:t>
        </m:r>
      </m:oMath>
      <w:r w:rsidRPr="007C0CE5">
        <w:rPr>
          <w:rFonts w:ascii="Aptos" w:hAnsi="Aptos"/>
          <w:lang w:val="en-GB"/>
        </w:rPr>
        <w:t>."</w:t>
      </w:r>
    </w:p>
    <w:p w14:paraId="39513DB8" w14:textId="77777777" w:rsidR="00947A77" w:rsidRPr="007C0CE5" w:rsidRDefault="00947A77" w:rsidP="007D692C">
      <w:pPr>
        <w:numPr>
          <w:ilvl w:val="0"/>
          <w:numId w:val="29"/>
        </w:numPr>
        <w:spacing w:after="240"/>
        <w:rPr>
          <w:rFonts w:ascii="Aptos" w:hAnsi="Aptos"/>
          <w:lang w:val="en-GB"/>
        </w:rPr>
      </w:pPr>
      <w:r w:rsidRPr="007C0CE5">
        <w:rPr>
          <w:rFonts w:ascii="Aptos" w:hAnsi="Aptos"/>
          <w:lang w:val="en-GB"/>
        </w:rPr>
        <w:t>Question 4: How can we leverage automated tools without diluting the personal trust built by our brand? [Automation vs. Trust Architecture]</w:t>
      </w:r>
    </w:p>
    <w:p w14:paraId="7CB981AC" w14:textId="77777777" w:rsidR="00947A77" w:rsidRPr="007C0CE5" w:rsidRDefault="00947A77" w:rsidP="007D692C">
      <w:pPr>
        <w:numPr>
          <w:ilvl w:val="1"/>
          <w:numId w:val="29"/>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"We deploy an automated, predictive telemetry system that monitors platform utility. If a clinic's daily logs drop by 30%, the system flags a risk profile but does not send an automated email; instead, it alerts their assigned </w:t>
      </w:r>
      <w:r w:rsidRPr="007C0CE5">
        <w:rPr>
          <w:rFonts w:ascii="Aptos" w:hAnsi="Aptos"/>
          <w:lang w:val="en-GB"/>
        </w:rPr>
        <w:lastRenderedPageBreak/>
        <w:t>internal CSM to initiate a personalized, high-touch outreach call, using automation to empower—rather than replace—human trust."</w:t>
      </w:r>
    </w:p>
    <w:p w14:paraId="73B0AEC6" w14:textId="77777777" w:rsidR="00947A77" w:rsidRPr="007C0CE5" w:rsidRDefault="00947A77" w:rsidP="007D692C">
      <w:pPr>
        <w:numPr>
          <w:ilvl w:val="0"/>
          <w:numId w:val="29"/>
        </w:numPr>
        <w:spacing w:after="240"/>
        <w:rPr>
          <w:rFonts w:ascii="Aptos" w:hAnsi="Aptos"/>
          <w:lang w:val="en-GB"/>
        </w:rPr>
      </w:pPr>
      <w:r w:rsidRPr="007C0CE5">
        <w:rPr>
          <w:rFonts w:ascii="Aptos" w:hAnsi="Aptos"/>
          <w:lang w:val="en-GB"/>
        </w:rPr>
        <w:t>Question 5: How does the chosen relationship model directly reinforce the value proposition? [Relationship–Value Proposition Fit]</w:t>
      </w:r>
    </w:p>
    <w:p w14:paraId="5C2DD58B" w14:textId="77777777" w:rsidR="00947A77" w:rsidRPr="007C0CE5" w:rsidRDefault="00947A77" w:rsidP="007D692C">
      <w:pPr>
        <w:numPr>
          <w:ilvl w:val="1"/>
          <w:numId w:val="29"/>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value proposition promises bulletproof data security and total regulatory compliance. A purely automated dashboard satisfies the speed of data delivery, but the inclusion of our dedicated human audit advisory tier directly reinforces the promise of compliance peace of mind, proving to healthcare executives that we stand behind our software."</w:t>
      </w:r>
    </w:p>
    <w:p w14:paraId="656619D3" w14:textId="77777777" w:rsidR="00947A77" w:rsidRPr="007C0CE5" w:rsidRDefault="00947A77" w:rsidP="007D692C">
      <w:pPr>
        <w:numPr>
          <w:ilvl w:val="0"/>
          <w:numId w:val="29"/>
        </w:numPr>
        <w:spacing w:after="240"/>
        <w:rPr>
          <w:rFonts w:ascii="Aptos" w:hAnsi="Aptos"/>
          <w:lang w:val="en-GB"/>
        </w:rPr>
      </w:pPr>
      <w:r w:rsidRPr="007C0CE5">
        <w:rPr>
          <w:rFonts w:ascii="Aptos" w:hAnsi="Aptos"/>
          <w:lang w:val="en-GB"/>
        </w:rPr>
        <w:t>Question 6: How do our organization's operational trust capital shape customer expectations for communication, support, and escalation? [Brand Trust Architecture]</w:t>
      </w:r>
    </w:p>
    <w:p w14:paraId="18F995D0" w14:textId="77777777" w:rsidR="00947A77" w:rsidRPr="007C0CE5" w:rsidRDefault="00947A77" w:rsidP="007D692C">
      <w:pPr>
        <w:numPr>
          <w:ilvl w:val="1"/>
          <w:numId w:val="29"/>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"As an established vendor in the healthcare software space, our existing reputation dictates that clients expect institutional-grade data handling and absolute transparency. We match this expectation by providing real-time, public-facing system status pages, direct phone lines to our security operations center for premium tiers, and end-to-end encrypted communication channels for all support ticketing."</w:t>
      </w:r>
    </w:p>
    <w:p w14:paraId="39F4FE17" w14:textId="77777777" w:rsidR="00947A77" w:rsidRPr="007C0CE5" w:rsidRDefault="00947A77" w:rsidP="007D692C">
      <w:pPr>
        <w:numPr>
          <w:ilvl w:val="0"/>
          <w:numId w:val="29"/>
        </w:numPr>
        <w:spacing w:after="240"/>
        <w:rPr>
          <w:rFonts w:ascii="Aptos" w:hAnsi="Aptos"/>
          <w:lang w:val="en-GB"/>
        </w:rPr>
      </w:pPr>
      <w:r w:rsidRPr="007C0CE5">
        <w:rPr>
          <w:rFonts w:ascii="Aptos" w:hAnsi="Aptos"/>
          <w:lang w:val="en-GB"/>
        </w:rPr>
        <w:t>Question 7: How do we design internal retention mechanisms that work seamlessly to keep customers engaged without overwhelming them? [Customer Retention Framework]</w:t>
      </w:r>
    </w:p>
    <w:p w14:paraId="06C494AC" w14:textId="77777777" w:rsidR="00947A77" w:rsidRPr="007C0CE5" w:rsidRDefault="00947A77" w:rsidP="007D692C">
      <w:pPr>
        <w:numPr>
          <w:ilvl w:val="1"/>
          <w:numId w:val="29"/>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"Retention is built on quantifiable value delivery. Every 30 days, the platform generates an automated, executive-ready 'Threat Mitigation Report' highlighting the exact number of blocked intrusions and saved compliance hours. This is paired with an annual roadmap preview webinar led by our product team, transforming customer retention from a defensive support function into a proactive value-realization cycle."</w:t>
      </w:r>
    </w:p>
    <w:p w14:paraId="1370FA43" w14:textId="77777777" w:rsidR="00D841F1" w:rsidRDefault="00D841F1" w:rsidP="00947A77">
      <w:pPr>
        <w:spacing w:after="240"/>
        <w:rPr>
          <w:rFonts w:ascii="Aptos" w:hAnsi="Aptos"/>
          <w:b/>
          <w:bCs/>
          <w:lang w:val="en-GB"/>
        </w:rPr>
      </w:pPr>
    </w:p>
    <w:p w14:paraId="3E883592" w14:textId="28064425" w:rsidR="00947A77" w:rsidRPr="00D841F1" w:rsidRDefault="00947A77" w:rsidP="00947A77">
      <w:pPr>
        <w:spacing w:after="240"/>
        <w:rPr>
          <w:rFonts w:ascii="Aptos" w:hAnsi="Aptos"/>
          <w:b/>
          <w:bCs/>
          <w:lang w:val="en-GB"/>
        </w:rPr>
      </w:pPr>
      <w:r w:rsidRPr="00D841F1">
        <w:rPr>
          <w:rFonts w:ascii="Aptos" w:hAnsi="Aptos"/>
          <w:b/>
          <w:bCs/>
          <w:lang w:val="en-GB"/>
        </w:rPr>
        <w:t>Critical Execution Pitfalls &amp; Mistakes to Avoid</w:t>
      </w:r>
    </w:p>
    <w:p w14:paraId="0A7BE687" w14:textId="77777777" w:rsidR="00947A77" w:rsidRPr="007C0CE5" w:rsidRDefault="00947A77" w:rsidP="00947A77">
      <w:pPr>
        <w:spacing w:after="240"/>
        <w:rPr>
          <w:rFonts w:ascii="Aptos" w:hAnsi="Aptos"/>
          <w:lang w:val="en-GB"/>
        </w:rPr>
      </w:pPr>
      <w:r w:rsidRPr="007C0CE5">
        <w:rPr>
          <w:rFonts w:ascii="Aptos" w:hAnsi="Aptos"/>
          <w:lang w:val="en-GB"/>
        </w:rPr>
        <w:t>To complete this section effectively, ensure the proposal steers clear of these common analytical blind spots:</w:t>
      </w:r>
    </w:p>
    <w:p w14:paraId="4E477D44" w14:textId="77777777" w:rsidR="00947A77" w:rsidRPr="007C0CE5" w:rsidRDefault="00947A77" w:rsidP="007D692C">
      <w:pPr>
        <w:numPr>
          <w:ilvl w:val="0"/>
          <w:numId w:val="30"/>
        </w:numPr>
        <w:spacing w:after="240"/>
        <w:rPr>
          <w:rFonts w:ascii="Aptos" w:hAnsi="Aptos"/>
          <w:lang w:val="en-GB"/>
        </w:rPr>
      </w:pPr>
      <w:r w:rsidRPr="007C0CE5">
        <w:rPr>
          <w:rFonts w:ascii="Aptos" w:hAnsi="Aptos"/>
          <w:lang w:val="en-GB"/>
        </w:rPr>
        <w:t xml:space="preserve">The "Ghost Partner" Leftovers: A frequent mistake is accidentally leaving joint-venture or partnership phrasing (such as </w:t>
      </w:r>
      <w:r w:rsidRPr="007C0CE5">
        <w:rPr>
          <w:rFonts w:ascii="Aptos" w:hAnsi="Aptos"/>
          <w:i/>
          <w:iCs/>
          <w:lang w:val="en-GB"/>
        </w:rPr>
        <w:t>"co-branded marketing pipelines"</w:t>
      </w:r>
      <w:r w:rsidRPr="007C0CE5">
        <w:rPr>
          <w:rFonts w:ascii="Aptos" w:hAnsi="Aptos"/>
          <w:lang w:val="en-GB"/>
        </w:rPr>
        <w:t xml:space="preserve"> or </w:t>
      </w:r>
      <w:r w:rsidRPr="007C0CE5">
        <w:rPr>
          <w:rFonts w:ascii="Aptos" w:hAnsi="Aptos"/>
          <w:i/>
          <w:iCs/>
          <w:lang w:val="en-GB"/>
        </w:rPr>
        <w:t>"partner-led customer support"</w:t>
      </w:r>
      <w:r w:rsidRPr="007C0CE5">
        <w:rPr>
          <w:rFonts w:ascii="Aptos" w:hAnsi="Aptos"/>
          <w:lang w:val="en-GB"/>
        </w:rPr>
        <w:t xml:space="preserve">) in a standalone proposal. If the opportunity is structured independently, every individual who interfaces with the customer, manages an account, or handles a support </w:t>
      </w:r>
      <w:r w:rsidRPr="007C0CE5">
        <w:rPr>
          <w:rFonts w:ascii="Aptos" w:hAnsi="Aptos"/>
          <w:lang w:val="en-GB"/>
        </w:rPr>
        <w:lastRenderedPageBreak/>
        <w:t>ticket must be an internal payroll expense accounted for entirely on your own balance sheet.</w:t>
      </w:r>
    </w:p>
    <w:p w14:paraId="279D8AB2" w14:textId="77777777" w:rsidR="00947A77" w:rsidRPr="007C0CE5" w:rsidRDefault="00947A77" w:rsidP="007D692C">
      <w:pPr>
        <w:numPr>
          <w:ilvl w:val="0"/>
          <w:numId w:val="30"/>
        </w:numPr>
        <w:spacing w:after="240"/>
        <w:rPr>
          <w:rFonts w:ascii="Aptos" w:hAnsi="Aptos"/>
          <w:lang w:val="en-GB"/>
        </w:rPr>
      </w:pPr>
      <w:r w:rsidRPr="007C0CE5">
        <w:rPr>
          <w:rFonts w:ascii="Aptos" w:hAnsi="Aptos"/>
          <w:lang w:val="en-GB"/>
        </w:rPr>
        <w:t xml:space="preserve">Confusing Reactive Support with Proactive Relationship Strategy: Proposals often outline an exceptional plan for how to fix things after they break (e.g., </w:t>
      </w:r>
      <w:r w:rsidRPr="007C0CE5">
        <w:rPr>
          <w:rFonts w:ascii="Aptos" w:hAnsi="Aptos"/>
          <w:i/>
          <w:iCs/>
          <w:lang w:val="en-GB"/>
        </w:rPr>
        <w:t>"We will deploy a 24/7 technical ticketing helpdesk"</w:t>
      </w:r>
      <w:r w:rsidRPr="007C0CE5">
        <w:rPr>
          <w:rFonts w:ascii="Aptos" w:hAnsi="Aptos"/>
          <w:lang w:val="en-GB"/>
        </w:rPr>
        <w:t>), but completely fail to define the relationship strategy when the product is running smoothly. To complete this section effectively, the model must detail a systematic, ongoing cadence of positive communication (e.g., proactive threat updates, executive performance reporting, scheduled business reviews) that locks in retention and prevents churn long before a client thinks about canceling.</w:t>
      </w:r>
    </w:p>
    <w:p w14:paraId="61DEA534" w14:textId="77777777" w:rsidR="00947A77" w:rsidRPr="007C0CE5" w:rsidRDefault="00947A77" w:rsidP="007D692C">
      <w:pPr>
        <w:numPr>
          <w:ilvl w:val="0"/>
          <w:numId w:val="30"/>
        </w:numPr>
        <w:spacing w:after="240"/>
        <w:rPr>
          <w:rFonts w:ascii="Aptos" w:hAnsi="Aptos"/>
          <w:lang w:val="en-GB"/>
        </w:rPr>
      </w:pPr>
      <w:r w:rsidRPr="007C0CE5">
        <w:rPr>
          <w:rFonts w:ascii="Aptos" w:hAnsi="Aptos"/>
          <w:lang w:val="en-GB"/>
        </w:rPr>
        <w:t>The Scale vs. Margin Blindspot: It is common to pitch high-touch, dedicated human account management for every customer because it sounds premium and customer-centric. However, this must be mathematically aligned with profit margins. If a software solution prices at a low, recurring monthly fee, the proposal cannot economically afford a heavy, dedicated human support strategy. The relationship model must rigidly match the financial realities of the customer segment's contract value.</w:t>
      </w:r>
    </w:p>
    <w:p w14:paraId="0D9C203B" w14:textId="77777777" w:rsidR="00947A77" w:rsidRPr="007C0CE5" w:rsidRDefault="00947A77" w:rsidP="00FF1B21">
      <w:pPr>
        <w:spacing w:after="240"/>
        <w:rPr>
          <w:rFonts w:ascii="Aptos" w:hAnsi="Aptos"/>
          <w:lang w:val="en-GB"/>
        </w:rPr>
      </w:pPr>
    </w:p>
    <w:p w14:paraId="5D6DC0E0" w14:textId="77777777" w:rsidR="00252A67" w:rsidRPr="007C0CE5" w:rsidRDefault="00252A67" w:rsidP="00EF5851">
      <w:pPr>
        <w:spacing w:after="240"/>
        <w:rPr>
          <w:rFonts w:ascii="Aptos" w:hAnsi="Aptos"/>
        </w:rPr>
      </w:pPr>
    </w:p>
    <w:p w14:paraId="2D32515A" w14:textId="77777777" w:rsidR="00995436" w:rsidRPr="007C0CE5" w:rsidRDefault="00C211B2" w:rsidP="007C0CE5">
      <w:pPr>
        <w:pStyle w:val="Heading2"/>
      </w:pPr>
      <w:r w:rsidRPr="007C0CE5">
        <w:t>5. Revenue Streams</w:t>
      </w:r>
    </w:p>
    <w:p w14:paraId="2EBBA73E" w14:textId="77777777" w:rsidR="003022C1" w:rsidRDefault="003022C1" w:rsidP="0052096D">
      <w:pPr>
        <w:spacing w:after="240"/>
        <w:rPr>
          <w:rFonts w:ascii="Aptos" w:hAnsi="Aptos"/>
          <w:b/>
          <w:bCs/>
          <w:lang w:val="en-GB"/>
        </w:rPr>
      </w:pPr>
    </w:p>
    <w:p w14:paraId="069FEBFC" w14:textId="76297007" w:rsidR="0052096D" w:rsidRPr="007C0CE5" w:rsidRDefault="003022C1" w:rsidP="0052096D">
      <w:pPr>
        <w:spacing w:after="240"/>
        <w:rPr>
          <w:rFonts w:ascii="Aptos" w:hAnsi="Aptos"/>
          <w:lang w:val="en-GB"/>
        </w:rPr>
      </w:pPr>
      <w:r w:rsidRPr="003022C1">
        <w:rPr>
          <w:rFonts w:ascii="Aptos" w:hAnsi="Aptos"/>
          <w:b/>
          <w:bCs/>
          <w:lang w:val="en-GB"/>
        </w:rPr>
        <w:t>Purposes:</w:t>
      </w:r>
      <w:r w:rsidRPr="003022C1">
        <w:rPr>
          <w:rFonts w:ascii="Aptos" w:hAnsi="Aptos"/>
          <w:lang w:val="en-GB"/>
        </w:rPr>
        <w:t xml:space="preserve"> </w:t>
      </w:r>
      <w:r w:rsidR="0052096D" w:rsidRPr="007C0CE5">
        <w:rPr>
          <w:rFonts w:ascii="Aptos" w:hAnsi="Aptos"/>
          <w:lang w:val="en-GB"/>
        </w:rPr>
        <w:t>This section establishes the venture's monetization architecture, value-based pricing metrics, operational margin targets, and lifetime value (</w:t>
      </w:r>
      <m:oMath>
        <m:r>
          <w:rPr>
            <w:rFonts w:ascii="Cambria Math" w:hAnsi="Cambria Math"/>
            <w:lang w:val="en-GB"/>
          </w:rPr>
          <m:t>LTV</m:t>
        </m:r>
      </m:oMath>
      <w:r w:rsidR="0052096D" w:rsidRPr="007C0CE5">
        <w:rPr>
          <w:rFonts w:ascii="Aptos" w:hAnsi="Aptos"/>
          <w:lang w:val="en-GB"/>
        </w:rPr>
        <w:t>) expansion engines required to ensure standalone financial viability.</w:t>
      </w:r>
    </w:p>
    <w:p w14:paraId="13F30C28" w14:textId="44D74164" w:rsidR="0052096D" w:rsidRDefault="0052096D" w:rsidP="0052096D">
      <w:pPr>
        <w:spacing w:after="240"/>
        <w:rPr>
          <w:rFonts w:ascii="Aptos" w:hAnsi="Aptos"/>
          <w:lang w:val="en-GB"/>
        </w:rPr>
      </w:pPr>
      <w:r w:rsidRPr="003022C1">
        <w:rPr>
          <w:rFonts w:ascii="Aptos" w:hAnsi="Aptos"/>
          <w:b/>
          <w:bCs/>
          <w:lang w:val="en-GB"/>
        </w:rPr>
        <w:t>How this section fits the proposal's goal</w:t>
      </w:r>
      <w:r w:rsidRPr="007C0CE5">
        <w:rPr>
          <w:rFonts w:ascii="Aptos" w:hAnsi="Aptos"/>
          <w:lang w:val="en-GB"/>
        </w:rPr>
        <w:t>: A Business Development (BD) proposal must demonstrate how a specific, standalone business opportunity converts user value into predictable, scalable financial returns. The Revenue Streams block functions as the monetization architecture of the proposal. It proves the ultimate commercial viability of the venture by defining pricing logic that maximizes customer lifetime value (</w:t>
      </w:r>
      <m:oMath>
        <m:r>
          <w:rPr>
            <w:rFonts w:ascii="Cambria Math" w:hAnsi="Cambria Math"/>
            <w:lang w:val="en-GB"/>
          </w:rPr>
          <m:t>LTV</m:t>
        </m:r>
      </m:oMath>
      <w:r w:rsidRPr="007C0CE5">
        <w:rPr>
          <w:rFonts w:ascii="Aptos" w:hAnsi="Aptos"/>
          <w:lang w:val="en-GB"/>
        </w:rPr>
        <w:t>) and accelerates time-to-profitability without relying on external corporate partners to subsidize cash flows or split margins.</w:t>
      </w:r>
    </w:p>
    <w:p w14:paraId="396B8662" w14:textId="77777777" w:rsidR="003022C1" w:rsidRPr="007C0CE5" w:rsidRDefault="003022C1" w:rsidP="0052096D">
      <w:pPr>
        <w:spacing w:after="240"/>
        <w:rPr>
          <w:rFonts w:ascii="Aptos" w:hAnsi="Aptos"/>
          <w:lang w:val="en-GB"/>
        </w:rPr>
      </w:pPr>
    </w:p>
    <w:p w14:paraId="6E260B62" w14:textId="77777777" w:rsidR="0052096D" w:rsidRPr="003022C1" w:rsidRDefault="0052096D" w:rsidP="0052096D">
      <w:pPr>
        <w:spacing w:after="240"/>
        <w:rPr>
          <w:rFonts w:ascii="Aptos" w:hAnsi="Aptos"/>
          <w:b/>
          <w:bCs/>
          <w:lang w:val="en-GB"/>
        </w:rPr>
      </w:pPr>
      <w:r w:rsidRPr="003022C1">
        <w:rPr>
          <w:rFonts w:ascii="Aptos" w:hAnsi="Aptos"/>
          <w:b/>
          <w:bCs/>
          <w:lang w:val="en-GB"/>
        </w:rPr>
        <w:t>Cross-Functional Mapping (Fitting with other blocks):</w:t>
      </w:r>
    </w:p>
    <w:p w14:paraId="448F98ED" w14:textId="77777777" w:rsidR="0052096D" w:rsidRPr="007C0CE5" w:rsidRDefault="0052096D" w:rsidP="007D692C">
      <w:pPr>
        <w:numPr>
          <w:ilvl w:val="0"/>
          <w:numId w:val="31"/>
        </w:numPr>
        <w:spacing w:after="240"/>
        <w:rPr>
          <w:rFonts w:ascii="Aptos" w:hAnsi="Aptos"/>
          <w:lang w:val="en-GB"/>
        </w:rPr>
      </w:pPr>
      <w:r w:rsidRPr="007C0CE5">
        <w:rPr>
          <w:rFonts w:ascii="Aptos" w:hAnsi="Aptos"/>
          <w:lang w:val="en-GB"/>
        </w:rPr>
        <w:t>With Block 1 &amp; 2 (Customer Segments &amp; Value Propositions): The pricing mechanism must be mathematically balanced against the target segment's validated willingness-to-pay (Block 1) and derived directly from the quantifiable financial or operational savings delivered by the value proposition (Block 2).</w:t>
      </w:r>
    </w:p>
    <w:p w14:paraId="53EA8C58" w14:textId="0F546EE1" w:rsidR="0052096D" w:rsidRPr="007C0CE5" w:rsidRDefault="0052096D" w:rsidP="007D692C">
      <w:pPr>
        <w:numPr>
          <w:ilvl w:val="0"/>
          <w:numId w:val="31"/>
        </w:numPr>
        <w:spacing w:after="240"/>
        <w:rPr>
          <w:rFonts w:ascii="Aptos" w:hAnsi="Aptos"/>
          <w:lang w:val="en-GB"/>
        </w:rPr>
      </w:pPr>
      <w:r w:rsidRPr="007C0CE5">
        <w:rPr>
          <w:rFonts w:ascii="Aptos" w:hAnsi="Aptos"/>
          <w:lang w:val="en-GB"/>
        </w:rPr>
        <w:lastRenderedPageBreak/>
        <w:t>With Block 3 &amp; 4 (Channels &amp; Customer Relationships): The customer acquisition costs (</w:t>
      </w:r>
      <m:oMath>
        <m:r>
          <w:rPr>
            <w:rFonts w:ascii="Cambria Math" w:hAnsi="Cambria Math"/>
            <w:lang w:val="en-GB"/>
          </w:rPr>
          <m:t>CAC</m:t>
        </m:r>
      </m:oMath>
      <w:r w:rsidRPr="007C0CE5">
        <w:rPr>
          <w:rFonts w:ascii="Aptos" w:hAnsi="Aptos"/>
          <w:lang w:val="en-GB"/>
        </w:rPr>
        <w:t>) generated by the distribution channels (Block 3) and the account management overhead needed to maintain customer retention (Block 4) set the baseline threshold that the revenue model must out-recover to ensure positive unit economics.</w:t>
      </w:r>
    </w:p>
    <w:p w14:paraId="6816FA69" w14:textId="50907E6D" w:rsidR="0052096D" w:rsidRDefault="0052096D" w:rsidP="007D692C">
      <w:pPr>
        <w:numPr>
          <w:ilvl w:val="0"/>
          <w:numId w:val="31"/>
        </w:numPr>
        <w:spacing w:after="240"/>
        <w:rPr>
          <w:rFonts w:ascii="Aptos" w:hAnsi="Aptos"/>
          <w:lang w:val="en-GB"/>
        </w:rPr>
      </w:pPr>
      <w:r w:rsidRPr="007C0CE5">
        <w:rPr>
          <w:rFonts w:ascii="Aptos" w:hAnsi="Aptos"/>
          <w:lang w:val="en-GB"/>
        </w:rPr>
        <w:t>With Block 6 &amp; 9 (Key Resources &amp; Cost Structure): The total revenue generated—and its cash flow timing—must fully fund the operational expenditures (</w:t>
      </w:r>
      <m:oMath>
        <m:r>
          <w:rPr>
            <w:rFonts w:ascii="Cambria Math" w:hAnsi="Cambria Math"/>
            <w:lang w:val="en-GB"/>
          </w:rPr>
          <m:t>OpEx</m:t>
        </m:r>
      </m:oMath>
      <w:r w:rsidRPr="007C0CE5">
        <w:rPr>
          <w:rFonts w:ascii="Aptos" w:hAnsi="Aptos"/>
          <w:lang w:val="en-GB"/>
        </w:rPr>
        <w:t>), infrastructure maintenance, and human capital outlays detailed in the Cost Structure (Block 9).</w:t>
      </w:r>
    </w:p>
    <w:p w14:paraId="650CAC1F" w14:textId="77777777" w:rsidR="0052027E" w:rsidRDefault="0052027E" w:rsidP="0052027E">
      <w:pPr>
        <w:spacing w:after="240"/>
        <w:rPr>
          <w:rFonts w:ascii="Aptos" w:hAnsi="Aptos"/>
          <w:lang w:val="en-GB"/>
        </w:rPr>
      </w:pPr>
    </w:p>
    <w:p w14:paraId="2047A9FC" w14:textId="77777777" w:rsidR="00FC1989" w:rsidRPr="00A74662" w:rsidRDefault="00FC1989" w:rsidP="00FC1989">
      <w:pPr>
        <w:spacing w:after="240"/>
        <w:rPr>
          <w:rFonts w:ascii="Aptos" w:hAnsi="Aptos"/>
          <w:lang w:val="en-GB"/>
        </w:rPr>
      </w:pPr>
      <w:r w:rsidRPr="00A74662">
        <w:rPr>
          <w:rFonts w:ascii="Aptos" w:hAnsi="Aptos"/>
          <w:b/>
          <w:bCs/>
          <w:lang w:val="en-GB"/>
        </w:rPr>
        <w:t>Key questions:</w:t>
      </w:r>
      <w:r w:rsidRPr="00A74662">
        <w:rPr>
          <w:rFonts w:ascii="Aptos" w:hAnsi="Aptos"/>
          <w:lang w:val="en-GB"/>
        </w:rPr>
        <w:t xml:space="preserve"> What value are customers truly willing to pay for? How is our revenue captured, structured, and optimized internally to maximize unit economics and secure sustainable growth?</w:t>
      </w:r>
    </w:p>
    <w:p w14:paraId="63B134E9" w14:textId="77777777" w:rsidR="00FC1989" w:rsidRDefault="00FC1989" w:rsidP="0052027E">
      <w:pPr>
        <w:spacing w:after="240"/>
        <w:rPr>
          <w:rFonts w:ascii="Aptos" w:hAnsi="Aptos"/>
          <w:lang w:val="en-GB"/>
        </w:rPr>
      </w:pPr>
    </w:p>
    <w:p w14:paraId="14004EE6" w14:textId="355099C8" w:rsidR="0052027E" w:rsidRPr="007C0CE5" w:rsidRDefault="0052027E" w:rsidP="0052027E">
      <w:pPr>
        <w:spacing w:after="240"/>
        <w:rPr>
          <w:rFonts w:ascii="Aptos" w:hAnsi="Aptos"/>
          <w:lang w:val="en-GB"/>
        </w:rPr>
      </w:pPr>
      <w:r>
        <w:rPr>
          <w:rFonts w:ascii="Aptos" w:hAnsi="Aptos" w:cs="Segoe UI Emoji"/>
          <w:b/>
          <w:bCs/>
          <w:lang w:val="en-GB"/>
        </w:rPr>
        <w:t>Specific</w:t>
      </w:r>
      <w:r w:rsidRPr="008A175F">
        <w:rPr>
          <w:rFonts w:ascii="Aptos" w:hAnsi="Aptos" w:cs="Segoe UI Emoji"/>
          <w:b/>
          <w:bCs/>
          <w:lang w:val="en-GB"/>
        </w:rPr>
        <w:t xml:space="preserve"> questions to address</w:t>
      </w:r>
      <w:r>
        <w:rPr>
          <w:rFonts w:ascii="Aptos" w:hAnsi="Aptos" w:cs="Segoe UI Emoji"/>
          <w:b/>
          <w:bCs/>
          <w:lang w:val="en-GB"/>
        </w:rPr>
        <w:t>:</w:t>
      </w:r>
    </w:p>
    <w:p w14:paraId="6D8D8F55" w14:textId="77777777" w:rsidR="0052096D" w:rsidRPr="007C0CE5" w:rsidRDefault="0052096D" w:rsidP="007D692C">
      <w:pPr>
        <w:numPr>
          <w:ilvl w:val="0"/>
          <w:numId w:val="32"/>
        </w:numPr>
        <w:spacing w:after="240"/>
        <w:rPr>
          <w:rFonts w:ascii="Aptos" w:hAnsi="Aptos"/>
          <w:lang w:val="en-GB"/>
        </w:rPr>
      </w:pPr>
      <w:r w:rsidRPr="007C0CE5">
        <w:rPr>
          <w:rFonts w:ascii="Aptos" w:hAnsi="Aptos"/>
          <w:lang w:val="en-GB"/>
        </w:rPr>
        <w:t>Question 1: For what core value are our customers really willing to pay? What are they currently paying elsewhere? [Value-Value Exchange Optimization]</w:t>
      </w:r>
    </w:p>
    <w:p w14:paraId="6AC09867" w14:textId="77777777" w:rsidR="0052096D" w:rsidRPr="007C0CE5" w:rsidRDefault="0052096D" w:rsidP="007D692C">
      <w:pPr>
        <w:numPr>
          <w:ilvl w:val="1"/>
          <w:numId w:val="32"/>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"Mid-sized healthcare clinics are willing to pay for the absolute mitigation of regulatory compliance risks and the prevention of catastrophic data breach liabilities. Currently, these clinics pay traditional consulting firms between $15,000 and $25,000 annually for manual, static security audits that are fundamentally outdated the moment they are printed."</w:t>
      </w:r>
    </w:p>
    <w:p w14:paraId="79A3903D" w14:textId="77777777" w:rsidR="0052096D" w:rsidRPr="007C0CE5" w:rsidRDefault="0052096D" w:rsidP="007D692C">
      <w:pPr>
        <w:numPr>
          <w:ilvl w:val="0"/>
          <w:numId w:val="32"/>
        </w:numPr>
        <w:spacing w:after="240"/>
        <w:rPr>
          <w:rFonts w:ascii="Aptos" w:hAnsi="Aptos"/>
          <w:lang w:val="en-GB"/>
        </w:rPr>
      </w:pPr>
      <w:r w:rsidRPr="007C0CE5">
        <w:rPr>
          <w:rFonts w:ascii="Aptos" w:hAnsi="Aptos"/>
          <w:lang w:val="en-GB"/>
        </w:rPr>
        <w:t>Question 2: What is the optimal pricing mechanism (e.g., subscription, licensing, transaction fee, dynamic pricing)? [Monetization Architecture]</w:t>
      </w:r>
    </w:p>
    <w:p w14:paraId="12E178C9" w14:textId="77777777" w:rsidR="0052096D" w:rsidRPr="007C0CE5" w:rsidRDefault="0052096D" w:rsidP="007D692C">
      <w:pPr>
        <w:numPr>
          <w:ilvl w:val="1"/>
          <w:numId w:val="32"/>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"We deploy a tiered, Value-Based B2B Subscription Model. Pricing is structured as an annual software license, billed monthly, based on the clinic's volume of active patient records (e.g., Tier 1: Up to 10,000 records at $499/month; Tier 2: Up to 50,000 records at $999/month). This aligns our pricing directly with the data scale we protect."</w:t>
      </w:r>
    </w:p>
    <w:p w14:paraId="6EE37DF9" w14:textId="77777777" w:rsidR="0052096D" w:rsidRPr="007C0CE5" w:rsidRDefault="0052096D" w:rsidP="007D692C">
      <w:pPr>
        <w:numPr>
          <w:ilvl w:val="0"/>
          <w:numId w:val="32"/>
        </w:numPr>
        <w:spacing w:after="240"/>
        <w:rPr>
          <w:rFonts w:ascii="Aptos" w:hAnsi="Aptos"/>
          <w:lang w:val="en-GB"/>
        </w:rPr>
      </w:pPr>
      <w:r w:rsidRPr="007C0CE5">
        <w:rPr>
          <w:rFonts w:ascii="Aptos" w:hAnsi="Aptos"/>
          <w:lang w:val="en-GB"/>
        </w:rPr>
        <w:t>Question 3: How is our internal margin structured across channels to ensure capital efficiency and strong unit economics? [Direct Margin Optimization]</w:t>
      </w:r>
    </w:p>
    <w:p w14:paraId="2864BA30" w14:textId="3B278FFB" w:rsidR="0052096D" w:rsidRPr="007C0CE5" w:rsidRDefault="0052096D" w:rsidP="007D692C">
      <w:pPr>
        <w:numPr>
          <w:ilvl w:val="1"/>
          <w:numId w:val="32"/>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gross margin target is established at 82%. Customer acquisition costs (</w:t>
      </w:r>
      <m:oMath>
        <m:r>
          <w:rPr>
            <w:rFonts w:ascii="Cambria Math" w:hAnsi="Cambria Math"/>
            <w:lang w:val="en-GB"/>
          </w:rPr>
          <m:t>CAC</m:t>
        </m:r>
      </m:oMath>
      <w:r w:rsidRPr="007C0CE5">
        <w:rPr>
          <w:rFonts w:ascii="Aptos" w:hAnsi="Aptos"/>
          <w:lang w:val="en-GB"/>
        </w:rPr>
        <w:t xml:space="preserve">) are allocated strictly through our direct enterprise sales force (40% of initial contract value) and digital targeted ABM marketing (10%). The remaining 50% of the first-year contract value completely </w:t>
      </w:r>
      <w:r w:rsidRPr="007C0CE5">
        <w:rPr>
          <w:rFonts w:ascii="Aptos" w:hAnsi="Aptos"/>
          <w:lang w:val="en-GB"/>
        </w:rPr>
        <w:lastRenderedPageBreak/>
        <w:t>absorbs our cloud deployment overhead, leaving a highly profitable residual margin for ongoing platform engineering."</w:t>
      </w:r>
    </w:p>
    <w:p w14:paraId="3B477950" w14:textId="4F0318A1" w:rsidR="0052096D" w:rsidRPr="007C0CE5" w:rsidRDefault="0052096D" w:rsidP="007D692C">
      <w:pPr>
        <w:numPr>
          <w:ilvl w:val="0"/>
          <w:numId w:val="32"/>
        </w:numPr>
        <w:spacing w:after="240"/>
        <w:rPr>
          <w:rFonts w:ascii="Aptos" w:hAnsi="Aptos"/>
          <w:lang w:val="en-GB"/>
        </w:rPr>
      </w:pPr>
      <w:r w:rsidRPr="007C0CE5">
        <w:rPr>
          <w:rFonts w:ascii="Aptos" w:hAnsi="Aptos"/>
          <w:lang w:val="en-GB"/>
        </w:rPr>
        <w:t>Question 4: Do we have recurring revenue mechanics built-in to extend the lifetime value (</w:t>
      </w:r>
      <m:oMath>
        <m:r>
          <w:rPr>
            <w:rFonts w:ascii="Cambria Math" w:hAnsi="Cambria Math"/>
            <w:lang w:val="en-GB"/>
          </w:rPr>
          <m:t>LTV</m:t>
        </m:r>
      </m:oMath>
      <w:r w:rsidRPr="007C0CE5">
        <w:rPr>
          <w:rFonts w:ascii="Aptos" w:hAnsi="Aptos"/>
          <w:lang w:val="en-GB"/>
        </w:rPr>
        <w:t>) of acquired clients? [Predictable Revenue Engine]</w:t>
      </w:r>
    </w:p>
    <w:p w14:paraId="4005BC8B" w14:textId="77777777" w:rsidR="0052096D" w:rsidRPr="007C0CE5" w:rsidRDefault="0052096D" w:rsidP="007D692C">
      <w:pPr>
        <w:numPr>
          <w:ilvl w:val="1"/>
          <w:numId w:val="32"/>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"Yes. By utilizing an annual auto-renewing subscription agreement tied directly to continuous, real-time vulnerability monitoring, we shift the client away from one-off compliance expenses into a recurring operational necessity. This predictable software recurring revenue underpins our projected 92% annual net revenue retention rate."</w:t>
      </w:r>
    </w:p>
    <w:p w14:paraId="371EE91A" w14:textId="77777777" w:rsidR="0052096D" w:rsidRPr="007C0CE5" w:rsidRDefault="0052096D" w:rsidP="007D692C">
      <w:pPr>
        <w:numPr>
          <w:ilvl w:val="0"/>
          <w:numId w:val="32"/>
        </w:numPr>
        <w:spacing w:after="240"/>
        <w:rPr>
          <w:rFonts w:ascii="Aptos" w:hAnsi="Aptos"/>
          <w:lang w:val="en-GB"/>
        </w:rPr>
      </w:pPr>
      <w:r w:rsidRPr="007C0CE5">
        <w:rPr>
          <w:rFonts w:ascii="Aptos" w:hAnsi="Aptos"/>
          <w:lang w:val="en-GB"/>
        </w:rPr>
        <w:t>Question 5: How does the chosen pricing model reinforce the value proposition (e.g., convenience, affordability, premium positioning)? [Pricing–Value Proposition Fit]</w:t>
      </w:r>
    </w:p>
    <w:p w14:paraId="37E164A9" w14:textId="77777777" w:rsidR="0052096D" w:rsidRPr="007C0CE5" w:rsidRDefault="0052096D" w:rsidP="007D692C">
      <w:pPr>
        <w:numPr>
          <w:ilvl w:val="1"/>
          <w:numId w:val="32"/>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pricing model explicitly reinforces premium positioning and operational convenience. By charging a predictable monthly fee rather than a massive upfront capital expenditure, we remove budget friction for the clinic. Concurrently, the value-based tiering signals to healthcare executives that they are receiving an institutional-grade, enterprise-vetted security shield."</w:t>
      </w:r>
    </w:p>
    <w:p w14:paraId="5CDF758B" w14:textId="77777777" w:rsidR="0052096D" w:rsidRPr="007C0CE5" w:rsidRDefault="0052096D" w:rsidP="007D692C">
      <w:pPr>
        <w:numPr>
          <w:ilvl w:val="0"/>
          <w:numId w:val="32"/>
        </w:numPr>
        <w:spacing w:after="240"/>
        <w:rPr>
          <w:rFonts w:ascii="Aptos" w:hAnsi="Aptos"/>
          <w:lang w:val="en-GB"/>
        </w:rPr>
      </w:pPr>
      <w:r w:rsidRPr="007C0CE5">
        <w:rPr>
          <w:rFonts w:ascii="Aptos" w:hAnsi="Aptos"/>
          <w:lang w:val="en-GB"/>
        </w:rPr>
        <w:t>Question 6: Which additional revenue streams could be added without diluting the core offering? [Ancillary Revenue Expansion]</w:t>
      </w:r>
    </w:p>
    <w:p w14:paraId="03AD40A6" w14:textId="77777777" w:rsidR="0052096D" w:rsidRPr="007C0CE5" w:rsidRDefault="0052096D" w:rsidP="007D692C">
      <w:pPr>
        <w:numPr>
          <w:ilvl w:val="1"/>
          <w:numId w:val="32"/>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"We can seamlessly introduce two non-dilutive ancillary revenue streams: First, on-demand, deep-dive forensic simulation testing charged at a flat rate of $2,500 per simulated attack event. Second, specialized proprietary 'HIPAA Employee Certification Training' modules sold as a digital add-on pack at $45 per staff seat per year."</w:t>
      </w:r>
    </w:p>
    <w:p w14:paraId="2895CA0B" w14:textId="31FA6D76" w:rsidR="0052096D" w:rsidRPr="007C0CE5" w:rsidRDefault="0052096D" w:rsidP="007D692C">
      <w:pPr>
        <w:numPr>
          <w:ilvl w:val="0"/>
          <w:numId w:val="32"/>
        </w:numPr>
        <w:spacing w:after="240"/>
        <w:rPr>
          <w:rFonts w:ascii="Aptos" w:hAnsi="Aptos"/>
          <w:lang w:val="en-GB"/>
        </w:rPr>
      </w:pPr>
      <w:r w:rsidRPr="007C0CE5">
        <w:rPr>
          <w:rFonts w:ascii="Aptos" w:hAnsi="Aptos"/>
          <w:lang w:val="en-GB"/>
        </w:rPr>
        <w:t xml:space="preserve">Question 7: How do we maximize </w:t>
      </w:r>
      <m:oMath>
        <m:r>
          <w:rPr>
            <w:rFonts w:ascii="Cambria Math" w:hAnsi="Cambria Math"/>
            <w:lang w:val="en-GB"/>
          </w:rPr>
          <m:t>LTV</m:t>
        </m:r>
      </m:oMath>
      <w:r w:rsidRPr="007C0CE5">
        <w:rPr>
          <w:rFonts w:ascii="Aptos" w:hAnsi="Aptos"/>
          <w:lang w:val="en-GB"/>
        </w:rPr>
        <w:t xml:space="preserve"> through retention, upselling, and long-term engagement? [LTV Optimization Engine]</w:t>
      </w:r>
    </w:p>
    <w:p w14:paraId="1574C225" w14:textId="77777777" w:rsidR="0052096D" w:rsidRPr="007C0CE5" w:rsidRDefault="0052096D" w:rsidP="007D692C">
      <w:pPr>
        <w:numPr>
          <w:ilvl w:val="1"/>
          <w:numId w:val="32"/>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"LTV expansion is engineered into our product lifecycle. As a clinic's patient database grows over time, they are automatically migrated into higher subscription tiers, creating expansion revenue organically. Furthermore, our Customer Success team initiates targeted upselling protocols at month 9 of the contract lifecycle, introducing advanced data-encryption add-ons precisely when the client prepares for their annual board-level risk review."</w:t>
      </w:r>
    </w:p>
    <w:p w14:paraId="79C95300" w14:textId="77777777" w:rsidR="003022C1" w:rsidRDefault="003022C1" w:rsidP="0052096D">
      <w:pPr>
        <w:spacing w:after="240"/>
        <w:rPr>
          <w:rFonts w:ascii="Segoe UI Emoji" w:hAnsi="Segoe UI Emoji" w:cs="Segoe UI Emoji"/>
          <w:lang w:val="en-GB"/>
        </w:rPr>
      </w:pPr>
    </w:p>
    <w:p w14:paraId="3B48B71F" w14:textId="3B274E2F" w:rsidR="0052096D" w:rsidRPr="003022C1" w:rsidRDefault="0052096D" w:rsidP="0052096D">
      <w:pPr>
        <w:spacing w:after="240"/>
        <w:rPr>
          <w:rFonts w:ascii="Aptos" w:hAnsi="Aptos"/>
          <w:b/>
          <w:bCs/>
          <w:lang w:val="en-GB"/>
        </w:rPr>
      </w:pPr>
      <w:r w:rsidRPr="003022C1">
        <w:rPr>
          <w:rFonts w:ascii="Aptos" w:hAnsi="Aptos"/>
          <w:b/>
          <w:bCs/>
          <w:lang w:val="en-GB"/>
        </w:rPr>
        <w:t>Critical Execution Pitfalls &amp; Mistakes to Avoid</w:t>
      </w:r>
      <w:r w:rsidR="003022C1">
        <w:rPr>
          <w:rFonts w:ascii="Aptos" w:hAnsi="Aptos"/>
          <w:b/>
          <w:bCs/>
          <w:lang w:val="en-GB"/>
        </w:rPr>
        <w:t>:</w:t>
      </w:r>
    </w:p>
    <w:p w14:paraId="6FA5E425" w14:textId="77777777" w:rsidR="0052096D" w:rsidRPr="007C0CE5" w:rsidRDefault="0052096D" w:rsidP="0052096D">
      <w:pPr>
        <w:spacing w:after="240"/>
        <w:rPr>
          <w:rFonts w:ascii="Aptos" w:hAnsi="Aptos"/>
          <w:lang w:val="en-GB"/>
        </w:rPr>
      </w:pPr>
      <w:r w:rsidRPr="007C0CE5">
        <w:rPr>
          <w:rFonts w:ascii="Aptos" w:hAnsi="Aptos"/>
          <w:lang w:val="en-GB"/>
        </w:rPr>
        <w:lastRenderedPageBreak/>
        <w:t>To complete this section effectively, ensure the proposal steers clear of these common analytical blind spots:</w:t>
      </w:r>
    </w:p>
    <w:p w14:paraId="4A2E4F02" w14:textId="77777777" w:rsidR="0052096D" w:rsidRPr="007C0CE5" w:rsidRDefault="0052096D" w:rsidP="007D692C">
      <w:pPr>
        <w:numPr>
          <w:ilvl w:val="0"/>
          <w:numId w:val="33"/>
        </w:numPr>
        <w:spacing w:after="240"/>
        <w:rPr>
          <w:rFonts w:ascii="Aptos" w:hAnsi="Aptos"/>
          <w:lang w:val="en-GB"/>
        </w:rPr>
      </w:pPr>
      <w:r w:rsidRPr="007C0CE5">
        <w:rPr>
          <w:rFonts w:ascii="Aptos" w:hAnsi="Aptos"/>
          <w:lang w:val="en-GB"/>
        </w:rPr>
        <w:t>The "Underpricing / Race-to-the-Bottom" Trait: A frequent mistake is defaulting to "affordability" or "lowest price" as the primary competitive strategy. In professional business development, especially within B2B or regulatory environments, rock-bottom pricing signals lower operational quality, compromised safety, or a lack of security maturity. Pricing must reflect the financial scale of the problem being solved, not merely underbid legacy players.</w:t>
      </w:r>
    </w:p>
    <w:p w14:paraId="6D99EB65" w14:textId="77777777" w:rsidR="0052096D" w:rsidRPr="007C0CE5" w:rsidRDefault="0052096D" w:rsidP="007D692C">
      <w:pPr>
        <w:numPr>
          <w:ilvl w:val="0"/>
          <w:numId w:val="33"/>
        </w:numPr>
        <w:spacing w:after="240"/>
        <w:rPr>
          <w:rFonts w:ascii="Aptos" w:hAnsi="Aptos"/>
          <w:lang w:val="en-GB"/>
        </w:rPr>
      </w:pPr>
      <w:r w:rsidRPr="007C0CE5">
        <w:rPr>
          <w:rFonts w:ascii="Aptos" w:hAnsi="Aptos"/>
          <w:lang w:val="en-GB"/>
        </w:rPr>
        <w:t xml:space="preserve">Vague, Non-Calculated Financial Mechanics: Proposals often rely on generic generalizations like </w:t>
      </w:r>
      <w:r w:rsidRPr="007C0CE5">
        <w:rPr>
          <w:rFonts w:ascii="Aptos" w:hAnsi="Aptos"/>
          <w:i/>
          <w:iCs/>
          <w:lang w:val="en-GB"/>
        </w:rPr>
        <w:t>"We will monetize via advertisements and a premium subscription plan."</w:t>
      </w:r>
      <w:r w:rsidRPr="007C0CE5">
        <w:rPr>
          <w:rFonts w:ascii="Aptos" w:hAnsi="Aptos"/>
          <w:lang w:val="en-GB"/>
        </w:rPr>
        <w:t xml:space="preserve"> To complete this section effectively, the narrative demands explicit unit architecture and exact transactional metrics. It must define the pricing type, charging metrics (per user seat, per feature unlocked, or volume-indexed), and structural billing cadences.</w:t>
      </w:r>
    </w:p>
    <w:p w14:paraId="44E88291" w14:textId="77777777" w:rsidR="0052096D" w:rsidRPr="007C0CE5" w:rsidRDefault="0052096D" w:rsidP="007D692C">
      <w:pPr>
        <w:numPr>
          <w:ilvl w:val="0"/>
          <w:numId w:val="33"/>
        </w:numPr>
        <w:spacing w:after="240"/>
        <w:rPr>
          <w:rFonts w:ascii="Aptos" w:hAnsi="Aptos"/>
          <w:lang w:val="en-GB"/>
        </w:rPr>
      </w:pPr>
      <w:r w:rsidRPr="007C0CE5">
        <w:rPr>
          <w:rFonts w:ascii="Aptos" w:hAnsi="Aptos"/>
          <w:lang w:val="en-GB"/>
        </w:rPr>
        <w:t xml:space="preserve">The Cash Flow vs. Revenue Blindspot: It is easy to confuse recognized book revenue with actual cash on hand. A high-growth venture can collapse into bankruptcy despite immense projected revenue numbers if payments are trapped in 90-day client billing cycles while real-time server and engineering expenses must be paid out every 30 days. High-scoring proposals mitigate this by designing upfront billing terms (e.g., </w:t>
      </w:r>
      <w:r w:rsidRPr="007C0CE5">
        <w:rPr>
          <w:rFonts w:ascii="Aptos" w:hAnsi="Aptos"/>
          <w:i/>
          <w:iCs/>
          <w:lang w:val="en-GB"/>
        </w:rPr>
        <w:t>"annual contracts billed upfront to protect positive working capital"</w:t>
      </w:r>
      <w:r w:rsidRPr="007C0CE5">
        <w:rPr>
          <w:rFonts w:ascii="Aptos" w:hAnsi="Aptos"/>
          <w:lang w:val="en-GB"/>
        </w:rPr>
        <w:t>).</w:t>
      </w:r>
    </w:p>
    <w:p w14:paraId="3E675001" w14:textId="77777777" w:rsidR="0052096D" w:rsidRPr="007C0CE5" w:rsidRDefault="0052096D" w:rsidP="006E7946">
      <w:pPr>
        <w:spacing w:after="240"/>
        <w:rPr>
          <w:rFonts w:ascii="Aptos" w:hAnsi="Aptos"/>
        </w:rPr>
      </w:pPr>
    </w:p>
    <w:p w14:paraId="646C0341" w14:textId="77777777" w:rsidR="0052096D" w:rsidRPr="007C0CE5" w:rsidRDefault="0052096D" w:rsidP="006E7946">
      <w:pPr>
        <w:spacing w:after="240"/>
        <w:rPr>
          <w:rFonts w:ascii="Aptos" w:hAnsi="Aptos"/>
        </w:rPr>
      </w:pPr>
    </w:p>
    <w:p w14:paraId="2C691A3F" w14:textId="77777777" w:rsidR="00995436" w:rsidRPr="007C0CE5" w:rsidRDefault="00C211B2" w:rsidP="007C0CE5">
      <w:pPr>
        <w:pStyle w:val="Heading2"/>
      </w:pPr>
      <w:r w:rsidRPr="007C0CE5">
        <w:t>6. Key Resources</w:t>
      </w:r>
    </w:p>
    <w:p w14:paraId="4FB6048C" w14:textId="77777777" w:rsidR="009F30E5" w:rsidRDefault="009F30E5" w:rsidP="001D28AE">
      <w:pPr>
        <w:spacing w:after="240"/>
        <w:rPr>
          <w:rFonts w:ascii="Aptos" w:hAnsi="Aptos"/>
          <w:b/>
          <w:bCs/>
          <w:lang w:val="en-GB"/>
        </w:rPr>
      </w:pPr>
    </w:p>
    <w:p w14:paraId="02668A20" w14:textId="374E3E3A" w:rsidR="001D28AE" w:rsidRPr="007C0CE5" w:rsidRDefault="001D28AE" w:rsidP="001D28AE">
      <w:pPr>
        <w:spacing w:after="240"/>
        <w:rPr>
          <w:rFonts w:ascii="Aptos" w:hAnsi="Aptos"/>
          <w:lang w:val="en-GB"/>
        </w:rPr>
      </w:pPr>
      <w:r w:rsidRPr="001D28AE">
        <w:rPr>
          <w:rFonts w:ascii="Aptos" w:hAnsi="Aptos"/>
          <w:b/>
          <w:bCs/>
          <w:lang w:val="en-GB"/>
        </w:rPr>
        <w:t>Purposes:</w:t>
      </w:r>
      <w:r w:rsidRPr="001D28AE">
        <w:rPr>
          <w:rFonts w:ascii="Aptos" w:hAnsi="Aptos"/>
          <w:lang w:val="en-GB"/>
        </w:rPr>
        <w:t xml:space="preserve"> </w:t>
      </w:r>
      <w:r w:rsidRPr="007C0CE5">
        <w:rPr>
          <w:rFonts w:ascii="Aptos" w:hAnsi="Aptos"/>
          <w:lang w:val="en-GB"/>
        </w:rPr>
        <w:t>This section identifies the critical intellectual, human, physical, and capital assets required to independently power, protect, and scale the proposed business model.</w:t>
      </w:r>
    </w:p>
    <w:p w14:paraId="2A4CB6C2" w14:textId="77777777" w:rsidR="00F37B09" w:rsidRDefault="00F37B09" w:rsidP="00F37B09">
      <w:pPr>
        <w:spacing w:after="240"/>
        <w:rPr>
          <w:rFonts w:ascii="Aptos" w:hAnsi="Aptos"/>
          <w:lang w:val="en-GB"/>
        </w:rPr>
      </w:pPr>
      <w:r w:rsidRPr="001D28AE">
        <w:rPr>
          <w:rFonts w:ascii="Aptos" w:hAnsi="Aptos"/>
          <w:b/>
          <w:bCs/>
          <w:lang w:val="en-GB"/>
        </w:rPr>
        <w:t>How this section fits the proposal's goal:</w:t>
      </w:r>
      <w:r w:rsidRPr="007C0CE5">
        <w:rPr>
          <w:rFonts w:ascii="Aptos" w:hAnsi="Aptos"/>
          <w:lang w:val="en-GB"/>
        </w:rPr>
        <w:t xml:space="preserve"> A Business Development (BD) proposal must explicitly outline the tangible and intangible assets necessary to transform a theoretical market opportunity into a functional, revenue-generating enterprise. The Key Resources block serves as the operational engine room of the proposal. It details the structural capabilities needed to execute the opportunity independently, assuring stakeholders that the venture possesses—or can realistically acquire—the foundational capital to build a defensible market position without relying on external corporate partners.</w:t>
      </w:r>
    </w:p>
    <w:p w14:paraId="52ED81B1" w14:textId="77777777" w:rsidR="001D28AE" w:rsidRPr="007C0CE5" w:rsidRDefault="001D28AE" w:rsidP="00F37B09">
      <w:pPr>
        <w:spacing w:after="240"/>
        <w:rPr>
          <w:rFonts w:ascii="Aptos" w:hAnsi="Aptos"/>
          <w:lang w:val="en-GB"/>
        </w:rPr>
      </w:pPr>
    </w:p>
    <w:p w14:paraId="5C0BF4CF" w14:textId="77777777" w:rsidR="00F37B09" w:rsidRPr="001D28AE" w:rsidRDefault="00F37B09" w:rsidP="00F37B09">
      <w:pPr>
        <w:spacing w:after="240"/>
        <w:rPr>
          <w:rFonts w:ascii="Aptos" w:hAnsi="Aptos"/>
          <w:b/>
          <w:bCs/>
          <w:lang w:val="en-GB"/>
        </w:rPr>
      </w:pPr>
      <w:r w:rsidRPr="001D28AE">
        <w:rPr>
          <w:rFonts w:ascii="Aptos" w:hAnsi="Aptos"/>
          <w:b/>
          <w:bCs/>
          <w:lang w:val="en-GB"/>
        </w:rPr>
        <w:t>Cross-Functional Mapping (Fitting with other blocks):</w:t>
      </w:r>
    </w:p>
    <w:p w14:paraId="51BB9C37" w14:textId="77777777" w:rsidR="00F37B09" w:rsidRPr="007C0CE5" w:rsidRDefault="00F37B09" w:rsidP="007D692C">
      <w:pPr>
        <w:numPr>
          <w:ilvl w:val="0"/>
          <w:numId w:val="7"/>
        </w:numPr>
        <w:spacing w:after="240"/>
        <w:rPr>
          <w:rFonts w:ascii="Aptos" w:hAnsi="Aptos"/>
          <w:lang w:val="en-GB"/>
        </w:rPr>
      </w:pPr>
      <w:r w:rsidRPr="007C0CE5">
        <w:rPr>
          <w:rFonts w:ascii="Aptos" w:hAnsi="Aptos"/>
          <w:lang w:val="en-GB"/>
        </w:rPr>
        <w:lastRenderedPageBreak/>
        <w:t>With Block 2 (Value Propositions): The specific infrastructure, proprietary codebases, and human capabilities listed here must serve as the literal production mechanism for the promises made in Block 2. If you promise "94% automated accuracy," the underlying machine learning models and data sets must be explicitly detailed here.</w:t>
      </w:r>
    </w:p>
    <w:p w14:paraId="2564BCDA" w14:textId="77777777" w:rsidR="00F37B09" w:rsidRPr="007C0CE5" w:rsidRDefault="00F37B09" w:rsidP="007D692C">
      <w:pPr>
        <w:numPr>
          <w:ilvl w:val="0"/>
          <w:numId w:val="7"/>
        </w:numPr>
        <w:spacing w:after="240"/>
        <w:rPr>
          <w:rFonts w:ascii="Aptos" w:hAnsi="Aptos"/>
          <w:lang w:val="en-GB"/>
        </w:rPr>
      </w:pPr>
      <w:r w:rsidRPr="007C0CE5">
        <w:rPr>
          <w:rFonts w:ascii="Aptos" w:hAnsi="Aptos"/>
          <w:lang w:val="en-GB"/>
        </w:rPr>
        <w:t>With Block 4 &amp; 7 (Customer Relationships &amp; Key Activities): The human capital requirements identified below must perfectly match the delivery demands of your customer journey (Block 4) and provide the requisite labor to execute the core operational workflows (Block 7).</w:t>
      </w:r>
    </w:p>
    <w:p w14:paraId="24ADCCFD" w14:textId="77777777" w:rsidR="00F37B09" w:rsidRDefault="00F37B09" w:rsidP="007D692C">
      <w:pPr>
        <w:numPr>
          <w:ilvl w:val="0"/>
          <w:numId w:val="7"/>
        </w:numPr>
        <w:spacing w:after="240"/>
        <w:rPr>
          <w:rFonts w:ascii="Aptos" w:hAnsi="Aptos"/>
          <w:lang w:val="en-GB"/>
        </w:rPr>
      </w:pPr>
      <w:r w:rsidRPr="007C0CE5">
        <w:rPr>
          <w:rFonts w:ascii="Aptos" w:hAnsi="Aptos"/>
          <w:lang w:val="en-GB"/>
        </w:rPr>
        <w:t>With Block 9 (Cost Structure): Every resource cataloged in this section must directly translate into an explicit line item within the financial model in Block 9. There must be absolute cost symmetry between these assets and your budgeted expenditures.</w:t>
      </w:r>
    </w:p>
    <w:p w14:paraId="037FC974" w14:textId="77777777" w:rsidR="001D28AE" w:rsidRDefault="001D28AE" w:rsidP="00411CDD">
      <w:pPr>
        <w:spacing w:after="240"/>
        <w:rPr>
          <w:rFonts w:ascii="Aptos" w:hAnsi="Aptos"/>
          <w:lang w:val="en-GB"/>
        </w:rPr>
      </w:pPr>
    </w:p>
    <w:p w14:paraId="30B14C69" w14:textId="77777777" w:rsidR="00FC1989" w:rsidRPr="007C0CE5" w:rsidRDefault="00FC1989" w:rsidP="00FC1989">
      <w:pPr>
        <w:spacing w:after="240"/>
        <w:rPr>
          <w:rFonts w:ascii="Aptos" w:hAnsi="Aptos"/>
          <w:lang w:val="en-GB"/>
        </w:rPr>
      </w:pPr>
      <w:r w:rsidRPr="001D28AE">
        <w:rPr>
          <w:rFonts w:ascii="Aptos" w:hAnsi="Aptos"/>
          <w:b/>
          <w:bCs/>
          <w:lang w:val="en-GB"/>
        </w:rPr>
        <w:t>Key questions:</w:t>
      </w:r>
      <w:r w:rsidRPr="007C0CE5">
        <w:rPr>
          <w:rFonts w:ascii="Aptos" w:hAnsi="Aptos"/>
          <w:lang w:val="en-GB"/>
        </w:rPr>
        <w:t xml:space="preserve"> What intellectual, human, physical, or capital assets are mandatory to sustain delivery? How do we strategically secure, develop, and optimize these internal assets to build a defensible and scalable operation?</w:t>
      </w:r>
    </w:p>
    <w:p w14:paraId="4D78DC89" w14:textId="77777777" w:rsidR="00FC1989" w:rsidRDefault="00FC1989" w:rsidP="00411CDD">
      <w:pPr>
        <w:spacing w:after="240"/>
        <w:rPr>
          <w:rFonts w:ascii="Aptos" w:hAnsi="Aptos"/>
          <w:lang w:val="en-GB"/>
        </w:rPr>
      </w:pPr>
    </w:p>
    <w:p w14:paraId="034E552A" w14:textId="6530F01A" w:rsidR="00411CDD" w:rsidRPr="001E4D2B" w:rsidRDefault="001E4D2B" w:rsidP="00411CDD">
      <w:pPr>
        <w:spacing w:after="240"/>
        <w:rPr>
          <w:rFonts w:ascii="Aptos" w:hAnsi="Aptos"/>
          <w:b/>
          <w:bCs/>
          <w:lang w:val="en-GB"/>
        </w:rPr>
      </w:pPr>
      <w:r w:rsidRPr="001E4D2B">
        <w:rPr>
          <w:rFonts w:ascii="Aptos" w:hAnsi="Aptos"/>
          <w:b/>
          <w:bCs/>
          <w:lang w:val="en-GB"/>
        </w:rPr>
        <w:t>Specific questions to address:</w:t>
      </w:r>
    </w:p>
    <w:p w14:paraId="557DFBD8" w14:textId="77777777" w:rsidR="00F37B09" w:rsidRPr="007C0CE5" w:rsidRDefault="00F37B09" w:rsidP="007D692C">
      <w:pPr>
        <w:numPr>
          <w:ilvl w:val="0"/>
          <w:numId w:val="8"/>
        </w:numPr>
        <w:spacing w:after="240"/>
        <w:rPr>
          <w:rFonts w:ascii="Aptos" w:hAnsi="Aptos"/>
          <w:lang w:val="en-GB"/>
        </w:rPr>
      </w:pPr>
      <w:r w:rsidRPr="007C0CE5">
        <w:rPr>
          <w:rFonts w:ascii="Aptos" w:hAnsi="Aptos"/>
          <w:lang w:val="en-GB"/>
        </w:rPr>
        <w:t>Question 1: What physical or operational resources are required to deploy our value proposition at scale? [Infrastructure Scale Requirements]</w:t>
      </w:r>
    </w:p>
    <w:p w14:paraId="5D336DD3" w14:textId="77777777" w:rsidR="00F37B09" w:rsidRPr="007C0CE5" w:rsidRDefault="00F37B09" w:rsidP="007D692C">
      <w:pPr>
        <w:numPr>
          <w:ilvl w:val="1"/>
          <w:numId w:val="8"/>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"Scaling delivery requires a highly resilient, multi-region cloud hosting infrastructure built on Amazon Web Services (AWS). This involves automated load-balancing instances, secure database clusters with automatic failovers, continuous backup storage networks, and localized API edge nodes to maintain global low-latency data transit."</w:t>
      </w:r>
    </w:p>
    <w:p w14:paraId="1909281F" w14:textId="77777777" w:rsidR="00F37B09" w:rsidRPr="007C0CE5" w:rsidRDefault="00F37B09" w:rsidP="007D692C">
      <w:pPr>
        <w:numPr>
          <w:ilvl w:val="0"/>
          <w:numId w:val="8"/>
        </w:numPr>
        <w:spacing w:after="240"/>
        <w:rPr>
          <w:rFonts w:ascii="Aptos" w:hAnsi="Aptos"/>
          <w:lang w:val="en-GB"/>
        </w:rPr>
      </w:pPr>
      <w:r w:rsidRPr="007C0CE5">
        <w:rPr>
          <w:rFonts w:ascii="Aptos" w:hAnsi="Aptos"/>
          <w:lang w:val="en-GB"/>
        </w:rPr>
        <w:t>Question 2: What intellectual assets (patents, proprietary code, data pools) are vital to lock out competitors? [Proprietary Intellectual Capital]</w:t>
      </w:r>
    </w:p>
    <w:p w14:paraId="0F54F964" w14:textId="77777777" w:rsidR="00F37B09" w:rsidRPr="007C0CE5" w:rsidRDefault="00F37B09" w:rsidP="007D692C">
      <w:pPr>
        <w:numPr>
          <w:ilvl w:val="1"/>
          <w:numId w:val="8"/>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most vital intellectual asset is our proprietary, zero-trust vulnerability scanning engine codebase, backed by three active patents covering real-time algorithmic network threat prediction. Additionally, we own an exclusive, anonymized historical healthcare breach threat dataset comprising over 10 million telemetry endpoints used to train our predictive models."</w:t>
      </w:r>
    </w:p>
    <w:p w14:paraId="49F039C9" w14:textId="77777777" w:rsidR="00F37B09" w:rsidRPr="007C0CE5" w:rsidRDefault="00F37B09" w:rsidP="007D692C">
      <w:pPr>
        <w:numPr>
          <w:ilvl w:val="0"/>
          <w:numId w:val="8"/>
        </w:numPr>
        <w:spacing w:after="240"/>
        <w:rPr>
          <w:rFonts w:ascii="Aptos" w:hAnsi="Aptos"/>
          <w:lang w:val="en-GB"/>
        </w:rPr>
      </w:pPr>
      <w:r w:rsidRPr="007C0CE5">
        <w:rPr>
          <w:rFonts w:ascii="Aptos" w:hAnsi="Aptos"/>
          <w:lang w:val="en-GB"/>
        </w:rPr>
        <w:t>Question 3: How do we structure our capital assets and infrastructure choices to minimize heavy upfront CAPEX? [Capital Asset Optimization]</w:t>
      </w:r>
    </w:p>
    <w:p w14:paraId="1FE5A04C" w14:textId="77777777" w:rsidR="00F37B09" w:rsidRPr="007C0CE5" w:rsidRDefault="00F37B09" w:rsidP="007D692C">
      <w:pPr>
        <w:numPr>
          <w:ilvl w:val="1"/>
          <w:numId w:val="8"/>
        </w:numPr>
        <w:spacing w:after="240"/>
        <w:rPr>
          <w:rFonts w:ascii="Aptos" w:hAnsi="Aptos"/>
          <w:lang w:val="en-GB"/>
        </w:rPr>
      </w:pPr>
      <w:r w:rsidRPr="007C0CE5">
        <w:rPr>
          <w:rFonts w:ascii="Aptos" w:hAnsi="Aptos"/>
          <w:i/>
          <w:iCs/>
          <w:lang w:val="en-GB"/>
        </w:rPr>
        <w:lastRenderedPageBreak/>
        <w:t>Expected Proposal Answer:</w:t>
      </w:r>
      <w:r w:rsidRPr="007C0CE5">
        <w:rPr>
          <w:rFonts w:ascii="Aptos" w:hAnsi="Aptos"/>
          <w:lang w:val="en-GB"/>
        </w:rPr>
        <w:t xml:space="preserve"> "We consciously eliminate heavy physical hardware CAPEX by building completely serverless infrastructure architectures. By migrating on-demand compute pipelines to tiered cloud-native resource utilities, upfront deployment costs are shifted to variable OPEX, directly tying infrastructure scaling outlays to real-time subscription growth metrics."</w:t>
      </w:r>
    </w:p>
    <w:p w14:paraId="47435A00" w14:textId="77777777" w:rsidR="00F37B09" w:rsidRPr="007C0CE5" w:rsidRDefault="00F37B09" w:rsidP="007D692C">
      <w:pPr>
        <w:numPr>
          <w:ilvl w:val="0"/>
          <w:numId w:val="8"/>
        </w:numPr>
        <w:spacing w:after="240"/>
        <w:rPr>
          <w:rFonts w:ascii="Aptos" w:hAnsi="Aptos"/>
          <w:lang w:val="en-GB"/>
        </w:rPr>
      </w:pPr>
      <w:r w:rsidRPr="007C0CE5">
        <w:rPr>
          <w:rFonts w:ascii="Aptos" w:hAnsi="Aptos"/>
          <w:lang w:val="en-GB"/>
        </w:rPr>
        <w:t>Question 4: What specialized human expertise (teams, developers, sales leaders) is absolutely critical to make this work? [Strategic Human Capital]</w:t>
      </w:r>
    </w:p>
    <w:p w14:paraId="7DE09C65" w14:textId="77777777" w:rsidR="00F37B09" w:rsidRPr="007C0CE5" w:rsidRDefault="00F37B09" w:rsidP="007D692C">
      <w:pPr>
        <w:numPr>
          <w:ilvl w:val="1"/>
          <w:numId w:val="8"/>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"Execution relies on a core team of senior DevOps engineers specializing in Kubernetes deployment, certified CISSP/CEH cybersecurity threat analysts to manage Tier-3 compliance overrides, and an enterprise B2B sales leadership team possessing a minimum of 7 years of direct healthcare institutional network navigation experience."</w:t>
      </w:r>
    </w:p>
    <w:p w14:paraId="2CDCCC33" w14:textId="77777777" w:rsidR="00F37B09" w:rsidRPr="007C0CE5" w:rsidRDefault="00F37B09" w:rsidP="007D692C">
      <w:pPr>
        <w:numPr>
          <w:ilvl w:val="0"/>
          <w:numId w:val="8"/>
        </w:numPr>
        <w:spacing w:after="240"/>
        <w:rPr>
          <w:rFonts w:ascii="Aptos" w:hAnsi="Aptos"/>
          <w:lang w:val="en-GB"/>
        </w:rPr>
      </w:pPr>
      <w:r w:rsidRPr="007C0CE5">
        <w:rPr>
          <w:rFonts w:ascii="Aptos" w:hAnsi="Aptos"/>
          <w:lang w:val="en-GB"/>
        </w:rPr>
        <w:t>Question 5: Which resources directly reinforce the value proposition (e.g., real-time data pipelines for speed, encryption frameworks for trust)? [Resource–Value Proposition Fit]</w:t>
      </w:r>
    </w:p>
    <w:p w14:paraId="2D927D98" w14:textId="77777777" w:rsidR="00F37B09" w:rsidRPr="007C0CE5" w:rsidRDefault="00F37B09" w:rsidP="007D692C">
      <w:pPr>
        <w:numPr>
          <w:ilvl w:val="1"/>
          <w:numId w:val="8"/>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promise of bulletproof data security and compliance peace of mind is structurally anchored by our end-to-end AES-256 data encryption frameworks and strict SOC2 Type II operational certifications. Concurrently, our real-time Apache Kafka data-streaming pipelines fulfill the speed proposition by executing live system audit evaluations instantly."</w:t>
      </w:r>
    </w:p>
    <w:p w14:paraId="67E90B7B" w14:textId="77777777" w:rsidR="00F37B09" w:rsidRPr="007C0CE5" w:rsidRDefault="00F37B09" w:rsidP="007D692C">
      <w:pPr>
        <w:numPr>
          <w:ilvl w:val="0"/>
          <w:numId w:val="8"/>
        </w:numPr>
        <w:spacing w:after="240"/>
        <w:rPr>
          <w:rFonts w:ascii="Aptos" w:hAnsi="Aptos"/>
          <w:lang w:val="en-GB"/>
        </w:rPr>
      </w:pPr>
      <w:r w:rsidRPr="007C0CE5">
        <w:rPr>
          <w:rFonts w:ascii="Aptos" w:hAnsi="Aptos"/>
          <w:lang w:val="en-GB"/>
        </w:rPr>
        <w:t>Question 6: Which resources create barriers to entry that competitors cannot easily replicate? [Defensibility Through Assets]</w:t>
      </w:r>
    </w:p>
    <w:p w14:paraId="726A50A9" w14:textId="77777777" w:rsidR="00F37B09" w:rsidRPr="007C0CE5" w:rsidRDefault="00F37B09" w:rsidP="007D692C">
      <w:pPr>
        <w:numPr>
          <w:ilvl w:val="1"/>
          <w:numId w:val="8"/>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"Defensibility is driven by our proprietary, pre-trained ML anomaly detection model. Competitors entering the market face a significant cold-start problem; they lack the multi-year, compliance-vetted healthcare network metadata required to accurately replicate our 94% out-of-the-box false-positive mitigation rates."</w:t>
      </w:r>
    </w:p>
    <w:p w14:paraId="73A56192" w14:textId="77777777" w:rsidR="00F37B09" w:rsidRPr="007C0CE5" w:rsidRDefault="00F37B09" w:rsidP="007D692C">
      <w:pPr>
        <w:numPr>
          <w:ilvl w:val="0"/>
          <w:numId w:val="8"/>
        </w:numPr>
        <w:spacing w:after="240"/>
        <w:rPr>
          <w:rFonts w:ascii="Aptos" w:hAnsi="Aptos"/>
          <w:lang w:val="en-GB"/>
        </w:rPr>
      </w:pPr>
      <w:r w:rsidRPr="007C0CE5">
        <w:rPr>
          <w:rFonts w:ascii="Aptos" w:hAnsi="Aptos"/>
          <w:lang w:val="en-GB"/>
        </w:rPr>
        <w:t>Question 7: Which resources must scale linearly vs. exponentially as the customer base grows (e.g., cloud compute vs. human support teams)? [Scalability Requirements]</w:t>
      </w:r>
    </w:p>
    <w:p w14:paraId="2A9D19BF" w14:textId="77777777" w:rsidR="00F37B09" w:rsidRPr="007C0CE5" w:rsidRDefault="00F37B09" w:rsidP="007D692C">
      <w:pPr>
        <w:numPr>
          <w:ilvl w:val="1"/>
          <w:numId w:val="8"/>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automated vulnerability scanning infrastructure scales exponentially with high capital efficiency, experiencing massive operational leverage as cloud hosting costs decline per unit at volume. Conversely, our human Customer Success Managers and Tier-3 security engineering teams scale linearly, budgeted to expand by 1 headcount for every 50 new mid-sized clinic acquisitions."</w:t>
      </w:r>
    </w:p>
    <w:p w14:paraId="4C3AB5A1" w14:textId="77777777" w:rsidR="001D28AE" w:rsidRDefault="001D28AE" w:rsidP="00F37B09">
      <w:pPr>
        <w:spacing w:after="240"/>
        <w:rPr>
          <w:rFonts w:ascii="Aptos" w:hAnsi="Aptos"/>
          <w:b/>
          <w:bCs/>
          <w:lang w:val="en-GB"/>
        </w:rPr>
      </w:pPr>
    </w:p>
    <w:p w14:paraId="67F18A07" w14:textId="756C064D" w:rsidR="00F37B09" w:rsidRPr="001D28AE" w:rsidRDefault="00F37B09" w:rsidP="00F37B09">
      <w:pPr>
        <w:spacing w:after="240"/>
        <w:rPr>
          <w:rFonts w:ascii="Aptos" w:hAnsi="Aptos"/>
          <w:b/>
          <w:bCs/>
          <w:lang w:val="en-GB"/>
        </w:rPr>
      </w:pPr>
      <w:r w:rsidRPr="001D28AE">
        <w:rPr>
          <w:rFonts w:ascii="Aptos" w:hAnsi="Aptos"/>
          <w:b/>
          <w:bCs/>
          <w:lang w:val="en-GB"/>
        </w:rPr>
        <w:lastRenderedPageBreak/>
        <w:t>Critical Execution Pitfalls &amp; Mistakes to Avoid</w:t>
      </w:r>
    </w:p>
    <w:p w14:paraId="38491FFC" w14:textId="77777777" w:rsidR="00F37B09" w:rsidRPr="007C0CE5" w:rsidRDefault="00F37B09" w:rsidP="00F37B09">
      <w:pPr>
        <w:spacing w:after="240"/>
        <w:rPr>
          <w:rFonts w:ascii="Aptos" w:hAnsi="Aptos"/>
          <w:lang w:val="en-GB"/>
        </w:rPr>
      </w:pPr>
      <w:r w:rsidRPr="007C0CE5">
        <w:rPr>
          <w:rFonts w:ascii="Aptos" w:hAnsi="Aptos"/>
          <w:lang w:val="en-GB"/>
        </w:rPr>
        <w:t>To complete this section effectively, ensure the proposal steers clear of these common analytical blind spots:</w:t>
      </w:r>
    </w:p>
    <w:p w14:paraId="685CE089" w14:textId="77777777" w:rsidR="00F37B09" w:rsidRPr="007C0CE5" w:rsidRDefault="00F37B09" w:rsidP="007D692C">
      <w:pPr>
        <w:numPr>
          <w:ilvl w:val="0"/>
          <w:numId w:val="9"/>
        </w:numPr>
        <w:spacing w:after="240"/>
        <w:rPr>
          <w:rFonts w:ascii="Aptos" w:hAnsi="Aptos"/>
          <w:lang w:val="en-GB"/>
        </w:rPr>
      </w:pPr>
      <w:r w:rsidRPr="007C0CE5">
        <w:rPr>
          <w:rFonts w:ascii="Aptos" w:hAnsi="Aptos"/>
          <w:lang w:val="en-GB"/>
        </w:rPr>
        <w:t>The "Office Equipment" Checklist Trap: A frequent mistake is wasting valuable strategic real estate listing generic office chairs, employee laptops, and basic office utility software. A business development proposal must ignore non-differentiating baseline overhead and focus exclusively on high-leverage assets—the proprietary codebases, core infrastructure architectures, and highly niche human expertise that allow the unique business model to function.</w:t>
      </w:r>
    </w:p>
    <w:p w14:paraId="4E1EC761" w14:textId="77777777" w:rsidR="00F37B09" w:rsidRPr="007C0CE5" w:rsidRDefault="00F37B09" w:rsidP="007D692C">
      <w:pPr>
        <w:numPr>
          <w:ilvl w:val="0"/>
          <w:numId w:val="9"/>
        </w:numPr>
        <w:spacing w:after="240"/>
        <w:rPr>
          <w:rFonts w:ascii="Aptos" w:hAnsi="Aptos"/>
          <w:lang w:val="en-GB"/>
        </w:rPr>
      </w:pPr>
      <w:r w:rsidRPr="007C0CE5">
        <w:rPr>
          <w:rFonts w:ascii="Aptos" w:hAnsi="Aptos"/>
          <w:lang w:val="en-GB"/>
        </w:rPr>
        <w:t>Underestimating Specialized Human Capital Costs: Proposals often make the mistake of claiming they will construct highly sophisticated, AI-driven compliance platforms while only budgeting for a small handful of standard developers. In hyper-regulated domains like FinTech, LegalTech, or HealthTech, specialized roles (such as security architects or compliance directors) command premium salaries and are notoriously difficult to source. Human capital plans must align realistic recruiting budgets with specialized industry requirements.</w:t>
      </w:r>
    </w:p>
    <w:p w14:paraId="0DD3A564" w14:textId="77777777" w:rsidR="00F37B09" w:rsidRPr="007C0CE5" w:rsidRDefault="00F37B09" w:rsidP="007D692C">
      <w:pPr>
        <w:numPr>
          <w:ilvl w:val="0"/>
          <w:numId w:val="9"/>
        </w:numPr>
        <w:spacing w:after="240"/>
        <w:rPr>
          <w:rFonts w:ascii="Aptos" w:hAnsi="Aptos"/>
          <w:lang w:val="en-GB"/>
        </w:rPr>
      </w:pPr>
      <w:r w:rsidRPr="007C0CE5">
        <w:rPr>
          <w:rFonts w:ascii="Aptos" w:hAnsi="Aptos"/>
          <w:lang w:val="en-GB"/>
        </w:rPr>
        <w:t xml:space="preserve">Ignoring the Linear Human Bottleneck: It is common to mask operational vulnerabilities by claiming a software model is "infinitely scalable." If your chosen customer relationship model (Block 4) relies on dedicated human accounts or specialized audit oversight, your resource expenditures </w:t>
      </w:r>
      <w:r w:rsidRPr="007C0CE5">
        <w:rPr>
          <w:rFonts w:ascii="Aptos" w:hAnsi="Aptos"/>
          <w:i/>
          <w:iCs/>
          <w:lang w:val="en-GB"/>
        </w:rPr>
        <w:t>must</w:t>
      </w:r>
      <w:r w:rsidRPr="007C0CE5">
        <w:rPr>
          <w:rFonts w:ascii="Aptos" w:hAnsi="Aptos"/>
          <w:lang w:val="en-GB"/>
        </w:rPr>
        <w:t xml:space="preserve"> scale linearly with user growth. Elite proposals explicitly flag these human dependencies and show how the operational model handles the resulting talent-acquisition friction.</w:t>
      </w:r>
    </w:p>
    <w:p w14:paraId="129088D2" w14:textId="77777777" w:rsidR="00F37B09" w:rsidRPr="007C0CE5" w:rsidRDefault="00F37B09">
      <w:pPr>
        <w:spacing w:after="240"/>
        <w:rPr>
          <w:rFonts w:ascii="Aptos" w:hAnsi="Aptos"/>
        </w:rPr>
      </w:pPr>
    </w:p>
    <w:p w14:paraId="1E4B3C85" w14:textId="77777777" w:rsidR="00F37B09" w:rsidRPr="007C0CE5" w:rsidRDefault="00F37B09">
      <w:pPr>
        <w:spacing w:after="240"/>
        <w:rPr>
          <w:rFonts w:ascii="Aptos" w:hAnsi="Aptos"/>
        </w:rPr>
      </w:pPr>
    </w:p>
    <w:p w14:paraId="7A388E2B" w14:textId="77777777" w:rsidR="007050C6" w:rsidRPr="007C0CE5" w:rsidRDefault="007050C6">
      <w:pPr>
        <w:spacing w:after="240"/>
        <w:rPr>
          <w:rFonts w:ascii="Aptos" w:hAnsi="Aptos"/>
        </w:rPr>
      </w:pPr>
    </w:p>
    <w:p w14:paraId="4D183DEF" w14:textId="77777777" w:rsidR="007050C6" w:rsidRPr="007C0CE5" w:rsidRDefault="007050C6">
      <w:pPr>
        <w:spacing w:after="240"/>
        <w:rPr>
          <w:rFonts w:ascii="Aptos" w:hAnsi="Aptos"/>
        </w:rPr>
      </w:pPr>
    </w:p>
    <w:p w14:paraId="1EEF37AB" w14:textId="77777777" w:rsidR="00252A67" w:rsidRPr="007C0CE5" w:rsidRDefault="00252A67" w:rsidP="00EF5851">
      <w:pPr>
        <w:spacing w:after="240"/>
        <w:rPr>
          <w:rFonts w:ascii="Aptos" w:hAnsi="Aptos"/>
        </w:rPr>
      </w:pPr>
    </w:p>
    <w:p w14:paraId="59DD091E" w14:textId="77777777" w:rsidR="00995436" w:rsidRPr="007C0CE5" w:rsidRDefault="00C211B2" w:rsidP="007C0CE5">
      <w:pPr>
        <w:pStyle w:val="Heading2"/>
      </w:pPr>
      <w:r w:rsidRPr="007C0CE5">
        <w:t>7. Key Activities</w:t>
      </w:r>
    </w:p>
    <w:p w14:paraId="305CD157" w14:textId="77777777" w:rsidR="006E6A8D" w:rsidRPr="007C0CE5" w:rsidRDefault="006E6A8D">
      <w:pPr>
        <w:spacing w:after="240"/>
        <w:rPr>
          <w:rFonts w:ascii="Aptos" w:hAnsi="Aptos"/>
        </w:rPr>
      </w:pPr>
    </w:p>
    <w:p w14:paraId="2C1AEEE3" w14:textId="7930138D" w:rsidR="00411CD0" w:rsidRPr="00411CD0" w:rsidRDefault="00411CD0" w:rsidP="00411CD0">
      <w:pPr>
        <w:spacing w:after="240"/>
        <w:rPr>
          <w:rFonts w:ascii="Aptos" w:hAnsi="Aptos"/>
          <w:lang w:val="en-GB"/>
        </w:rPr>
      </w:pPr>
      <w:r w:rsidRPr="00411CD0">
        <w:rPr>
          <w:rFonts w:ascii="Aptos" w:hAnsi="Aptos"/>
          <w:b/>
          <w:bCs/>
          <w:lang w:val="en-GB"/>
        </w:rPr>
        <w:t>Purposes</w:t>
      </w:r>
      <w:r w:rsidRPr="00411CD0">
        <w:rPr>
          <w:rFonts w:ascii="Aptos" w:hAnsi="Aptos"/>
          <w:lang w:val="en-GB"/>
        </w:rPr>
        <w:t xml:space="preserve">: </w:t>
      </w:r>
      <w:r w:rsidRPr="007C0CE5">
        <w:rPr>
          <w:rFonts w:ascii="Aptos" w:hAnsi="Aptos"/>
          <w:lang w:val="en-GB"/>
        </w:rPr>
        <w:t>This section outlines the mission-critical, proprietary operational workflows and continuous processes that the internal team must execute flawlessly to deliver value and sustain a competitive advantage.</w:t>
      </w:r>
    </w:p>
    <w:p w14:paraId="74ED94CF" w14:textId="77777777" w:rsidR="006E6A8D" w:rsidRPr="007C0CE5" w:rsidRDefault="006E6A8D" w:rsidP="006E6A8D">
      <w:pPr>
        <w:spacing w:after="240"/>
        <w:rPr>
          <w:rFonts w:ascii="Aptos" w:hAnsi="Aptos"/>
          <w:lang w:val="en-GB"/>
        </w:rPr>
      </w:pPr>
      <w:r w:rsidRPr="00411CD0">
        <w:rPr>
          <w:rFonts w:ascii="Aptos" w:hAnsi="Aptos"/>
          <w:b/>
          <w:bCs/>
          <w:lang w:val="en-GB"/>
        </w:rPr>
        <w:lastRenderedPageBreak/>
        <w:t>How this section fits the proposal's goal:</w:t>
      </w:r>
      <w:r w:rsidRPr="007C0CE5">
        <w:rPr>
          <w:rFonts w:ascii="Aptos" w:hAnsi="Aptos"/>
          <w:lang w:val="en-GB"/>
        </w:rPr>
        <w:t xml:space="preserve"> A Business Development (BD) proposal must demonstrate operational feasibility for a single, independent business opportunity. The Key Activities block acts as the execution blueprint of the proposal. It bridges the gap between static assets (Key Resources) and active value delivery (Value Propositions), proving to stakeholders that the firm can orchestrate complex workflows smoothly, efficiently, and entirely on its own balance sheet without external corporate safety nets.</w:t>
      </w:r>
    </w:p>
    <w:p w14:paraId="5972B7A5" w14:textId="77777777" w:rsidR="006E6A8D" w:rsidRPr="00411CD0" w:rsidRDefault="006E6A8D" w:rsidP="006E6A8D">
      <w:pPr>
        <w:spacing w:after="240"/>
        <w:rPr>
          <w:rFonts w:ascii="Aptos" w:hAnsi="Aptos"/>
          <w:b/>
          <w:bCs/>
          <w:lang w:val="en-GB"/>
        </w:rPr>
      </w:pPr>
      <w:r w:rsidRPr="00411CD0">
        <w:rPr>
          <w:rFonts w:ascii="Aptos" w:hAnsi="Aptos"/>
          <w:b/>
          <w:bCs/>
          <w:lang w:val="en-GB"/>
        </w:rPr>
        <w:t>Cross-Functional Mapping (Fitting with other blocks):</w:t>
      </w:r>
    </w:p>
    <w:p w14:paraId="20FC1321" w14:textId="77777777" w:rsidR="006E6A8D" w:rsidRPr="007C0CE5" w:rsidRDefault="006E6A8D" w:rsidP="007D692C">
      <w:pPr>
        <w:numPr>
          <w:ilvl w:val="0"/>
          <w:numId w:val="10"/>
        </w:numPr>
        <w:spacing w:after="240"/>
        <w:rPr>
          <w:rFonts w:ascii="Aptos" w:hAnsi="Aptos"/>
          <w:lang w:val="en-GB"/>
        </w:rPr>
      </w:pPr>
      <w:r w:rsidRPr="007C0CE5">
        <w:rPr>
          <w:rFonts w:ascii="Aptos" w:hAnsi="Aptos"/>
          <w:lang w:val="en-GB"/>
        </w:rPr>
        <w:t>With Block 2 (Value Propositions): Every core performance standard promised in the value proposition—such as automated threat mitigation or rapid response times—must have a corresponding, operational process explicitly detailed here.</w:t>
      </w:r>
    </w:p>
    <w:p w14:paraId="017698D5" w14:textId="77777777" w:rsidR="006E6A8D" w:rsidRPr="007C0CE5" w:rsidRDefault="006E6A8D" w:rsidP="007D692C">
      <w:pPr>
        <w:numPr>
          <w:ilvl w:val="0"/>
          <w:numId w:val="10"/>
        </w:numPr>
        <w:spacing w:after="240"/>
        <w:rPr>
          <w:rFonts w:ascii="Aptos" w:hAnsi="Aptos"/>
          <w:lang w:val="en-GB"/>
        </w:rPr>
      </w:pPr>
      <w:r w:rsidRPr="007C0CE5">
        <w:rPr>
          <w:rFonts w:ascii="Aptos" w:hAnsi="Aptos"/>
          <w:lang w:val="en-GB"/>
        </w:rPr>
        <w:t xml:space="preserve">With Block 4 &amp; 6 (Relationships &amp; Resources): The workflows defined below specify exactly </w:t>
      </w:r>
      <w:r w:rsidRPr="007C0CE5">
        <w:rPr>
          <w:rFonts w:ascii="Aptos" w:hAnsi="Aptos"/>
          <w:i/>
          <w:iCs/>
          <w:lang w:val="en-GB"/>
        </w:rPr>
        <w:t>how</w:t>
      </w:r>
      <w:r w:rsidRPr="007C0CE5">
        <w:rPr>
          <w:rFonts w:ascii="Aptos" w:hAnsi="Aptos"/>
          <w:lang w:val="en-GB"/>
        </w:rPr>
        <w:t xml:space="preserve"> internal human capital and technological assets (Block 6) will interact to move customers through the retention and care framework (Block 4).</w:t>
      </w:r>
    </w:p>
    <w:p w14:paraId="3DD1CD90" w14:textId="6D8B50D3" w:rsidR="006E6A8D" w:rsidRDefault="006E6A8D" w:rsidP="007D692C">
      <w:pPr>
        <w:numPr>
          <w:ilvl w:val="0"/>
          <w:numId w:val="10"/>
        </w:numPr>
        <w:spacing w:after="240"/>
        <w:rPr>
          <w:rFonts w:ascii="Aptos" w:hAnsi="Aptos"/>
          <w:lang w:val="en-GB"/>
        </w:rPr>
      </w:pPr>
      <w:r w:rsidRPr="007C0CE5">
        <w:rPr>
          <w:rFonts w:ascii="Aptos" w:hAnsi="Aptos"/>
          <w:lang w:val="en-GB"/>
        </w:rPr>
        <w:t>With Block 9 (Cost Structure): High-frequency or human-intensive activities represent the primary drivers of operating expenditures (</w:t>
      </w:r>
      <m:oMath>
        <m:r>
          <w:rPr>
            <w:rFonts w:ascii="Cambria Math" w:hAnsi="Cambria Math"/>
            <w:lang w:val="en-GB"/>
          </w:rPr>
          <m:t>OpEx</m:t>
        </m:r>
      </m:oMath>
      <w:r w:rsidRPr="007C0CE5">
        <w:rPr>
          <w:rFonts w:ascii="Aptos" w:hAnsi="Aptos"/>
          <w:lang w:val="en-GB"/>
        </w:rPr>
        <w:t>). The mechanics defined in this section dictate the variable and fixed cost lines budgeted in Block 9.</w:t>
      </w:r>
    </w:p>
    <w:p w14:paraId="55DF2C7F" w14:textId="77777777" w:rsidR="00411CD0" w:rsidRDefault="00411CD0" w:rsidP="00411CD0">
      <w:pPr>
        <w:spacing w:after="240"/>
        <w:rPr>
          <w:rFonts w:ascii="Aptos" w:hAnsi="Aptos"/>
          <w:lang w:val="en-GB"/>
        </w:rPr>
      </w:pPr>
    </w:p>
    <w:p w14:paraId="2879A040" w14:textId="77777777" w:rsidR="00FC1989" w:rsidRDefault="00FC1989" w:rsidP="00FC1989">
      <w:pPr>
        <w:spacing w:after="240"/>
        <w:rPr>
          <w:rFonts w:ascii="Aptos" w:hAnsi="Aptos"/>
          <w:lang w:val="en-GB"/>
        </w:rPr>
      </w:pPr>
      <w:r w:rsidRPr="00411CD0">
        <w:rPr>
          <w:rFonts w:ascii="Aptos" w:hAnsi="Aptos"/>
          <w:b/>
          <w:bCs/>
          <w:lang w:val="en-GB"/>
        </w:rPr>
        <w:t>Key questions:</w:t>
      </w:r>
      <w:r w:rsidRPr="00411CD0">
        <w:rPr>
          <w:rFonts w:ascii="Aptos" w:hAnsi="Aptos"/>
          <w:lang w:val="en-GB"/>
        </w:rPr>
        <w:t xml:space="preserve"> </w:t>
      </w:r>
      <w:r w:rsidRPr="007C0CE5">
        <w:rPr>
          <w:rFonts w:ascii="Aptos" w:hAnsi="Aptos"/>
          <w:lang w:val="en-GB"/>
        </w:rPr>
        <w:t>What operational processes must our internal teams execute flawlessly to build, deliver, and continuously optimize our value proposition? How do we structure these workflows to ensure standalone operational efficiency and long-term product defensibility?</w:t>
      </w:r>
    </w:p>
    <w:p w14:paraId="6CF25A28" w14:textId="77777777" w:rsidR="00FC1989" w:rsidRPr="007C0CE5" w:rsidRDefault="00FC1989" w:rsidP="00411CD0">
      <w:pPr>
        <w:spacing w:after="240"/>
        <w:rPr>
          <w:rFonts w:ascii="Aptos" w:hAnsi="Aptos"/>
          <w:lang w:val="en-GB"/>
        </w:rPr>
      </w:pPr>
    </w:p>
    <w:p w14:paraId="63CD7694" w14:textId="595A75B3" w:rsidR="00354F3A" w:rsidRPr="00411CD0" w:rsidRDefault="00354F3A" w:rsidP="006E6A8D">
      <w:pPr>
        <w:spacing w:after="240"/>
        <w:rPr>
          <w:rFonts w:ascii="Aptos" w:hAnsi="Aptos"/>
          <w:b/>
          <w:bCs/>
          <w:lang w:val="en-GB"/>
        </w:rPr>
      </w:pPr>
      <w:r w:rsidRPr="00411CD0">
        <w:rPr>
          <w:rFonts w:ascii="Aptos" w:hAnsi="Aptos"/>
          <w:b/>
          <w:bCs/>
          <w:lang w:val="en-GB"/>
        </w:rPr>
        <w:t>Specific questions to address:</w:t>
      </w:r>
    </w:p>
    <w:p w14:paraId="757FAED8" w14:textId="77777777" w:rsidR="006E6A8D" w:rsidRPr="007C0CE5" w:rsidRDefault="006E6A8D" w:rsidP="007D692C">
      <w:pPr>
        <w:numPr>
          <w:ilvl w:val="0"/>
          <w:numId w:val="11"/>
        </w:numPr>
        <w:spacing w:after="240"/>
        <w:rPr>
          <w:rFonts w:ascii="Aptos" w:hAnsi="Aptos"/>
          <w:lang w:val="en-GB"/>
        </w:rPr>
      </w:pPr>
      <w:r w:rsidRPr="007C0CE5">
        <w:rPr>
          <w:rFonts w:ascii="Aptos" w:hAnsi="Aptos"/>
          <w:lang w:val="en-GB"/>
        </w:rPr>
        <w:t>Question 1: What core operational tasks (e.g., engineering, platform hosting, pipeline management) must we execute daily to maintain live services? [Daily Operations]</w:t>
      </w:r>
    </w:p>
    <w:p w14:paraId="3E6378F3" w14:textId="77777777" w:rsidR="006E6A8D" w:rsidRPr="007C0CE5" w:rsidRDefault="006E6A8D" w:rsidP="007D692C">
      <w:pPr>
        <w:numPr>
          <w:ilvl w:val="1"/>
          <w:numId w:val="11"/>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"Daily operations require continuous integration/continuous deployment (CI/CD) optimization of the core scanning codebase, proactive cloud infrastructure load monitoring, live threat-telemetry ingestion, and automated zero-day vulnerability scanning loops to ensure zero downtime across all active client instances."</w:t>
      </w:r>
    </w:p>
    <w:p w14:paraId="0923CC16" w14:textId="77777777" w:rsidR="006E6A8D" w:rsidRPr="007C0CE5" w:rsidRDefault="006E6A8D" w:rsidP="007D692C">
      <w:pPr>
        <w:numPr>
          <w:ilvl w:val="0"/>
          <w:numId w:val="11"/>
        </w:numPr>
        <w:spacing w:after="240"/>
        <w:rPr>
          <w:rFonts w:ascii="Aptos" w:hAnsi="Aptos"/>
          <w:lang w:val="en-GB"/>
        </w:rPr>
      </w:pPr>
      <w:r w:rsidRPr="007C0CE5">
        <w:rPr>
          <w:rFonts w:ascii="Aptos" w:hAnsi="Aptos"/>
          <w:lang w:val="en-GB"/>
        </w:rPr>
        <w:t>Question 2: How do we define the internal operational interface/handoff boundary between our technical product team and our customer-facing operations? [Internal Handoff Boundaries]</w:t>
      </w:r>
    </w:p>
    <w:p w14:paraId="3D59183F" w14:textId="77777777" w:rsidR="006E6A8D" w:rsidRPr="007C0CE5" w:rsidRDefault="006E6A8D" w:rsidP="007D692C">
      <w:pPr>
        <w:numPr>
          <w:ilvl w:val="1"/>
          <w:numId w:val="11"/>
        </w:numPr>
        <w:spacing w:after="240"/>
        <w:rPr>
          <w:rFonts w:ascii="Aptos" w:hAnsi="Aptos"/>
          <w:lang w:val="en-GB"/>
        </w:rPr>
      </w:pPr>
      <w:r w:rsidRPr="007C0CE5">
        <w:rPr>
          <w:rFonts w:ascii="Aptos" w:hAnsi="Aptos"/>
          <w:i/>
          <w:iCs/>
          <w:lang w:val="en-GB"/>
        </w:rPr>
        <w:lastRenderedPageBreak/>
        <w:t>Expected Proposal Answer:</w:t>
      </w:r>
      <w:r w:rsidRPr="007C0CE5">
        <w:rPr>
          <w:rFonts w:ascii="Aptos" w:hAnsi="Aptos"/>
          <w:lang w:val="en-GB"/>
        </w:rPr>
        <w:t xml:space="preserve"> "The critical boundary occurs at the post-detection telemetry phase. The Product Engineering team is fully responsible for maintaining automated detection script performance and platform uptime. The moment the system automatically flags a critical, unpatched customer vulnerability, the workflow hands off via an automated API trigger to the Customer Success Tier-3 technical support team for direct client remediation guidance."</w:t>
      </w:r>
    </w:p>
    <w:p w14:paraId="1E0401D4" w14:textId="77777777" w:rsidR="006E6A8D" w:rsidRPr="007C0CE5" w:rsidRDefault="006E6A8D" w:rsidP="007D692C">
      <w:pPr>
        <w:numPr>
          <w:ilvl w:val="0"/>
          <w:numId w:val="11"/>
        </w:numPr>
        <w:spacing w:after="240"/>
        <w:rPr>
          <w:rFonts w:ascii="Aptos" w:hAnsi="Aptos"/>
          <w:lang w:val="en-GB"/>
        </w:rPr>
      </w:pPr>
      <w:r w:rsidRPr="007C0CE5">
        <w:rPr>
          <w:rFonts w:ascii="Aptos" w:hAnsi="Aptos"/>
          <w:lang w:val="en-GB"/>
        </w:rPr>
        <w:t>Question 3: What specific onboarding, deployment, or configuration activities are required during a new client initialization phase? [Implementation Phase]</w:t>
      </w:r>
    </w:p>
    <w:p w14:paraId="1AC6ECCC" w14:textId="77777777" w:rsidR="006E6A8D" w:rsidRPr="007C0CE5" w:rsidRDefault="006E6A8D" w:rsidP="007D692C">
      <w:pPr>
        <w:numPr>
          <w:ilvl w:val="1"/>
          <w:numId w:val="11"/>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"New client onboarding requires executing a three-stage implementation playbook: first, executing secure API integration with the clinic's local Electronic Health Record (EHR) database; second, running a baseline system network vulnerability scan; and third, conducting a live, 60-minute technical administrator training session to provision internal staff access controls."</w:t>
      </w:r>
    </w:p>
    <w:p w14:paraId="5C770C39" w14:textId="77777777" w:rsidR="006E6A8D" w:rsidRPr="007C0CE5" w:rsidRDefault="006E6A8D" w:rsidP="007D692C">
      <w:pPr>
        <w:numPr>
          <w:ilvl w:val="0"/>
          <w:numId w:val="11"/>
        </w:numPr>
        <w:spacing w:after="240"/>
        <w:rPr>
          <w:rFonts w:ascii="Aptos" w:hAnsi="Aptos"/>
          <w:lang w:val="en-GB"/>
        </w:rPr>
      </w:pPr>
      <w:r w:rsidRPr="007C0CE5">
        <w:rPr>
          <w:rFonts w:ascii="Aptos" w:hAnsi="Aptos"/>
          <w:lang w:val="en-GB"/>
        </w:rPr>
        <w:t>Question 4: What compliance, data privacy, or regulatory oversight processes are mandatory to protect our clients and sustain our license to operate? [Risk &amp; Compliance Auditing]</w:t>
      </w:r>
    </w:p>
    <w:p w14:paraId="5E1CD6CC" w14:textId="77777777" w:rsidR="006E6A8D" w:rsidRPr="007C0CE5" w:rsidRDefault="006E6A8D" w:rsidP="007D692C">
      <w:pPr>
        <w:numPr>
          <w:ilvl w:val="1"/>
          <w:numId w:val="11"/>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"We mandate daily automated cryptographic log audits to preserve absolute HIPAA data compliance, bi-annual external white-box penetration testing to validate our security architecture, and continuous encryption-key rotations. All internal software development cycles are strictly governed by SOC2 Type II secure-coding frameworks."</w:t>
      </w:r>
    </w:p>
    <w:p w14:paraId="13694620" w14:textId="77777777" w:rsidR="006E6A8D" w:rsidRPr="007C0CE5" w:rsidRDefault="006E6A8D" w:rsidP="007D692C">
      <w:pPr>
        <w:numPr>
          <w:ilvl w:val="0"/>
          <w:numId w:val="11"/>
        </w:numPr>
        <w:spacing w:after="240"/>
        <w:rPr>
          <w:rFonts w:ascii="Aptos" w:hAnsi="Aptos"/>
          <w:lang w:val="en-GB"/>
        </w:rPr>
      </w:pPr>
      <w:r w:rsidRPr="007C0CE5">
        <w:rPr>
          <w:rFonts w:ascii="Aptos" w:hAnsi="Aptos"/>
          <w:lang w:val="en-GB"/>
        </w:rPr>
        <w:t>Question 5: Which specific operational processes directly deliver and validate our core value proposition? [Activity–Value Proposition Fit]</w:t>
      </w:r>
    </w:p>
    <w:p w14:paraId="48B3F053" w14:textId="77777777" w:rsidR="006E6A8D" w:rsidRPr="007C0CE5" w:rsidRDefault="006E6A8D" w:rsidP="007D692C">
      <w:pPr>
        <w:numPr>
          <w:ilvl w:val="1"/>
          <w:numId w:val="11"/>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value proposition of instantaneous vulnerability detection is directly realized by our continuous, automated 15-minute network polling intervals. Our promise of compliance risk mitigation is structurally validated by generating automated, audit-ready compliance reports at the conclusion of every weekly scanning cycle."</w:t>
      </w:r>
    </w:p>
    <w:p w14:paraId="3A176A8F" w14:textId="77777777" w:rsidR="006E6A8D" w:rsidRPr="007C0CE5" w:rsidRDefault="006E6A8D" w:rsidP="007D692C">
      <w:pPr>
        <w:numPr>
          <w:ilvl w:val="0"/>
          <w:numId w:val="11"/>
        </w:numPr>
        <w:spacing w:after="240"/>
        <w:rPr>
          <w:rFonts w:ascii="Aptos" w:hAnsi="Aptos"/>
          <w:lang w:val="en-GB"/>
        </w:rPr>
      </w:pPr>
      <w:r w:rsidRPr="007C0CE5">
        <w:rPr>
          <w:rFonts w:ascii="Aptos" w:hAnsi="Aptos"/>
          <w:lang w:val="en-GB"/>
        </w:rPr>
        <w:t>Question 6: Which critical activities are structured for complete automation versus those that require human manual execution? [Operational Scalability]</w:t>
      </w:r>
    </w:p>
    <w:p w14:paraId="2F5FB196" w14:textId="77777777" w:rsidR="006E6A8D" w:rsidRPr="007C0CE5" w:rsidRDefault="006E6A8D" w:rsidP="007D692C">
      <w:pPr>
        <w:numPr>
          <w:ilvl w:val="1"/>
          <w:numId w:val="11"/>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"Platform hosting management, algorithmic threat detection, security log generation, and standard patch deployment are 100% automated, scaling exponentially with near-zero marginal cost. Conversely, deep-dive post-breach forensic investigations and quarterly enterprise client risk reviews are human-dependent, scaling linearly based on engineering team capacity."</w:t>
      </w:r>
    </w:p>
    <w:p w14:paraId="052CA5D5" w14:textId="77777777" w:rsidR="006E6A8D" w:rsidRPr="007C0CE5" w:rsidRDefault="006E6A8D" w:rsidP="007D692C">
      <w:pPr>
        <w:numPr>
          <w:ilvl w:val="0"/>
          <w:numId w:val="11"/>
        </w:numPr>
        <w:spacing w:after="240"/>
        <w:rPr>
          <w:rFonts w:ascii="Aptos" w:hAnsi="Aptos"/>
          <w:lang w:val="en-GB"/>
        </w:rPr>
      </w:pPr>
      <w:r w:rsidRPr="007C0CE5">
        <w:rPr>
          <w:rFonts w:ascii="Aptos" w:hAnsi="Aptos"/>
          <w:lang w:val="en-GB"/>
        </w:rPr>
        <w:lastRenderedPageBreak/>
        <w:t>Question 7: What systematic actions do we take to ensure ongoing product evolution and long-term market leadership? [Continuous Improvement Loop]</w:t>
      </w:r>
    </w:p>
    <w:p w14:paraId="1CE283CB" w14:textId="77777777" w:rsidR="006E6A8D" w:rsidRPr="007C0CE5" w:rsidRDefault="006E6A8D" w:rsidP="007D692C">
      <w:pPr>
        <w:numPr>
          <w:ilvl w:val="1"/>
          <w:numId w:val="11"/>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"We operate a continuous machine learning threat-feedback loop. Every time an anomaly is successfully flagged or a novel threat vector is blocked at a single clinic endpoint, that signature is automatically codified, optimized by our data engineering team, and pushed to all active client networks globally within 180 seconds to continuously improve platform accuracy."</w:t>
      </w:r>
    </w:p>
    <w:p w14:paraId="3877883D" w14:textId="77777777" w:rsidR="00411CD0" w:rsidRDefault="00411CD0" w:rsidP="006E6A8D">
      <w:pPr>
        <w:spacing w:after="240"/>
        <w:rPr>
          <w:rFonts w:ascii="Segoe UI Emoji" w:hAnsi="Segoe UI Emoji" w:cs="Segoe UI Emoji"/>
          <w:b/>
          <w:bCs/>
          <w:lang w:val="en-GB"/>
        </w:rPr>
      </w:pPr>
    </w:p>
    <w:p w14:paraId="38E6CB0D" w14:textId="4167B209" w:rsidR="006E6A8D" w:rsidRPr="00411CD0" w:rsidRDefault="006E6A8D" w:rsidP="006E6A8D">
      <w:pPr>
        <w:spacing w:after="240"/>
        <w:rPr>
          <w:rFonts w:ascii="Aptos" w:hAnsi="Aptos"/>
          <w:b/>
          <w:bCs/>
          <w:lang w:val="en-GB"/>
        </w:rPr>
      </w:pPr>
      <w:r w:rsidRPr="00411CD0">
        <w:rPr>
          <w:rFonts w:ascii="Aptos" w:hAnsi="Aptos"/>
          <w:b/>
          <w:bCs/>
          <w:lang w:val="en-GB"/>
        </w:rPr>
        <w:t>Critical Execution Pitfalls &amp; Mistakes to Avoid</w:t>
      </w:r>
    </w:p>
    <w:p w14:paraId="0908966E" w14:textId="77777777" w:rsidR="006E6A8D" w:rsidRPr="007C0CE5" w:rsidRDefault="006E6A8D" w:rsidP="006E6A8D">
      <w:pPr>
        <w:spacing w:after="240"/>
        <w:rPr>
          <w:rFonts w:ascii="Aptos" w:hAnsi="Aptos"/>
          <w:lang w:val="en-GB"/>
        </w:rPr>
      </w:pPr>
      <w:r w:rsidRPr="007C0CE5">
        <w:rPr>
          <w:rFonts w:ascii="Aptos" w:hAnsi="Aptos"/>
          <w:lang w:val="en-GB"/>
        </w:rPr>
        <w:t>To complete this section effectively, ensure the proposal steers clear of these common analytical blind spots:</w:t>
      </w:r>
    </w:p>
    <w:p w14:paraId="297FB23C" w14:textId="77777777" w:rsidR="006E6A8D" w:rsidRPr="007C0CE5" w:rsidRDefault="006E6A8D" w:rsidP="007D692C">
      <w:pPr>
        <w:numPr>
          <w:ilvl w:val="0"/>
          <w:numId w:val="12"/>
        </w:numPr>
        <w:spacing w:after="240"/>
        <w:rPr>
          <w:rFonts w:ascii="Aptos" w:hAnsi="Aptos"/>
          <w:lang w:val="en-GB"/>
        </w:rPr>
      </w:pPr>
      <w:r w:rsidRPr="007C0CE5">
        <w:rPr>
          <w:rFonts w:ascii="Aptos" w:hAnsi="Aptos"/>
          <w:lang w:val="en-GB"/>
        </w:rPr>
        <w:t xml:space="preserve">The "Generic Business Administration" Trap: A common mistake is filling this section with basic, non-differentiating tasks like </w:t>
      </w:r>
      <w:r w:rsidRPr="007C0CE5">
        <w:rPr>
          <w:rFonts w:ascii="Aptos" w:hAnsi="Aptos"/>
          <w:i/>
          <w:iCs/>
          <w:lang w:val="en-GB"/>
        </w:rPr>
        <w:t>"answering client emails," "doing social media marketing,"</w:t>
      </w:r>
      <w:r w:rsidRPr="007C0CE5">
        <w:rPr>
          <w:rFonts w:ascii="Aptos" w:hAnsi="Aptos"/>
          <w:lang w:val="en-GB"/>
        </w:rPr>
        <w:t xml:space="preserve"> or </w:t>
      </w:r>
      <w:r w:rsidRPr="007C0CE5">
        <w:rPr>
          <w:rFonts w:ascii="Aptos" w:hAnsi="Aptos"/>
          <w:i/>
          <w:iCs/>
          <w:lang w:val="en-GB"/>
        </w:rPr>
        <w:t>"holding internal team meetings."</w:t>
      </w:r>
      <w:r w:rsidRPr="007C0CE5">
        <w:rPr>
          <w:rFonts w:ascii="Aptos" w:hAnsi="Aptos"/>
          <w:lang w:val="en-GB"/>
        </w:rPr>
        <w:t xml:space="preserve"> Key Activities must capture only the critical, unique operational workflows that explicitly drive the unique business model (e.g., automated telemetry ingestion, predictive routing algorithms, or real-time ledger settlement).</w:t>
      </w:r>
    </w:p>
    <w:p w14:paraId="22E56B16" w14:textId="77777777" w:rsidR="006E6A8D" w:rsidRPr="007C0CE5" w:rsidRDefault="006E6A8D" w:rsidP="007D692C">
      <w:pPr>
        <w:numPr>
          <w:ilvl w:val="0"/>
          <w:numId w:val="12"/>
        </w:numPr>
        <w:spacing w:after="240"/>
        <w:rPr>
          <w:rFonts w:ascii="Aptos" w:hAnsi="Aptos"/>
          <w:lang w:val="en-GB"/>
        </w:rPr>
      </w:pPr>
      <w:r w:rsidRPr="007C0CE5">
        <w:rPr>
          <w:rFonts w:ascii="Aptos" w:hAnsi="Aptos"/>
          <w:lang w:val="en-GB"/>
        </w:rPr>
        <w:t xml:space="preserve">Confusing Activities with Resources (Verbs vs. Nouns): Entries frequently name assets rather than actions. For example, listing </w:t>
      </w:r>
      <w:r w:rsidRPr="007C0CE5">
        <w:rPr>
          <w:rFonts w:ascii="Aptos" w:hAnsi="Aptos"/>
          <w:i/>
          <w:iCs/>
          <w:lang w:val="en-GB"/>
        </w:rPr>
        <w:t>"AWS cloud servers"</w:t>
      </w:r>
      <w:r w:rsidRPr="007C0CE5">
        <w:rPr>
          <w:rFonts w:ascii="Aptos" w:hAnsi="Aptos"/>
          <w:lang w:val="en-GB"/>
        </w:rPr>
        <w:t xml:space="preserve"> (a resource) instead of </w:t>
      </w:r>
      <w:r w:rsidRPr="007C0CE5">
        <w:rPr>
          <w:rFonts w:ascii="Aptos" w:hAnsi="Aptos"/>
          <w:i/>
          <w:iCs/>
          <w:lang w:val="en-GB"/>
        </w:rPr>
        <w:t>"continuous infrastructure load monitoring and server optimization"</w:t>
      </w:r>
      <w:r w:rsidRPr="007C0CE5">
        <w:rPr>
          <w:rFonts w:ascii="Aptos" w:hAnsi="Aptos"/>
          <w:lang w:val="en-GB"/>
        </w:rPr>
        <w:t xml:space="preserve"> (an activity). To complete this block effectively, every distinct workflow should kick off with a strong, active operational verb.</w:t>
      </w:r>
    </w:p>
    <w:p w14:paraId="5649E2D0" w14:textId="77777777" w:rsidR="006E6A8D" w:rsidRPr="007C0CE5" w:rsidRDefault="006E6A8D" w:rsidP="007D692C">
      <w:pPr>
        <w:numPr>
          <w:ilvl w:val="0"/>
          <w:numId w:val="12"/>
        </w:numPr>
        <w:spacing w:after="240"/>
        <w:rPr>
          <w:rFonts w:ascii="Aptos" w:hAnsi="Aptos"/>
          <w:lang w:val="en-GB"/>
        </w:rPr>
      </w:pPr>
      <w:r w:rsidRPr="007C0CE5">
        <w:rPr>
          <w:rFonts w:ascii="Aptos" w:hAnsi="Aptos"/>
          <w:lang w:val="en-GB"/>
        </w:rPr>
        <w:t>Ignoring the Complexities of Customer Onboarding: For enterprise software or complex service models, it is naive to assume that a client account self-provisions instantaneously upon sign-up. Failing to outline the friction-heavy activities required during initialization (like enterprise data migration, API integration, and user provisioning) leaves an operational gap. Elite proposals explicitly detail the technical blueprint for this critical onboarding window.</w:t>
      </w:r>
    </w:p>
    <w:p w14:paraId="374DCF24" w14:textId="77777777" w:rsidR="006E6A8D" w:rsidRPr="007C0CE5" w:rsidRDefault="006E6A8D">
      <w:pPr>
        <w:spacing w:after="240"/>
        <w:rPr>
          <w:rFonts w:ascii="Aptos" w:hAnsi="Aptos"/>
        </w:rPr>
      </w:pPr>
    </w:p>
    <w:p w14:paraId="19313867" w14:textId="77777777" w:rsidR="006E6A8D" w:rsidRPr="007C0CE5" w:rsidRDefault="006E6A8D">
      <w:pPr>
        <w:spacing w:after="240"/>
        <w:rPr>
          <w:rFonts w:ascii="Aptos" w:hAnsi="Aptos"/>
        </w:rPr>
      </w:pPr>
    </w:p>
    <w:p w14:paraId="10B06492" w14:textId="77777777" w:rsidR="00252A67" w:rsidRPr="007C0CE5" w:rsidRDefault="00252A67" w:rsidP="00EF5851">
      <w:pPr>
        <w:spacing w:after="240"/>
        <w:rPr>
          <w:rFonts w:ascii="Aptos" w:hAnsi="Aptos"/>
        </w:rPr>
      </w:pPr>
    </w:p>
    <w:p w14:paraId="24D9B069" w14:textId="77777777" w:rsidR="00995436" w:rsidRPr="007C0CE5" w:rsidRDefault="00C211B2" w:rsidP="007C0CE5">
      <w:pPr>
        <w:pStyle w:val="Heading2"/>
      </w:pPr>
      <w:r w:rsidRPr="007C0CE5">
        <w:t>8. Key Partnerships</w:t>
      </w:r>
    </w:p>
    <w:p w14:paraId="6DB898DA" w14:textId="77777777" w:rsidR="009F30E5" w:rsidRDefault="009F30E5" w:rsidP="00120F6A">
      <w:pPr>
        <w:spacing w:after="240"/>
        <w:rPr>
          <w:rFonts w:ascii="Aptos" w:hAnsi="Aptos"/>
          <w:b/>
          <w:bCs/>
          <w:lang w:val="en-GB"/>
        </w:rPr>
      </w:pPr>
    </w:p>
    <w:p w14:paraId="40652259" w14:textId="14D941A8" w:rsidR="00120F6A" w:rsidRPr="007C0CE5" w:rsidRDefault="00CE7CCF" w:rsidP="00120F6A">
      <w:pPr>
        <w:spacing w:after="240"/>
        <w:rPr>
          <w:rFonts w:ascii="Aptos" w:hAnsi="Aptos"/>
          <w:lang w:val="en-GB"/>
        </w:rPr>
      </w:pPr>
      <w:r w:rsidRPr="00120F6A">
        <w:rPr>
          <w:rFonts w:ascii="Aptos" w:hAnsi="Aptos"/>
          <w:b/>
          <w:bCs/>
          <w:lang w:val="en-GB"/>
        </w:rPr>
        <w:lastRenderedPageBreak/>
        <w:t xml:space="preserve">Purposes: </w:t>
      </w:r>
      <w:r w:rsidR="00120F6A" w:rsidRPr="007C0CE5">
        <w:rPr>
          <w:rFonts w:ascii="Aptos" w:hAnsi="Aptos"/>
          <w:lang w:val="en-GB"/>
        </w:rPr>
        <w:t>This section outlines the critical upstream suppliers, core technology vendors, and external technical infrastructure dependencies that must be managed to maintain operational baseline stability and compliance.</w:t>
      </w:r>
    </w:p>
    <w:p w14:paraId="4E548973" w14:textId="77777777" w:rsidR="00E95EB8" w:rsidRDefault="00E95EB8" w:rsidP="00E95EB8">
      <w:pPr>
        <w:spacing w:after="240"/>
        <w:rPr>
          <w:rFonts w:ascii="Aptos" w:hAnsi="Aptos"/>
          <w:lang w:val="en-GB"/>
        </w:rPr>
      </w:pPr>
      <w:r w:rsidRPr="00AE2A23">
        <w:rPr>
          <w:rFonts w:ascii="Aptos" w:hAnsi="Aptos"/>
          <w:b/>
          <w:bCs/>
          <w:lang w:val="en-GB"/>
        </w:rPr>
        <w:t>How this section fits the proposal's goal:</w:t>
      </w:r>
      <w:r w:rsidRPr="007C0CE5">
        <w:rPr>
          <w:rFonts w:ascii="Aptos" w:hAnsi="Aptos"/>
          <w:lang w:val="en-GB"/>
        </w:rPr>
        <w:t xml:space="preserve"> A Business Development (BD) proposal for an independent business opportunity must prove that its operational architecture is robust and self-sustaining. In a standalone framework, this section pivots away from joint ventures or co-marketing alliances. Instead, it serves as the supply-chain security blueprint of the proposal, detailing exactly how the enterprise secures its mission-critical infrastructure, minimizes vendor dependencies, and maintains total technical control over its distribution and delivery pipelines.</w:t>
      </w:r>
    </w:p>
    <w:p w14:paraId="10106E50" w14:textId="77777777" w:rsidR="00AE2A23" w:rsidRPr="007C0CE5" w:rsidRDefault="00AE2A23" w:rsidP="00E95EB8">
      <w:pPr>
        <w:spacing w:after="240"/>
        <w:rPr>
          <w:rFonts w:ascii="Aptos" w:hAnsi="Aptos"/>
          <w:lang w:val="en-GB"/>
        </w:rPr>
      </w:pPr>
    </w:p>
    <w:p w14:paraId="1C29F033" w14:textId="77777777" w:rsidR="00E95EB8" w:rsidRPr="00AE2A23" w:rsidRDefault="00E95EB8" w:rsidP="00E95EB8">
      <w:pPr>
        <w:spacing w:after="240"/>
        <w:rPr>
          <w:rFonts w:ascii="Aptos" w:hAnsi="Aptos"/>
          <w:b/>
          <w:bCs/>
          <w:lang w:val="en-GB"/>
        </w:rPr>
      </w:pPr>
      <w:r w:rsidRPr="00AE2A23">
        <w:rPr>
          <w:rFonts w:ascii="Aptos" w:hAnsi="Aptos"/>
          <w:b/>
          <w:bCs/>
          <w:lang w:val="en-GB"/>
        </w:rPr>
        <w:t>Cross-Functional Mapping (Fitting with other blocks):</w:t>
      </w:r>
    </w:p>
    <w:p w14:paraId="0FF08BD4" w14:textId="77777777" w:rsidR="00E95EB8" w:rsidRPr="007C0CE5" w:rsidRDefault="00E95EB8" w:rsidP="007D692C">
      <w:pPr>
        <w:numPr>
          <w:ilvl w:val="0"/>
          <w:numId w:val="13"/>
        </w:numPr>
        <w:spacing w:after="240"/>
        <w:rPr>
          <w:rFonts w:ascii="Aptos" w:hAnsi="Aptos"/>
          <w:lang w:val="en-GB"/>
        </w:rPr>
      </w:pPr>
      <w:r w:rsidRPr="007C0CE5">
        <w:rPr>
          <w:rFonts w:ascii="Aptos" w:hAnsi="Aptos"/>
          <w:lang w:val="en-GB"/>
        </w:rPr>
        <w:t>With Block 2 &amp; 6 (Value Propositions &amp; Key Resources): The technology vendors selected here must provide the physical hosting capabilities and raw data pipelines that feed your internal Key Resources (Block 6) to deliver your Value Propositions (Block 2). If you promise real-time global availability, your cloud vendor agreements must explicitly support edge compute nodes.</w:t>
      </w:r>
    </w:p>
    <w:p w14:paraId="1A30F971" w14:textId="77777777" w:rsidR="00E95EB8" w:rsidRPr="007C0CE5" w:rsidRDefault="00E95EB8" w:rsidP="007D692C">
      <w:pPr>
        <w:numPr>
          <w:ilvl w:val="0"/>
          <w:numId w:val="13"/>
        </w:numPr>
        <w:spacing w:after="240"/>
        <w:rPr>
          <w:rFonts w:ascii="Aptos" w:hAnsi="Aptos"/>
          <w:lang w:val="en-GB"/>
        </w:rPr>
      </w:pPr>
      <w:r w:rsidRPr="007C0CE5">
        <w:rPr>
          <w:rFonts w:ascii="Aptos" w:hAnsi="Aptos"/>
          <w:lang w:val="en-GB"/>
        </w:rPr>
        <w:t>With Block 7 (Key Activities): Third-party systems provide the tools that automate or streamline internal workflows. Your developer tools and security automation vendors dictate the speed and safety of the engineering routines outlined in Block 7.</w:t>
      </w:r>
    </w:p>
    <w:p w14:paraId="63DE2B15" w14:textId="77777777" w:rsidR="00E95EB8" w:rsidRPr="007C0CE5" w:rsidRDefault="00E95EB8" w:rsidP="007D692C">
      <w:pPr>
        <w:numPr>
          <w:ilvl w:val="0"/>
          <w:numId w:val="13"/>
        </w:numPr>
        <w:spacing w:after="240"/>
        <w:rPr>
          <w:rFonts w:ascii="Aptos" w:hAnsi="Aptos"/>
          <w:lang w:val="en-GB"/>
        </w:rPr>
      </w:pPr>
      <w:r w:rsidRPr="007C0CE5">
        <w:rPr>
          <w:rFonts w:ascii="Aptos" w:hAnsi="Aptos"/>
          <w:lang w:val="en-GB"/>
        </w:rPr>
        <w:t>With Block 9 (Cost Structure): The commercial structures, data consumption limits, and service tier agreements arranged with these vendors form a significant baseline portion of the fixed and variable operating costs mapped out in Block 9.</w:t>
      </w:r>
    </w:p>
    <w:p w14:paraId="238B2B88" w14:textId="77777777" w:rsidR="00FC1989" w:rsidRPr="00FC1989" w:rsidRDefault="00FC1989" w:rsidP="00FC1989">
      <w:pPr>
        <w:spacing w:after="240"/>
        <w:rPr>
          <w:rFonts w:ascii="Aptos" w:hAnsi="Aptos"/>
          <w:lang w:val="en-GB"/>
        </w:rPr>
      </w:pPr>
      <w:r w:rsidRPr="00FC1989">
        <w:rPr>
          <w:rFonts w:ascii="Aptos" w:hAnsi="Aptos"/>
          <w:b/>
          <w:bCs/>
          <w:lang w:val="en-GB"/>
        </w:rPr>
        <w:t>Key questions:</w:t>
      </w:r>
      <w:r w:rsidRPr="00FC1989">
        <w:rPr>
          <w:rFonts w:ascii="Aptos" w:hAnsi="Aptos"/>
          <w:lang w:val="en-GB"/>
        </w:rPr>
        <w:t xml:space="preserve"> Which critical upstream suppliers, technology vendors, or regulatory frameworks do we depend on to maintain our baseline operations? How do we strategically manage these third-party dependencies to ensure long-term operational defensibility and supply-chain resilience without relying on strategic business development partners?</w:t>
      </w:r>
    </w:p>
    <w:p w14:paraId="59EA9D00" w14:textId="77777777" w:rsidR="00120F6A" w:rsidRDefault="00120F6A" w:rsidP="00E95EB8">
      <w:pPr>
        <w:spacing w:after="240"/>
        <w:rPr>
          <w:rFonts w:ascii="Aptos" w:hAnsi="Aptos"/>
          <w:lang w:val="en-GB"/>
        </w:rPr>
      </w:pPr>
    </w:p>
    <w:p w14:paraId="183007B1" w14:textId="5725A2FD" w:rsidR="00354F3A" w:rsidRPr="00120F6A" w:rsidRDefault="00354F3A" w:rsidP="00E95EB8">
      <w:pPr>
        <w:spacing w:after="240"/>
        <w:rPr>
          <w:rFonts w:ascii="Aptos" w:hAnsi="Aptos"/>
          <w:b/>
          <w:bCs/>
          <w:lang w:val="en-GB"/>
        </w:rPr>
      </w:pPr>
      <w:r w:rsidRPr="00120F6A">
        <w:rPr>
          <w:rFonts w:ascii="Aptos" w:hAnsi="Aptos"/>
          <w:b/>
          <w:bCs/>
          <w:lang w:val="en-GB"/>
        </w:rPr>
        <w:t>Specific questions to address:</w:t>
      </w:r>
    </w:p>
    <w:p w14:paraId="5516A655" w14:textId="77777777" w:rsidR="00E95EB8" w:rsidRPr="007C0CE5" w:rsidRDefault="00E95EB8" w:rsidP="007D692C">
      <w:pPr>
        <w:numPr>
          <w:ilvl w:val="0"/>
          <w:numId w:val="14"/>
        </w:numPr>
        <w:spacing w:after="240"/>
        <w:rPr>
          <w:rFonts w:ascii="Aptos" w:hAnsi="Aptos"/>
          <w:lang w:val="en-GB"/>
        </w:rPr>
      </w:pPr>
      <w:r w:rsidRPr="007C0CE5">
        <w:rPr>
          <w:rFonts w:ascii="Aptos" w:hAnsi="Aptos"/>
          <w:lang w:val="en-GB"/>
        </w:rPr>
        <w:t>Question 1: Who are our core upstream technology infrastructure vendors and mission-critical suppliers? [Critical Tech Vendors]</w:t>
      </w:r>
    </w:p>
    <w:p w14:paraId="60F7EE28" w14:textId="77777777" w:rsidR="00E95EB8" w:rsidRPr="007C0CE5" w:rsidRDefault="00E95EB8" w:rsidP="007D692C">
      <w:pPr>
        <w:numPr>
          <w:ilvl w:val="1"/>
          <w:numId w:val="14"/>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baseline operations depend on Amazon Web Services (AWS) for multi-region cloud compute hosting, Cloudflare for enterprise-</w:t>
      </w:r>
      <w:r w:rsidRPr="007C0CE5">
        <w:rPr>
          <w:rFonts w:ascii="Aptos" w:hAnsi="Aptos"/>
          <w:lang w:val="en-GB"/>
        </w:rPr>
        <w:lastRenderedPageBreak/>
        <w:t>grade DDoS protection and web application firewalls, and Twilio SendGrid for secure, automated multi-factor authentication (MFA) client alerts."</w:t>
      </w:r>
    </w:p>
    <w:p w14:paraId="22786839" w14:textId="77777777" w:rsidR="00E95EB8" w:rsidRPr="007C0CE5" w:rsidRDefault="00E95EB8" w:rsidP="007D692C">
      <w:pPr>
        <w:numPr>
          <w:ilvl w:val="0"/>
          <w:numId w:val="14"/>
        </w:numPr>
        <w:spacing w:after="240"/>
        <w:rPr>
          <w:rFonts w:ascii="Aptos" w:hAnsi="Aptos"/>
          <w:lang w:val="en-GB"/>
        </w:rPr>
      </w:pPr>
      <w:r w:rsidRPr="007C0CE5">
        <w:rPr>
          <w:rFonts w:ascii="Aptos" w:hAnsi="Aptos"/>
          <w:lang w:val="en-GB"/>
        </w:rPr>
        <w:t>Question 2: What open-source ecosystems, public registries, or software foundations are vital to our product's architecture? [Ecosystem Dependencies]</w:t>
      </w:r>
    </w:p>
    <w:p w14:paraId="00431792" w14:textId="77777777" w:rsidR="00E95EB8" w:rsidRPr="007C0CE5" w:rsidRDefault="00E95EB8" w:rsidP="007D692C">
      <w:pPr>
        <w:numPr>
          <w:ilvl w:val="1"/>
          <w:numId w:val="14"/>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zero-trust scanning engine relies on continuous updates from the National Vulnerability Database (NVD) API and the MITRE CVE (Common Vulnerabilities and Exposures) registry. Architecturally, our platform is deeply embedded within the Linux Foundation’s Kubernetes ecosystem for automated container orchestration."</w:t>
      </w:r>
    </w:p>
    <w:p w14:paraId="28EBECBF" w14:textId="77777777" w:rsidR="00E95EB8" w:rsidRPr="007C0CE5" w:rsidRDefault="00E95EB8" w:rsidP="007D692C">
      <w:pPr>
        <w:numPr>
          <w:ilvl w:val="0"/>
          <w:numId w:val="14"/>
        </w:numPr>
        <w:spacing w:after="240"/>
        <w:rPr>
          <w:rFonts w:ascii="Aptos" w:hAnsi="Aptos"/>
          <w:lang w:val="en-GB"/>
        </w:rPr>
      </w:pPr>
      <w:r w:rsidRPr="007C0CE5">
        <w:rPr>
          <w:rFonts w:ascii="Aptos" w:hAnsi="Aptos"/>
          <w:lang w:val="en-GB"/>
        </w:rPr>
        <w:t>Question 3: What operational or supply-chain risks (vendor lock-in, API throttling, system outages) are we neutralizing through vendor redundancies? [Vendor Risk Mitigation]</w:t>
      </w:r>
    </w:p>
    <w:p w14:paraId="7DE61168" w14:textId="77777777" w:rsidR="00E95EB8" w:rsidRPr="007C0CE5" w:rsidRDefault="00E95EB8" w:rsidP="007D692C">
      <w:pPr>
        <w:numPr>
          <w:ilvl w:val="1"/>
          <w:numId w:val="14"/>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"To neutralize the risk of a single point of failure or severe vendor lock-in, we maintain a containerized infrastructure setup that allows us to execute an automated failover migration from AWS to Microsoft Azure within 4 hours. We also enforce multi-vendor data routing contracts to prevent data-sync bottlenecks if a primary provider experiences an outage."</w:t>
      </w:r>
    </w:p>
    <w:p w14:paraId="7E36CFF1" w14:textId="77777777" w:rsidR="00E95EB8" w:rsidRPr="007C0CE5" w:rsidRDefault="00E95EB8" w:rsidP="007D692C">
      <w:pPr>
        <w:numPr>
          <w:ilvl w:val="0"/>
          <w:numId w:val="14"/>
        </w:numPr>
        <w:spacing w:after="240"/>
        <w:rPr>
          <w:rFonts w:ascii="Aptos" w:hAnsi="Aptos"/>
          <w:lang w:val="en-GB"/>
        </w:rPr>
      </w:pPr>
      <w:r w:rsidRPr="007C0CE5">
        <w:rPr>
          <w:rFonts w:ascii="Aptos" w:hAnsi="Aptos"/>
          <w:lang w:val="en-GB"/>
        </w:rPr>
        <w:t>Question 4: How do we structure our commercial vendor agreements (SLAs, long-term options) to keep our critical suppliers aligned with our standards? [Supplier Governance]</w:t>
      </w:r>
    </w:p>
    <w:p w14:paraId="17D458D9" w14:textId="77777777" w:rsidR="00E95EB8" w:rsidRPr="007C0CE5" w:rsidRDefault="00E95EB8" w:rsidP="007D692C">
      <w:pPr>
        <w:numPr>
          <w:ilvl w:val="1"/>
          <w:numId w:val="14"/>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"We protect our operations by embedding strict 99.99% uptime Service Level Agreements (SLAs) into our contracts with core vendors, backed by clear financial penalty credits. Long-term, tiered pricing agreements are locked in with our cloud hosts to ensure our margins improve predictably as our data consumption expands."</w:t>
      </w:r>
    </w:p>
    <w:p w14:paraId="48613FE5" w14:textId="77777777" w:rsidR="00E95EB8" w:rsidRPr="007C0CE5" w:rsidRDefault="00E95EB8" w:rsidP="007D692C">
      <w:pPr>
        <w:numPr>
          <w:ilvl w:val="0"/>
          <w:numId w:val="14"/>
        </w:numPr>
        <w:spacing w:after="240"/>
        <w:rPr>
          <w:rFonts w:ascii="Aptos" w:hAnsi="Aptos"/>
          <w:lang w:val="en-GB"/>
        </w:rPr>
      </w:pPr>
      <w:r w:rsidRPr="007C0CE5">
        <w:rPr>
          <w:rFonts w:ascii="Aptos" w:hAnsi="Aptos"/>
          <w:lang w:val="en-GB"/>
        </w:rPr>
        <w:t>Question 5: How do our critical vendor selections directly reinforce our standalone value proposition? [Vendor–Value Proposition Fit]</w:t>
      </w:r>
    </w:p>
    <w:p w14:paraId="55DCFD78" w14:textId="77777777" w:rsidR="00E95EB8" w:rsidRPr="007C0CE5" w:rsidRDefault="00E95EB8" w:rsidP="007D692C">
      <w:pPr>
        <w:numPr>
          <w:ilvl w:val="1"/>
          <w:numId w:val="14"/>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core promise of unrivaled speed is directly achieved through Cloudflare's localized global edge network, which slashes data-transit latencies. Our promise of absolute compliance trust is validated by using exclusively SOC2 Type II and ISO 27001 certified data center providers."</w:t>
      </w:r>
    </w:p>
    <w:p w14:paraId="19F4D729" w14:textId="77777777" w:rsidR="00E95EB8" w:rsidRPr="007C0CE5" w:rsidRDefault="00E95EB8" w:rsidP="007D692C">
      <w:pPr>
        <w:numPr>
          <w:ilvl w:val="0"/>
          <w:numId w:val="14"/>
        </w:numPr>
        <w:spacing w:after="240"/>
        <w:rPr>
          <w:rFonts w:ascii="Aptos" w:hAnsi="Aptos"/>
          <w:lang w:val="en-GB"/>
        </w:rPr>
      </w:pPr>
      <w:r w:rsidRPr="007C0CE5">
        <w:rPr>
          <w:rFonts w:ascii="Aptos" w:hAnsi="Aptos"/>
          <w:lang w:val="en-GB"/>
        </w:rPr>
        <w:t>Question 6: How do we create competitive barriers around our vendor integrations that rivals cannot easily replicate? [Vendor-Driven Defensibility]</w:t>
      </w:r>
    </w:p>
    <w:p w14:paraId="60EF0F51" w14:textId="77777777" w:rsidR="00E95EB8" w:rsidRPr="007C0CE5" w:rsidRDefault="00E95EB8" w:rsidP="007D692C">
      <w:pPr>
        <w:numPr>
          <w:ilvl w:val="1"/>
          <w:numId w:val="14"/>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"While any competitor can purchase cloud space, our defensibility stems from our deep, proprietary technical integrations with electronic health record (EHR) data silos via custom-built APIs. These integrations are </w:t>
      </w:r>
      <w:r w:rsidRPr="007C0CE5">
        <w:rPr>
          <w:rFonts w:ascii="Aptos" w:hAnsi="Aptos"/>
          <w:lang w:val="en-GB"/>
        </w:rPr>
        <w:lastRenderedPageBreak/>
        <w:t>optimized under long-term enterprise developer licenses, creating an operational moat that newcomers cannot match without years of custom engineering."</w:t>
      </w:r>
    </w:p>
    <w:p w14:paraId="4E2B84F2" w14:textId="77777777" w:rsidR="00E95EB8" w:rsidRPr="007C0CE5" w:rsidRDefault="00E95EB8" w:rsidP="007D692C">
      <w:pPr>
        <w:numPr>
          <w:ilvl w:val="0"/>
          <w:numId w:val="14"/>
        </w:numPr>
        <w:spacing w:after="240"/>
        <w:rPr>
          <w:rFonts w:ascii="Aptos" w:hAnsi="Aptos"/>
          <w:lang w:val="en-GB"/>
        </w:rPr>
      </w:pPr>
      <w:r w:rsidRPr="007C0CE5">
        <w:rPr>
          <w:rFonts w:ascii="Aptos" w:hAnsi="Aptos"/>
          <w:lang w:val="en-GB"/>
        </w:rPr>
        <w:t>Question 7: Which critical vendors allow us to scale our infrastructure efficiently as our user base grows? [Scalability Through Vendors]</w:t>
      </w:r>
    </w:p>
    <w:p w14:paraId="76980EAE" w14:textId="77777777" w:rsidR="00E95EB8" w:rsidRPr="007C0CE5" w:rsidRDefault="00E95EB8" w:rsidP="007D692C">
      <w:pPr>
        <w:numPr>
          <w:ilvl w:val="1"/>
          <w:numId w:val="14"/>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infrastructure scales smoothly through AWS’s native elastic cloud compute utilities, automatically adjusting processing power to match real-time system demands. Compliance tracking scales via automated integration with Vanta, eliminating the need to scale our internal compliance monitoring headcount as customer volume expands."</w:t>
      </w:r>
    </w:p>
    <w:p w14:paraId="742EDCEF" w14:textId="77777777" w:rsidR="009B2447" w:rsidRDefault="009B2447" w:rsidP="00E95EB8">
      <w:pPr>
        <w:spacing w:after="240"/>
        <w:rPr>
          <w:rFonts w:ascii="Aptos" w:hAnsi="Aptos"/>
          <w:b/>
          <w:bCs/>
          <w:lang w:val="en-GB"/>
        </w:rPr>
      </w:pPr>
    </w:p>
    <w:p w14:paraId="42781016" w14:textId="78692149" w:rsidR="00E95EB8" w:rsidRPr="009B2447" w:rsidRDefault="00E95EB8" w:rsidP="00E95EB8">
      <w:pPr>
        <w:spacing w:after="240"/>
        <w:rPr>
          <w:rFonts w:ascii="Aptos" w:hAnsi="Aptos"/>
          <w:b/>
          <w:bCs/>
          <w:lang w:val="en-GB"/>
        </w:rPr>
      </w:pPr>
      <w:r w:rsidRPr="009B2447">
        <w:rPr>
          <w:rFonts w:ascii="Aptos" w:hAnsi="Aptos"/>
          <w:b/>
          <w:bCs/>
          <w:lang w:val="en-GB"/>
        </w:rPr>
        <w:t>Critical Execution Pitfalls &amp; Mistakes to Avoid</w:t>
      </w:r>
      <w:r w:rsidR="009B2447">
        <w:rPr>
          <w:rFonts w:ascii="Aptos" w:hAnsi="Aptos"/>
          <w:b/>
          <w:bCs/>
          <w:lang w:val="en-GB"/>
        </w:rPr>
        <w:t>:</w:t>
      </w:r>
    </w:p>
    <w:p w14:paraId="130E04F8" w14:textId="77777777" w:rsidR="00E95EB8" w:rsidRPr="007C0CE5" w:rsidRDefault="00E95EB8" w:rsidP="00E95EB8">
      <w:pPr>
        <w:spacing w:after="240"/>
        <w:rPr>
          <w:rFonts w:ascii="Aptos" w:hAnsi="Aptos"/>
          <w:lang w:val="en-GB"/>
        </w:rPr>
      </w:pPr>
      <w:r w:rsidRPr="007C0CE5">
        <w:rPr>
          <w:rFonts w:ascii="Aptos" w:hAnsi="Aptos"/>
          <w:lang w:val="en-GB"/>
        </w:rPr>
        <w:t>To complete this section effectively, ensure the proposal steers clear of these common analytical blind spots:</w:t>
      </w:r>
    </w:p>
    <w:p w14:paraId="1BE163EE" w14:textId="77777777" w:rsidR="00E95EB8" w:rsidRPr="007C0CE5" w:rsidRDefault="00E95EB8" w:rsidP="007D692C">
      <w:pPr>
        <w:numPr>
          <w:ilvl w:val="0"/>
          <w:numId w:val="15"/>
        </w:numPr>
        <w:spacing w:after="240"/>
        <w:rPr>
          <w:rFonts w:ascii="Aptos" w:hAnsi="Aptos"/>
          <w:lang w:val="en-GB"/>
        </w:rPr>
      </w:pPr>
      <w:r w:rsidRPr="007C0CE5">
        <w:rPr>
          <w:rFonts w:ascii="Aptos" w:hAnsi="Aptos"/>
          <w:lang w:val="en-GB"/>
        </w:rPr>
        <w:t xml:space="preserve">The "Phantom Partner" Hallucination: A frequent error is falling back on hypothetical marketing partnerships, external affiliate influencers, or strategic joint ventures (e.g., </w:t>
      </w:r>
      <w:r w:rsidRPr="007C0CE5">
        <w:rPr>
          <w:rFonts w:ascii="Aptos" w:hAnsi="Aptos"/>
          <w:i/>
          <w:iCs/>
          <w:lang w:val="en-GB"/>
        </w:rPr>
        <w:t>"We will form a strategic alliance with regional medical groups to sell our tool"</w:t>
      </w:r>
      <w:r w:rsidRPr="007C0CE5">
        <w:rPr>
          <w:rFonts w:ascii="Aptos" w:hAnsi="Aptos"/>
          <w:lang w:val="en-GB"/>
        </w:rPr>
        <w:t>). If you are paying an entity for infrastructure or executing direct sales, it is a commercial vendor transaction or a customer relationship, not a business development partnership. Keep the focus entirely on internal capabilities and paid B2B suppliers.</w:t>
      </w:r>
    </w:p>
    <w:p w14:paraId="30C36007" w14:textId="77777777" w:rsidR="00E95EB8" w:rsidRPr="007C0CE5" w:rsidRDefault="00E95EB8" w:rsidP="007D692C">
      <w:pPr>
        <w:numPr>
          <w:ilvl w:val="0"/>
          <w:numId w:val="15"/>
        </w:numPr>
        <w:spacing w:after="240"/>
        <w:rPr>
          <w:rFonts w:ascii="Aptos" w:hAnsi="Aptos"/>
          <w:lang w:val="en-GB"/>
        </w:rPr>
      </w:pPr>
      <w:r w:rsidRPr="007C0CE5">
        <w:rPr>
          <w:rFonts w:ascii="Aptos" w:hAnsi="Aptos"/>
          <w:lang w:val="en-GB"/>
        </w:rPr>
        <w:t>Listing Commutative Utilities Instead of Strategic Dependencies: Avoid listing basic internal workspace utilities like Google Workspace, Zoom, or Slack. A professional development proposal evaluates only true strategic dependencies—the technical vendors whose sudden removal, severe price hike, or absolute platform failure would structurally collapse the delivery of your core value proposition (such as a core payment gateway for a Fintech app or a specialized mapping API for a logistics network).</w:t>
      </w:r>
    </w:p>
    <w:p w14:paraId="5247B9B8" w14:textId="77777777" w:rsidR="00E95EB8" w:rsidRPr="007C0CE5" w:rsidRDefault="00E95EB8" w:rsidP="007D692C">
      <w:pPr>
        <w:numPr>
          <w:ilvl w:val="0"/>
          <w:numId w:val="15"/>
        </w:numPr>
        <w:spacing w:after="240"/>
        <w:rPr>
          <w:rFonts w:ascii="Aptos" w:hAnsi="Aptos"/>
          <w:lang w:val="en-GB"/>
        </w:rPr>
      </w:pPr>
      <w:r w:rsidRPr="007C0CE5">
        <w:rPr>
          <w:rFonts w:ascii="Aptos" w:hAnsi="Aptos"/>
          <w:lang w:val="en-GB"/>
        </w:rPr>
        <w:t>The "No-Risk" Infrastructure Illusion: It is a mistake to assume that utilizing household technology names like AWS or Microsoft Azure guarantees flawless, risk-free execution. Proposals often completely ignore the real operational threats of breaking API updates, unexpected regional server blackouts, or compounding bandwidth costs. High-scoring proposals actively outline defensive technical engineering patterns, such as redundant cloud setups, database mirrors, and ironclad legal SLAs to eliminate these vulnerabilities.</w:t>
      </w:r>
    </w:p>
    <w:p w14:paraId="54587FF1" w14:textId="77777777" w:rsidR="00E95EB8" w:rsidRPr="007C0CE5" w:rsidRDefault="00E95EB8">
      <w:pPr>
        <w:spacing w:after="240"/>
        <w:rPr>
          <w:rFonts w:ascii="Aptos" w:hAnsi="Aptos"/>
        </w:rPr>
      </w:pPr>
    </w:p>
    <w:p w14:paraId="3FC3964A" w14:textId="77777777" w:rsidR="00995436" w:rsidRPr="007C0CE5" w:rsidRDefault="00C211B2" w:rsidP="007C0CE5">
      <w:pPr>
        <w:pStyle w:val="Heading2"/>
      </w:pPr>
      <w:r w:rsidRPr="007C0CE5">
        <w:t>9. Cost Structure</w:t>
      </w:r>
    </w:p>
    <w:p w14:paraId="18BB0C1D" w14:textId="77777777" w:rsidR="009F30E5" w:rsidRDefault="009F30E5" w:rsidP="009075BE">
      <w:pPr>
        <w:spacing w:after="240"/>
        <w:rPr>
          <w:rFonts w:ascii="Aptos" w:hAnsi="Aptos"/>
          <w:b/>
          <w:bCs/>
          <w:lang w:val="en-GB"/>
        </w:rPr>
      </w:pPr>
    </w:p>
    <w:p w14:paraId="46868F14" w14:textId="5DCCE6B1" w:rsidR="009075BE" w:rsidRPr="007C0CE5" w:rsidRDefault="009075BE" w:rsidP="009075BE">
      <w:pPr>
        <w:spacing w:after="240"/>
        <w:rPr>
          <w:rFonts w:ascii="Aptos" w:hAnsi="Aptos"/>
          <w:lang w:val="en-GB"/>
        </w:rPr>
      </w:pPr>
      <w:r w:rsidRPr="009075BE">
        <w:rPr>
          <w:rFonts w:ascii="Aptos" w:hAnsi="Aptos"/>
          <w:b/>
          <w:bCs/>
          <w:lang w:val="en-GB"/>
        </w:rPr>
        <w:lastRenderedPageBreak/>
        <w:t>Purposes:</w:t>
      </w:r>
      <w:r w:rsidRPr="009075BE">
        <w:rPr>
          <w:rFonts w:ascii="Aptos" w:hAnsi="Aptos"/>
          <w:lang w:val="en-GB"/>
        </w:rPr>
        <w:t xml:space="preserve"> </w:t>
      </w:r>
      <w:r w:rsidRPr="007C0CE5">
        <w:rPr>
          <w:rFonts w:ascii="Aptos" w:hAnsi="Aptos"/>
          <w:lang w:val="en-GB"/>
        </w:rPr>
        <w:t>This section maps out the critical fixed and variable financial liabilities, cost drivers, and target unit economic metrics required to sustain and scale the independent venture.</w:t>
      </w:r>
    </w:p>
    <w:p w14:paraId="2145A975" w14:textId="77777777" w:rsidR="00450A41" w:rsidRDefault="00450A41" w:rsidP="00450A41">
      <w:pPr>
        <w:spacing w:after="240"/>
        <w:rPr>
          <w:rFonts w:ascii="Aptos" w:hAnsi="Aptos"/>
          <w:lang w:val="en-GB"/>
        </w:rPr>
      </w:pPr>
      <w:r w:rsidRPr="009075BE">
        <w:rPr>
          <w:rFonts w:ascii="Aptos" w:hAnsi="Aptos"/>
          <w:b/>
          <w:bCs/>
          <w:lang w:val="en-GB"/>
        </w:rPr>
        <w:t>How this section fits the proposal's goal:</w:t>
      </w:r>
      <w:r w:rsidRPr="007C0CE5">
        <w:rPr>
          <w:rFonts w:ascii="Aptos" w:hAnsi="Aptos"/>
          <w:lang w:val="en-GB"/>
        </w:rPr>
        <w:t xml:space="preserve"> A Business Development (BD) proposal must culminate in a realistic, independent financial model that proves the commercial viability of a single business opportunity. The Cost Structure &amp; Operational Leverage block functions as the ultimate truth-test of the proposal. It synthesizes all the operational, technological, and relationship choices made in previous blocks, demonstrating that the venture can operate sustainably, protect its margins, and achieve profitability entirely on its own capital without relying on external corporate partners to subsidize expenses.</w:t>
      </w:r>
    </w:p>
    <w:p w14:paraId="40D9A5BC" w14:textId="77777777" w:rsidR="009075BE" w:rsidRPr="007C0CE5" w:rsidRDefault="009075BE" w:rsidP="00450A41">
      <w:pPr>
        <w:spacing w:after="240"/>
        <w:rPr>
          <w:rFonts w:ascii="Aptos" w:hAnsi="Aptos"/>
          <w:lang w:val="en-GB"/>
        </w:rPr>
      </w:pPr>
    </w:p>
    <w:p w14:paraId="0882B61D" w14:textId="77777777" w:rsidR="00450A41" w:rsidRPr="009075BE" w:rsidRDefault="00450A41" w:rsidP="00450A41">
      <w:pPr>
        <w:spacing w:after="240"/>
        <w:rPr>
          <w:rFonts w:ascii="Aptos" w:hAnsi="Aptos"/>
          <w:b/>
          <w:bCs/>
          <w:lang w:val="en-GB"/>
        </w:rPr>
      </w:pPr>
      <w:r w:rsidRPr="009075BE">
        <w:rPr>
          <w:rFonts w:ascii="Aptos" w:hAnsi="Aptos"/>
          <w:b/>
          <w:bCs/>
          <w:lang w:val="en-GB"/>
        </w:rPr>
        <w:t>Cross-Functional Mapping (Fitting with other blocks):</w:t>
      </w:r>
    </w:p>
    <w:p w14:paraId="19912A63" w14:textId="77777777" w:rsidR="00450A41" w:rsidRPr="007C0CE5" w:rsidRDefault="00450A41" w:rsidP="007D692C">
      <w:pPr>
        <w:numPr>
          <w:ilvl w:val="0"/>
          <w:numId w:val="16"/>
        </w:numPr>
        <w:spacing w:after="240"/>
        <w:rPr>
          <w:rFonts w:ascii="Aptos" w:hAnsi="Aptos"/>
          <w:lang w:val="en-GB"/>
        </w:rPr>
      </w:pPr>
      <w:r w:rsidRPr="007C0CE5">
        <w:rPr>
          <w:rFonts w:ascii="Aptos" w:hAnsi="Aptos"/>
          <w:lang w:val="en-GB"/>
        </w:rPr>
        <w:t>With Block 1, 2, &amp; 5 (Segments, Values, &amp; Revenue): The cost framework must directly mirror your pricing metrics (Block 5) and be structured to yield healthy gross margins against the target customer's willingness-to-pay (Block 1). The value-driven costs listed here must represent the physical price tag of delivering the brand standards promised in the value proposition (Block 2).</w:t>
      </w:r>
    </w:p>
    <w:p w14:paraId="7113E61D" w14:textId="23C4F647" w:rsidR="00450A41" w:rsidRPr="007C0CE5" w:rsidRDefault="00450A41" w:rsidP="007D692C">
      <w:pPr>
        <w:numPr>
          <w:ilvl w:val="0"/>
          <w:numId w:val="16"/>
        </w:numPr>
        <w:spacing w:after="240"/>
        <w:rPr>
          <w:rFonts w:ascii="Aptos" w:hAnsi="Aptos"/>
          <w:lang w:val="en-GB"/>
        </w:rPr>
      </w:pPr>
      <w:r w:rsidRPr="007C0CE5">
        <w:rPr>
          <w:rFonts w:ascii="Aptos" w:hAnsi="Aptos"/>
          <w:lang w:val="en-GB"/>
        </w:rPr>
        <w:t>With Block 3 &amp; 4 (Channels &amp; Relationships): The structural costs of user acquisition (</w:t>
      </w:r>
      <m:oMath>
        <m:r>
          <w:rPr>
            <w:rFonts w:ascii="Cambria Math" w:hAnsi="Cambria Math"/>
            <w:lang w:val="en-GB"/>
          </w:rPr>
          <m:t>CAC</m:t>
        </m:r>
      </m:oMath>
      <w:r w:rsidRPr="007C0CE5">
        <w:rPr>
          <w:rFonts w:ascii="Aptos" w:hAnsi="Aptos"/>
          <w:lang w:val="en-GB"/>
        </w:rPr>
        <w:t>) outlined below must fully account for the active marketing pipelines designed in Block 3, while human customer success overhead must match the retention cadences designed in Block 4.</w:t>
      </w:r>
    </w:p>
    <w:p w14:paraId="236FD1AF" w14:textId="77777777" w:rsidR="00450A41" w:rsidRDefault="00450A41" w:rsidP="007D692C">
      <w:pPr>
        <w:numPr>
          <w:ilvl w:val="0"/>
          <w:numId w:val="16"/>
        </w:numPr>
        <w:spacing w:after="240"/>
        <w:rPr>
          <w:rFonts w:ascii="Aptos" w:hAnsi="Aptos"/>
          <w:lang w:val="en-GB"/>
        </w:rPr>
      </w:pPr>
      <w:r w:rsidRPr="007C0CE5">
        <w:rPr>
          <w:rFonts w:ascii="Aptos" w:hAnsi="Aptos"/>
          <w:lang w:val="en-GB"/>
        </w:rPr>
        <w:t>With Block 6 &amp; 7 (Resources &amp; Activities): Every strategic asset listed as a Key Resource (Block 6) and every active operational routine defined as a Key Activity (Block 7) must possess a clear, corresponding expense allocation in this block.</w:t>
      </w:r>
    </w:p>
    <w:p w14:paraId="799ADF8F" w14:textId="77777777" w:rsidR="005550AB" w:rsidRDefault="005550AB" w:rsidP="005550AB">
      <w:pPr>
        <w:spacing w:after="240"/>
        <w:rPr>
          <w:rFonts w:ascii="Aptos" w:hAnsi="Aptos"/>
          <w:lang w:val="en-GB"/>
        </w:rPr>
      </w:pPr>
    </w:p>
    <w:p w14:paraId="2EAAC8A2" w14:textId="77777777" w:rsidR="00FC1989" w:rsidRDefault="00FC1989" w:rsidP="00FC1989">
      <w:pPr>
        <w:spacing w:after="240"/>
        <w:rPr>
          <w:rFonts w:ascii="Aptos" w:hAnsi="Aptos"/>
          <w:lang w:val="en-GB"/>
        </w:rPr>
      </w:pPr>
      <w:r w:rsidRPr="009075BE">
        <w:rPr>
          <w:rFonts w:ascii="Aptos" w:hAnsi="Aptos"/>
          <w:b/>
          <w:bCs/>
          <w:lang w:val="en-GB"/>
        </w:rPr>
        <w:t>Key questions:</w:t>
      </w:r>
      <w:r w:rsidRPr="009075BE">
        <w:rPr>
          <w:rFonts w:ascii="Aptos" w:hAnsi="Aptos"/>
          <w:lang w:val="en-GB"/>
        </w:rPr>
        <w:t xml:space="preserve"> </w:t>
      </w:r>
      <w:r w:rsidRPr="007C0CE5">
        <w:rPr>
          <w:rFonts w:ascii="Aptos" w:hAnsi="Aptos"/>
          <w:lang w:val="en-GB"/>
        </w:rPr>
        <w:t>What are the most critical financial outlays inherent to our independent execution? How do we structure our operating model to maximize gross margins, accelerate payback periods, and achieve structural cost efficiencies at scale?</w:t>
      </w:r>
    </w:p>
    <w:p w14:paraId="4D2C1191" w14:textId="77777777" w:rsidR="00FC1989" w:rsidRPr="007C0CE5" w:rsidRDefault="00FC1989" w:rsidP="005550AB">
      <w:pPr>
        <w:spacing w:after="240"/>
        <w:rPr>
          <w:rFonts w:ascii="Aptos" w:hAnsi="Aptos"/>
          <w:lang w:val="en-GB"/>
        </w:rPr>
      </w:pPr>
    </w:p>
    <w:p w14:paraId="27CDB26F" w14:textId="6A0EF5F3" w:rsidR="00354F3A" w:rsidRPr="005550AB" w:rsidRDefault="00354F3A" w:rsidP="00450A41">
      <w:pPr>
        <w:spacing w:after="240"/>
        <w:rPr>
          <w:rFonts w:ascii="Aptos" w:hAnsi="Aptos"/>
          <w:b/>
          <w:bCs/>
          <w:lang w:val="en-GB"/>
        </w:rPr>
      </w:pPr>
      <w:r w:rsidRPr="005550AB">
        <w:rPr>
          <w:rFonts w:ascii="Aptos" w:hAnsi="Aptos"/>
          <w:b/>
          <w:bCs/>
          <w:lang w:val="en-GB"/>
        </w:rPr>
        <w:t>Specific questions to address:</w:t>
      </w:r>
    </w:p>
    <w:p w14:paraId="12C8C4BD" w14:textId="77777777" w:rsidR="00450A41" w:rsidRPr="007C0CE5" w:rsidRDefault="00450A41" w:rsidP="007D692C">
      <w:pPr>
        <w:numPr>
          <w:ilvl w:val="0"/>
          <w:numId w:val="17"/>
        </w:numPr>
        <w:spacing w:after="240"/>
        <w:rPr>
          <w:rFonts w:ascii="Aptos" w:hAnsi="Aptos"/>
          <w:lang w:val="en-GB"/>
        </w:rPr>
      </w:pPr>
      <w:r w:rsidRPr="007C0CE5">
        <w:rPr>
          <w:rFonts w:ascii="Aptos" w:hAnsi="Aptos"/>
          <w:lang w:val="en-GB"/>
        </w:rPr>
        <w:t>Question 1: What are the most significant upfront fixed costs versus recurring variable costs required to sustain our model? [Cost Classification]</w:t>
      </w:r>
    </w:p>
    <w:p w14:paraId="3B303019" w14:textId="77777777" w:rsidR="00450A41" w:rsidRPr="007C0CE5" w:rsidRDefault="00450A41" w:rsidP="007D692C">
      <w:pPr>
        <w:numPr>
          <w:ilvl w:val="1"/>
          <w:numId w:val="17"/>
        </w:numPr>
        <w:spacing w:after="240"/>
        <w:rPr>
          <w:rFonts w:ascii="Aptos" w:hAnsi="Aptos"/>
          <w:lang w:val="en-GB"/>
        </w:rPr>
      </w:pPr>
      <w:r w:rsidRPr="007C0CE5">
        <w:rPr>
          <w:rFonts w:ascii="Aptos" w:hAnsi="Aptos"/>
          <w:i/>
          <w:iCs/>
          <w:lang w:val="en-GB"/>
        </w:rPr>
        <w:lastRenderedPageBreak/>
        <w:t>Expected Proposal Answer:</w:t>
      </w:r>
      <w:r w:rsidRPr="007C0CE5">
        <w:rPr>
          <w:rFonts w:ascii="Aptos" w:hAnsi="Aptos"/>
          <w:lang w:val="en-GB"/>
        </w:rPr>
        <w:t xml:space="preserve"> "Our primary fixed costs consist of core software engineering salaries, patent maintenance fees, and SOC2 Type II compliance audit retainers. Our recurring variable costs scale directly with usage, driven by AWS multi-region data ingestion fees, Cloudflare edge network bandwidth, and direct sales team performance commissions."</w:t>
      </w:r>
    </w:p>
    <w:p w14:paraId="42B1F3B7" w14:textId="77777777" w:rsidR="00450A41" w:rsidRPr="007C0CE5" w:rsidRDefault="00450A41" w:rsidP="007D692C">
      <w:pPr>
        <w:numPr>
          <w:ilvl w:val="0"/>
          <w:numId w:val="17"/>
        </w:numPr>
        <w:spacing w:after="240"/>
        <w:rPr>
          <w:rFonts w:ascii="Aptos" w:hAnsi="Aptos"/>
          <w:lang w:val="en-GB"/>
        </w:rPr>
      </w:pPr>
      <w:r w:rsidRPr="007C0CE5">
        <w:rPr>
          <w:rFonts w:ascii="Aptos" w:hAnsi="Aptos"/>
          <w:lang w:val="en-GB"/>
        </w:rPr>
        <w:t>Question 2: Which internal Key Activities and Key Resources represent the absolute largest drivers of capital spend? [Capital Drivers]</w:t>
      </w:r>
    </w:p>
    <w:p w14:paraId="3FDF9C01" w14:textId="77777777" w:rsidR="00450A41" w:rsidRPr="007C0CE5" w:rsidRDefault="00450A41" w:rsidP="007D692C">
      <w:pPr>
        <w:numPr>
          <w:ilvl w:val="1"/>
          <w:numId w:val="17"/>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"The single largest driver of capital spend is our specialized engineering payroll (Human Capital), specifically dedicated to the Key Activity of continuous zero-day vulnerability scanning engine optimization. The second largest driver is our automated B2B Account-Based Marketing (ABM) data pipeline stack used to fuel our independent sales engine."</w:t>
      </w:r>
    </w:p>
    <w:p w14:paraId="0070BB1E" w14:textId="7414FA58" w:rsidR="00450A41" w:rsidRPr="007C0CE5" w:rsidRDefault="00450A41" w:rsidP="007D692C">
      <w:pPr>
        <w:numPr>
          <w:ilvl w:val="0"/>
          <w:numId w:val="17"/>
        </w:numPr>
        <w:spacing w:after="240"/>
        <w:rPr>
          <w:rFonts w:ascii="Aptos" w:hAnsi="Aptos"/>
          <w:lang w:val="en-GB"/>
        </w:rPr>
      </w:pPr>
      <w:r w:rsidRPr="007C0CE5">
        <w:rPr>
          <w:rFonts w:ascii="Aptos" w:hAnsi="Aptos"/>
          <w:lang w:val="en-GB"/>
        </w:rPr>
        <w:t>Question 3: How do we structurally minimize and optimize our standalone Customer Acquisition Cost (</w:t>
      </w:r>
      <m:oMath>
        <m:r>
          <w:rPr>
            <w:rFonts w:ascii="Cambria Math" w:hAnsi="Cambria Math"/>
            <w:lang w:val="en-GB"/>
          </w:rPr>
          <m:t>CAC</m:t>
        </m:r>
      </m:oMath>
      <w:r w:rsidRPr="007C0CE5">
        <w:rPr>
          <w:rFonts w:ascii="Aptos" w:hAnsi="Aptos"/>
          <w:lang w:val="en-GB"/>
        </w:rPr>
        <w:t>) without relying on a partner’s customer base? [CAC Optimization Strategy]</w:t>
      </w:r>
    </w:p>
    <w:p w14:paraId="7FC71ED3" w14:textId="67998BE6" w:rsidR="00450A41" w:rsidRPr="007C0CE5" w:rsidRDefault="00450A41" w:rsidP="007D692C">
      <w:pPr>
        <w:numPr>
          <w:ilvl w:val="1"/>
          <w:numId w:val="17"/>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"We optimize standalone </w:t>
      </w:r>
      <m:oMath>
        <m:r>
          <w:rPr>
            <w:rFonts w:ascii="Cambria Math" w:hAnsi="Cambria Math"/>
            <w:lang w:val="en-GB"/>
          </w:rPr>
          <m:t>CAC</m:t>
        </m:r>
      </m:oMath>
      <w:r w:rsidRPr="007C0CE5">
        <w:rPr>
          <w:rFonts w:ascii="Aptos" w:hAnsi="Aptos"/>
          <w:lang w:val="en-GB"/>
        </w:rPr>
        <w:t xml:space="preserve"> by deploying our proprietary, automated digital 'HIPAA Compliance Assessment Tool' as a low-cost, high-intent lead magnet. This inbound engine qualifies mid-sized clinic prospects automatically, bypassing expensive cold outreach and reducing our blended </w:t>
      </w:r>
      <m:oMath>
        <m:r>
          <w:rPr>
            <w:rFonts w:ascii="Cambria Math" w:hAnsi="Cambria Math"/>
            <w:lang w:val="en-GB"/>
          </w:rPr>
          <m:t>CAC</m:t>
        </m:r>
      </m:oMath>
      <w:r w:rsidRPr="007C0CE5">
        <w:rPr>
          <w:rFonts w:ascii="Aptos" w:hAnsi="Aptos"/>
          <w:lang w:val="en-GB"/>
        </w:rPr>
        <w:t xml:space="preserve"> by 35% relative to legacy enterprise security competitors."</w:t>
      </w:r>
    </w:p>
    <w:p w14:paraId="14F675F3" w14:textId="77777777" w:rsidR="00450A41" w:rsidRPr="007C0CE5" w:rsidRDefault="00450A41" w:rsidP="007D692C">
      <w:pPr>
        <w:numPr>
          <w:ilvl w:val="0"/>
          <w:numId w:val="17"/>
        </w:numPr>
        <w:spacing w:after="240"/>
        <w:rPr>
          <w:rFonts w:ascii="Aptos" w:hAnsi="Aptos"/>
          <w:lang w:val="en-GB"/>
        </w:rPr>
      </w:pPr>
      <w:r w:rsidRPr="007C0CE5">
        <w:rPr>
          <w:rFonts w:ascii="Aptos" w:hAnsi="Aptos"/>
          <w:lang w:val="en-GB"/>
        </w:rPr>
        <w:t>Question 4: Does our cost architecture focus strictly on absolute Cost Leadership or premium Value-Driven delivery? [Strategic Alignment]</w:t>
      </w:r>
    </w:p>
    <w:p w14:paraId="4E179C81" w14:textId="77777777" w:rsidR="00450A41" w:rsidRPr="007C0CE5" w:rsidRDefault="00450A41" w:rsidP="007D692C">
      <w:pPr>
        <w:numPr>
          <w:ilvl w:val="1"/>
          <w:numId w:val="17"/>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architecture is uncompromised Value-Driven delivery. We explicitly reject low-cost infrastructure options because our healthcare institutional clients demand flawless data security and zero downtime. We premium-price our platform to absorb the high costs of continuous third-party penetration testing and elite CISSP/CEH security analyst oversight."</w:t>
      </w:r>
    </w:p>
    <w:p w14:paraId="7ADBE7A9" w14:textId="77777777" w:rsidR="00450A41" w:rsidRPr="007C0CE5" w:rsidRDefault="00450A41" w:rsidP="007D692C">
      <w:pPr>
        <w:numPr>
          <w:ilvl w:val="0"/>
          <w:numId w:val="17"/>
        </w:numPr>
        <w:spacing w:after="240"/>
        <w:rPr>
          <w:rFonts w:ascii="Aptos" w:hAnsi="Aptos"/>
          <w:lang w:val="en-GB"/>
        </w:rPr>
      </w:pPr>
      <w:r w:rsidRPr="007C0CE5">
        <w:rPr>
          <w:rFonts w:ascii="Aptos" w:hAnsi="Aptos"/>
          <w:lang w:val="en-GB"/>
        </w:rPr>
        <w:t>Question 5: How does our cost allocation directly reinforce our stated value proposition? [Cost–Value Proposition Fit]</w:t>
      </w:r>
    </w:p>
    <w:p w14:paraId="615346B0" w14:textId="77777777" w:rsidR="00450A41" w:rsidRPr="007C0CE5" w:rsidRDefault="00450A41" w:rsidP="007D692C">
      <w:pPr>
        <w:numPr>
          <w:ilvl w:val="1"/>
          <w:numId w:val="17"/>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cost structure directly reinforces our core value pillars. Our promise of instantaneous vulnerability detection requires continuous capital investment in heavy AWS cloud compute; our promise of compliance peace of mind is backed by ongoing outlays for strict encryption audits; and our promise of frictionless deployment is funded by continuous UX engineering optimization."</w:t>
      </w:r>
    </w:p>
    <w:p w14:paraId="52CBB75C" w14:textId="77777777" w:rsidR="00450A41" w:rsidRPr="007C0CE5" w:rsidRDefault="00450A41" w:rsidP="007D692C">
      <w:pPr>
        <w:numPr>
          <w:ilvl w:val="0"/>
          <w:numId w:val="17"/>
        </w:numPr>
        <w:spacing w:after="240"/>
        <w:rPr>
          <w:rFonts w:ascii="Aptos" w:hAnsi="Aptos"/>
          <w:lang w:val="en-GB"/>
        </w:rPr>
      </w:pPr>
      <w:r w:rsidRPr="007C0CE5">
        <w:rPr>
          <w:rFonts w:ascii="Aptos" w:hAnsi="Aptos"/>
          <w:lang w:val="en-GB"/>
        </w:rPr>
        <w:lastRenderedPageBreak/>
        <w:t>Question 6: Which cost investments create financial barriers that competitors cannot easily replicate? [Cost Defensibility]</w:t>
      </w:r>
    </w:p>
    <w:p w14:paraId="6C463410" w14:textId="77777777" w:rsidR="00450A41" w:rsidRPr="007C0CE5" w:rsidRDefault="00450A41" w:rsidP="007D692C">
      <w:pPr>
        <w:numPr>
          <w:ilvl w:val="1"/>
          <w:numId w:val="17"/>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"Defensibility is driven by our massive upfront capital investment in pre-training our proprietary machine learning threat model on 10 million historical telemetry endpoints. New market entrants cannot replicate this predictive baseline without absorbing millions of dollars in initial R&amp;D costs and multi-year data ingestion expenses, raising the entry threshold significantly."</w:t>
      </w:r>
    </w:p>
    <w:p w14:paraId="5C483C60" w14:textId="77777777" w:rsidR="00450A41" w:rsidRPr="007C0CE5" w:rsidRDefault="00450A41" w:rsidP="007D692C">
      <w:pPr>
        <w:numPr>
          <w:ilvl w:val="0"/>
          <w:numId w:val="17"/>
        </w:numPr>
        <w:spacing w:after="240"/>
        <w:rPr>
          <w:rFonts w:ascii="Aptos" w:hAnsi="Aptos"/>
          <w:lang w:val="en-GB"/>
        </w:rPr>
      </w:pPr>
      <w:r w:rsidRPr="007C0CE5">
        <w:rPr>
          <w:rFonts w:ascii="Aptos" w:hAnsi="Aptos"/>
          <w:lang w:val="en-GB"/>
        </w:rPr>
        <w:t>Question 7: How do our unit economics shift from linear to exponential efficiency as our customer base expands? [Scalability of Costs]</w:t>
      </w:r>
    </w:p>
    <w:p w14:paraId="5A4124BC" w14:textId="77777777" w:rsidR="00450A41" w:rsidRPr="007C0CE5" w:rsidRDefault="00450A41" w:rsidP="007D692C">
      <w:pPr>
        <w:numPr>
          <w:ilvl w:val="1"/>
          <w:numId w:val="17"/>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"Our automated technology infrastructure scales exponentially with user growth, capturing massive operational leverage as AWS hosting unit costs drop per gigabyte at volume. Conversely, human onboarding support and technical account managers scale linearly, budgeted to expand predictably at a fixed ratio of 1 headcount per 50 new mid-sized clinic acquisitions."</w:t>
      </w:r>
    </w:p>
    <w:p w14:paraId="102B35CA" w14:textId="77777777" w:rsidR="00450A41" w:rsidRPr="007C0CE5" w:rsidRDefault="00450A41" w:rsidP="007D692C">
      <w:pPr>
        <w:numPr>
          <w:ilvl w:val="0"/>
          <w:numId w:val="17"/>
        </w:numPr>
        <w:spacing w:after="240"/>
        <w:rPr>
          <w:rFonts w:ascii="Aptos" w:hAnsi="Aptos"/>
          <w:lang w:val="en-GB"/>
        </w:rPr>
      </w:pPr>
      <w:r w:rsidRPr="007C0CE5">
        <w:rPr>
          <w:rFonts w:ascii="Aptos" w:hAnsi="Aptos"/>
          <w:lang w:val="en-GB"/>
        </w:rPr>
        <w:t>Question 8: What specific metrics define our internal unit economics discipline? [Unit Economics Discipline]</w:t>
      </w:r>
    </w:p>
    <w:p w14:paraId="64BB32AA" w14:textId="40CE819D" w:rsidR="00450A41" w:rsidRPr="007C0CE5" w:rsidRDefault="00450A41" w:rsidP="007D692C">
      <w:pPr>
        <w:numPr>
          <w:ilvl w:val="1"/>
          <w:numId w:val="17"/>
        </w:numPr>
        <w:spacing w:after="240"/>
        <w:rPr>
          <w:rFonts w:ascii="Aptos" w:hAnsi="Aptos"/>
          <w:lang w:val="en-GB"/>
        </w:rPr>
      </w:pPr>
      <w:r w:rsidRPr="007C0CE5">
        <w:rPr>
          <w:rFonts w:ascii="Aptos" w:hAnsi="Aptos"/>
          <w:i/>
          <w:iCs/>
          <w:lang w:val="en-GB"/>
        </w:rPr>
        <w:t>Expected Proposal Answer:</w:t>
      </w:r>
      <w:r w:rsidRPr="007C0CE5">
        <w:rPr>
          <w:rFonts w:ascii="Aptos" w:hAnsi="Aptos"/>
          <w:lang w:val="en-GB"/>
        </w:rPr>
        <w:t xml:space="preserve"> "We maintain strict unit economics discipline by targeting a Customer Lifetime Value to Customer Acquisition Cost ratio (</w:t>
      </w:r>
      <m:oMath>
        <m:r>
          <w:rPr>
            <w:rFonts w:ascii="Cambria Math" w:hAnsi="Cambria Math"/>
            <w:lang w:val="en-GB"/>
          </w:rPr>
          <m:t>LTV:CAC</m:t>
        </m:r>
      </m:oMath>
      <w:r w:rsidRPr="007C0CE5">
        <w:rPr>
          <w:rFonts w:ascii="Aptos" w:hAnsi="Aptos"/>
          <w:lang w:val="en-GB"/>
        </w:rPr>
        <w:t xml:space="preserve">) greater than </w:t>
      </w:r>
      <m:oMath>
        <m:r>
          <w:rPr>
            <w:rFonts w:ascii="Cambria Math" w:hAnsi="Cambria Math"/>
            <w:lang w:val="en-GB"/>
          </w:rPr>
          <m:t>4:1</m:t>
        </m:r>
      </m:oMath>
      <w:r w:rsidRPr="007C0CE5">
        <w:rPr>
          <w:rFonts w:ascii="Aptos" w:hAnsi="Aptos"/>
          <w:lang w:val="en-GB"/>
        </w:rPr>
        <w:t xml:space="preserve">, an enterprise </w:t>
      </w:r>
      <m:oMath>
        <m:r>
          <w:rPr>
            <w:rFonts w:ascii="Cambria Math" w:hAnsi="Cambria Math"/>
            <w:lang w:val="en-GB"/>
          </w:rPr>
          <m:t>CAC</m:t>
        </m:r>
      </m:oMath>
      <w:r w:rsidRPr="007C0CE5">
        <w:rPr>
          <w:rFonts w:ascii="Aptos" w:hAnsi="Aptos"/>
          <w:lang w:val="en-GB"/>
        </w:rPr>
        <w:t xml:space="preserve"> payback period under 9 months, and a gross margin contribution exceeding 78% by the end of Year 2."</w:t>
      </w:r>
    </w:p>
    <w:p w14:paraId="76CC694D" w14:textId="77777777" w:rsidR="00316EB7" w:rsidRDefault="00316EB7" w:rsidP="00450A41">
      <w:pPr>
        <w:spacing w:after="240"/>
        <w:rPr>
          <w:rFonts w:ascii="Aptos" w:hAnsi="Aptos"/>
          <w:b/>
          <w:bCs/>
          <w:lang w:val="en-GB"/>
        </w:rPr>
      </w:pPr>
    </w:p>
    <w:p w14:paraId="7C938B01" w14:textId="1AF0946E" w:rsidR="00450A41" w:rsidRPr="00316EB7" w:rsidRDefault="00450A41" w:rsidP="00450A41">
      <w:pPr>
        <w:spacing w:after="240"/>
        <w:rPr>
          <w:rFonts w:ascii="Aptos" w:hAnsi="Aptos"/>
          <w:b/>
          <w:bCs/>
          <w:lang w:val="en-GB"/>
        </w:rPr>
      </w:pPr>
      <w:r w:rsidRPr="00316EB7">
        <w:rPr>
          <w:rFonts w:ascii="Aptos" w:hAnsi="Aptos"/>
          <w:b/>
          <w:bCs/>
          <w:lang w:val="en-GB"/>
        </w:rPr>
        <w:t>Critical Execution Pitfalls &amp; Mistakes to Avoid</w:t>
      </w:r>
      <w:r w:rsidR="00316EB7">
        <w:rPr>
          <w:rFonts w:ascii="Aptos" w:hAnsi="Aptos"/>
          <w:b/>
          <w:bCs/>
          <w:lang w:val="en-GB"/>
        </w:rPr>
        <w:t>:</w:t>
      </w:r>
    </w:p>
    <w:p w14:paraId="4348B11B" w14:textId="77777777" w:rsidR="00450A41" w:rsidRPr="007C0CE5" w:rsidRDefault="00450A41" w:rsidP="00450A41">
      <w:pPr>
        <w:spacing w:after="240"/>
        <w:rPr>
          <w:rFonts w:ascii="Aptos" w:hAnsi="Aptos"/>
          <w:lang w:val="en-GB"/>
        </w:rPr>
      </w:pPr>
      <w:r w:rsidRPr="007C0CE5">
        <w:rPr>
          <w:rFonts w:ascii="Aptos" w:hAnsi="Aptos"/>
          <w:lang w:val="en-GB"/>
        </w:rPr>
        <w:t>To complete this section effectively, ensure the proposal steers clear of these common analytical blind spots:</w:t>
      </w:r>
    </w:p>
    <w:p w14:paraId="56BF2981" w14:textId="38A23E53" w:rsidR="00450A41" w:rsidRPr="007C0CE5" w:rsidRDefault="00264109" w:rsidP="007D692C">
      <w:pPr>
        <w:numPr>
          <w:ilvl w:val="0"/>
          <w:numId w:val="18"/>
        </w:numPr>
        <w:spacing w:after="240"/>
        <w:rPr>
          <w:rFonts w:ascii="Aptos" w:hAnsi="Aptos"/>
          <w:lang w:val="en-GB"/>
        </w:rPr>
      </w:pPr>
      <w:r w:rsidRPr="007C0CE5">
        <w:rPr>
          <w:rFonts w:ascii="Aptos" w:hAnsi="Aptos"/>
          <w:lang w:val="en-GB"/>
        </w:rPr>
        <w:t>Clarity of the cost structure:</w:t>
      </w:r>
      <w:r w:rsidR="00450A41" w:rsidRPr="007C0CE5">
        <w:rPr>
          <w:rFonts w:ascii="Aptos" w:hAnsi="Aptos"/>
          <w:lang w:val="en-GB"/>
        </w:rPr>
        <w:t xml:space="preserve"> In an independent proposal, every </w:t>
      </w:r>
      <w:r w:rsidR="009F75D6" w:rsidRPr="007C0CE5">
        <w:rPr>
          <w:rFonts w:ascii="Aptos" w:hAnsi="Aptos"/>
          <w:lang w:val="en-GB"/>
        </w:rPr>
        <w:t>cost</w:t>
      </w:r>
      <w:r w:rsidR="00450A41" w:rsidRPr="007C0CE5">
        <w:rPr>
          <w:rFonts w:ascii="Aptos" w:hAnsi="Aptos"/>
          <w:lang w:val="en-GB"/>
        </w:rPr>
        <w:t xml:space="preserve"> required to establish awareness, run ads, close contracts, and deliver value must be fully accounted for on your own balance sheet.</w:t>
      </w:r>
    </w:p>
    <w:p w14:paraId="7EA82BC0" w14:textId="77777777" w:rsidR="00450A41" w:rsidRPr="007C0CE5" w:rsidRDefault="00450A41" w:rsidP="007D692C">
      <w:pPr>
        <w:numPr>
          <w:ilvl w:val="0"/>
          <w:numId w:val="18"/>
        </w:numPr>
        <w:spacing w:after="240"/>
        <w:rPr>
          <w:rFonts w:ascii="Aptos" w:hAnsi="Aptos"/>
          <w:lang w:val="en-GB"/>
        </w:rPr>
      </w:pPr>
      <w:r w:rsidRPr="007C0CE5">
        <w:rPr>
          <w:rFonts w:ascii="Aptos" w:hAnsi="Aptos"/>
          <w:lang w:val="en-GB"/>
        </w:rPr>
        <w:t>The Flat-Line Scaling Myth (Ignoring Marginal Costs): It is inaccurate to claim that because a venture is built on software, the marginal cost to serve new users is zero. While digital infrastructure scales efficiently, it is never free. Increased application usage introduces expanding data storage requirements, variable cloud-compute hosting bands, continuous API throughput fees, and compounding server load spikes. Furthermore, if your relationship framework requires human oversight, support labor expenses must climb linearly alongside customer growth.</w:t>
      </w:r>
    </w:p>
    <w:p w14:paraId="14AE86D4" w14:textId="22F17E82" w:rsidR="00450A41" w:rsidRPr="007C0CE5" w:rsidRDefault="00450A41" w:rsidP="007D692C">
      <w:pPr>
        <w:numPr>
          <w:ilvl w:val="0"/>
          <w:numId w:val="18"/>
        </w:numPr>
        <w:spacing w:after="240"/>
        <w:rPr>
          <w:rFonts w:ascii="Aptos" w:hAnsi="Aptos"/>
        </w:rPr>
      </w:pPr>
      <w:r w:rsidRPr="007C0CE5">
        <w:rPr>
          <w:rFonts w:ascii="Aptos" w:hAnsi="Aptos"/>
          <w:lang w:val="en-GB"/>
        </w:rPr>
        <w:lastRenderedPageBreak/>
        <w:t xml:space="preserve">Vague, Non-Quantified Explanations: Generic categorizations like </w:t>
      </w:r>
      <w:r w:rsidRPr="007C0CE5">
        <w:rPr>
          <w:rFonts w:ascii="Aptos" w:hAnsi="Aptos"/>
          <w:i/>
          <w:iCs/>
          <w:lang w:val="en-GB"/>
        </w:rPr>
        <w:t>"Our largest expenses are marketing and software development"</w:t>
      </w:r>
      <w:r w:rsidRPr="007C0CE5">
        <w:rPr>
          <w:rFonts w:ascii="Aptos" w:hAnsi="Aptos"/>
          <w:lang w:val="en-GB"/>
        </w:rPr>
        <w:t xml:space="preserve"> lack the rigor required for an executive-level proposal. Financial summaries must avoid high-level generalities and define the exact operational nature of the expense, clearly linking specialized assets (e.g., </w:t>
      </w:r>
      <w:r w:rsidRPr="007C0CE5">
        <w:rPr>
          <w:rFonts w:ascii="Aptos" w:hAnsi="Aptos"/>
          <w:i/>
          <w:iCs/>
          <w:lang w:val="en-GB"/>
        </w:rPr>
        <w:t>automated B2B ABM intent-data pipelines</w:t>
      </w:r>
      <w:r w:rsidRPr="007C0CE5">
        <w:rPr>
          <w:rFonts w:ascii="Aptos" w:hAnsi="Aptos"/>
          <w:lang w:val="en-GB"/>
        </w:rPr>
        <w:t xml:space="preserve"> or </w:t>
      </w:r>
      <w:r w:rsidRPr="007C0CE5">
        <w:rPr>
          <w:rFonts w:ascii="Aptos" w:hAnsi="Aptos"/>
          <w:i/>
          <w:iCs/>
          <w:lang w:val="en-GB"/>
        </w:rPr>
        <w:t>certified CISSP/CEH security architects</w:t>
      </w:r>
      <w:r w:rsidRPr="007C0CE5">
        <w:rPr>
          <w:rFonts w:ascii="Aptos" w:hAnsi="Aptos"/>
          <w:lang w:val="en-GB"/>
        </w:rPr>
        <w:t>) directly back to your Key Resources and Key Activities.</w:t>
      </w:r>
    </w:p>
    <w:sectPr w:rsidR="00450A41" w:rsidRPr="007C0CE5"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816710B"/>
    <w:multiLevelType w:val="multilevel"/>
    <w:tmpl w:val="EEA4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52ABA"/>
    <w:multiLevelType w:val="multilevel"/>
    <w:tmpl w:val="9970D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A4408"/>
    <w:multiLevelType w:val="multilevel"/>
    <w:tmpl w:val="4BBE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477123"/>
    <w:multiLevelType w:val="multilevel"/>
    <w:tmpl w:val="4AB6B8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C2731D"/>
    <w:multiLevelType w:val="multilevel"/>
    <w:tmpl w:val="BDA4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A77CBF"/>
    <w:multiLevelType w:val="multilevel"/>
    <w:tmpl w:val="0A88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341618"/>
    <w:multiLevelType w:val="multilevel"/>
    <w:tmpl w:val="8DE06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6D5757"/>
    <w:multiLevelType w:val="multilevel"/>
    <w:tmpl w:val="C63C8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572666"/>
    <w:multiLevelType w:val="multilevel"/>
    <w:tmpl w:val="9BA6B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193996"/>
    <w:multiLevelType w:val="multilevel"/>
    <w:tmpl w:val="E252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722D43"/>
    <w:multiLevelType w:val="multilevel"/>
    <w:tmpl w:val="5AFE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E6B3E"/>
    <w:multiLevelType w:val="multilevel"/>
    <w:tmpl w:val="F00E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263BC8"/>
    <w:multiLevelType w:val="multilevel"/>
    <w:tmpl w:val="610EB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A801B2"/>
    <w:multiLevelType w:val="multilevel"/>
    <w:tmpl w:val="90C09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171429"/>
    <w:multiLevelType w:val="multilevel"/>
    <w:tmpl w:val="1E78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B023C0"/>
    <w:multiLevelType w:val="multilevel"/>
    <w:tmpl w:val="69F2F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172922"/>
    <w:multiLevelType w:val="multilevel"/>
    <w:tmpl w:val="52BA0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7A6062"/>
    <w:multiLevelType w:val="multilevel"/>
    <w:tmpl w:val="CE86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B86C7E"/>
    <w:multiLevelType w:val="multilevel"/>
    <w:tmpl w:val="D66ED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BC2792"/>
    <w:multiLevelType w:val="multilevel"/>
    <w:tmpl w:val="78C2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3603C3"/>
    <w:multiLevelType w:val="multilevel"/>
    <w:tmpl w:val="F7A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E01D88"/>
    <w:multiLevelType w:val="multilevel"/>
    <w:tmpl w:val="28C6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CB6129"/>
    <w:multiLevelType w:val="multilevel"/>
    <w:tmpl w:val="6104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3339EB"/>
    <w:multiLevelType w:val="multilevel"/>
    <w:tmpl w:val="46C6A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616F9A"/>
    <w:multiLevelType w:val="multilevel"/>
    <w:tmpl w:val="4CA4A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C76F5A"/>
    <w:multiLevelType w:val="multilevel"/>
    <w:tmpl w:val="25F4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8A1170"/>
    <w:multiLevelType w:val="multilevel"/>
    <w:tmpl w:val="35D20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8D19D5"/>
    <w:multiLevelType w:val="multilevel"/>
    <w:tmpl w:val="57B2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0778575">
    <w:abstractNumId w:val="5"/>
  </w:num>
  <w:num w:numId="2" w16cid:durableId="1365710225">
    <w:abstractNumId w:val="3"/>
  </w:num>
  <w:num w:numId="3" w16cid:durableId="980157224">
    <w:abstractNumId w:val="2"/>
  </w:num>
  <w:num w:numId="4" w16cid:durableId="1180317248">
    <w:abstractNumId w:val="4"/>
  </w:num>
  <w:num w:numId="5" w16cid:durableId="985548255">
    <w:abstractNumId w:val="1"/>
  </w:num>
  <w:num w:numId="6" w16cid:durableId="1518038147">
    <w:abstractNumId w:val="0"/>
  </w:num>
  <w:num w:numId="7" w16cid:durableId="1244947465">
    <w:abstractNumId w:val="15"/>
  </w:num>
  <w:num w:numId="8" w16cid:durableId="835876588">
    <w:abstractNumId w:val="7"/>
  </w:num>
  <w:num w:numId="9" w16cid:durableId="1793741788">
    <w:abstractNumId w:val="11"/>
  </w:num>
  <w:num w:numId="10" w16cid:durableId="1456949644">
    <w:abstractNumId w:val="21"/>
  </w:num>
  <w:num w:numId="11" w16cid:durableId="823469073">
    <w:abstractNumId w:val="9"/>
  </w:num>
  <w:num w:numId="12" w16cid:durableId="1727606656">
    <w:abstractNumId w:val="26"/>
  </w:num>
  <w:num w:numId="13" w16cid:durableId="120079392">
    <w:abstractNumId w:val="31"/>
  </w:num>
  <w:num w:numId="14" w16cid:durableId="2104912112">
    <w:abstractNumId w:val="19"/>
  </w:num>
  <w:num w:numId="15" w16cid:durableId="489757572">
    <w:abstractNumId w:val="6"/>
  </w:num>
  <w:num w:numId="16" w16cid:durableId="910192687">
    <w:abstractNumId w:val="27"/>
  </w:num>
  <w:num w:numId="17" w16cid:durableId="1198422821">
    <w:abstractNumId w:val="18"/>
  </w:num>
  <w:num w:numId="18" w16cid:durableId="1785883926">
    <w:abstractNumId w:val="33"/>
  </w:num>
  <w:num w:numId="19" w16cid:durableId="856966348">
    <w:abstractNumId w:val="24"/>
  </w:num>
  <w:num w:numId="20" w16cid:durableId="1051149257">
    <w:abstractNumId w:val="12"/>
  </w:num>
  <w:num w:numId="21" w16cid:durableId="448092737">
    <w:abstractNumId w:val="25"/>
  </w:num>
  <w:num w:numId="22" w16cid:durableId="2064062909">
    <w:abstractNumId w:val="8"/>
  </w:num>
  <w:num w:numId="23" w16cid:durableId="258607608">
    <w:abstractNumId w:val="13"/>
  </w:num>
  <w:num w:numId="24" w16cid:durableId="526917923">
    <w:abstractNumId w:val="17"/>
  </w:num>
  <w:num w:numId="25" w16cid:durableId="1915122269">
    <w:abstractNumId w:val="16"/>
  </w:num>
  <w:num w:numId="26" w16cid:durableId="679697560">
    <w:abstractNumId w:val="32"/>
  </w:num>
  <w:num w:numId="27" w16cid:durableId="1694845842">
    <w:abstractNumId w:val="10"/>
  </w:num>
  <w:num w:numId="28" w16cid:durableId="649330904">
    <w:abstractNumId w:val="28"/>
  </w:num>
  <w:num w:numId="29" w16cid:durableId="273026244">
    <w:abstractNumId w:val="14"/>
  </w:num>
  <w:num w:numId="30" w16cid:durableId="584919373">
    <w:abstractNumId w:val="23"/>
  </w:num>
  <w:num w:numId="31" w16cid:durableId="321352694">
    <w:abstractNumId w:val="20"/>
  </w:num>
  <w:num w:numId="32" w16cid:durableId="1597978888">
    <w:abstractNumId w:val="30"/>
  </w:num>
  <w:num w:numId="33" w16cid:durableId="969047717">
    <w:abstractNumId w:val="22"/>
  </w:num>
  <w:num w:numId="34" w16cid:durableId="196815363">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3671"/>
    <w:rsid w:val="00120F6A"/>
    <w:rsid w:val="0015074B"/>
    <w:rsid w:val="001847DF"/>
    <w:rsid w:val="001B6461"/>
    <w:rsid w:val="001D28AE"/>
    <w:rsid w:val="001E054D"/>
    <w:rsid w:val="001E4D2B"/>
    <w:rsid w:val="001E56FA"/>
    <w:rsid w:val="00240DA7"/>
    <w:rsid w:val="00252A67"/>
    <w:rsid w:val="0025548F"/>
    <w:rsid w:val="00264109"/>
    <w:rsid w:val="00264B26"/>
    <w:rsid w:val="00294797"/>
    <w:rsid w:val="0029639D"/>
    <w:rsid w:val="002E0823"/>
    <w:rsid w:val="002E1FC8"/>
    <w:rsid w:val="003022C1"/>
    <w:rsid w:val="00316EB7"/>
    <w:rsid w:val="00326F90"/>
    <w:rsid w:val="00354F3A"/>
    <w:rsid w:val="003707F7"/>
    <w:rsid w:val="003E7245"/>
    <w:rsid w:val="00411CD0"/>
    <w:rsid w:val="00411CDD"/>
    <w:rsid w:val="00450A41"/>
    <w:rsid w:val="00454D35"/>
    <w:rsid w:val="004739A3"/>
    <w:rsid w:val="00482D04"/>
    <w:rsid w:val="004842BF"/>
    <w:rsid w:val="0052027E"/>
    <w:rsid w:val="0052096D"/>
    <w:rsid w:val="00520A73"/>
    <w:rsid w:val="005367EA"/>
    <w:rsid w:val="005550AB"/>
    <w:rsid w:val="005A62D1"/>
    <w:rsid w:val="005D111C"/>
    <w:rsid w:val="00613509"/>
    <w:rsid w:val="00615B66"/>
    <w:rsid w:val="00621724"/>
    <w:rsid w:val="006A7962"/>
    <w:rsid w:val="006B0393"/>
    <w:rsid w:val="006E1498"/>
    <w:rsid w:val="006E59EA"/>
    <w:rsid w:val="006E6A8D"/>
    <w:rsid w:val="006E7946"/>
    <w:rsid w:val="007050C6"/>
    <w:rsid w:val="00751A22"/>
    <w:rsid w:val="00764688"/>
    <w:rsid w:val="007A52C0"/>
    <w:rsid w:val="007C0CE5"/>
    <w:rsid w:val="007C25ED"/>
    <w:rsid w:val="007D692C"/>
    <w:rsid w:val="00847360"/>
    <w:rsid w:val="008602E0"/>
    <w:rsid w:val="0088624F"/>
    <w:rsid w:val="00891BBE"/>
    <w:rsid w:val="008A175F"/>
    <w:rsid w:val="008E5751"/>
    <w:rsid w:val="008F1906"/>
    <w:rsid w:val="009075BE"/>
    <w:rsid w:val="00924284"/>
    <w:rsid w:val="00944A6E"/>
    <w:rsid w:val="00947A77"/>
    <w:rsid w:val="00973763"/>
    <w:rsid w:val="00995436"/>
    <w:rsid w:val="009B2447"/>
    <w:rsid w:val="009C42E0"/>
    <w:rsid w:val="009F30E5"/>
    <w:rsid w:val="009F75D6"/>
    <w:rsid w:val="00A0621B"/>
    <w:rsid w:val="00A337C9"/>
    <w:rsid w:val="00A72815"/>
    <w:rsid w:val="00A74662"/>
    <w:rsid w:val="00A81AD2"/>
    <w:rsid w:val="00AA1D8D"/>
    <w:rsid w:val="00AE2A23"/>
    <w:rsid w:val="00B47730"/>
    <w:rsid w:val="00B74C9A"/>
    <w:rsid w:val="00B948E5"/>
    <w:rsid w:val="00BE0237"/>
    <w:rsid w:val="00C211B2"/>
    <w:rsid w:val="00C463D4"/>
    <w:rsid w:val="00CB0664"/>
    <w:rsid w:val="00CE7CCF"/>
    <w:rsid w:val="00D4028F"/>
    <w:rsid w:val="00D841F1"/>
    <w:rsid w:val="00DF1418"/>
    <w:rsid w:val="00E15D35"/>
    <w:rsid w:val="00E6461B"/>
    <w:rsid w:val="00E95EB8"/>
    <w:rsid w:val="00EB396C"/>
    <w:rsid w:val="00EF0899"/>
    <w:rsid w:val="00EF5851"/>
    <w:rsid w:val="00F01F54"/>
    <w:rsid w:val="00F04C59"/>
    <w:rsid w:val="00F37B09"/>
    <w:rsid w:val="00F979E0"/>
    <w:rsid w:val="00FC1989"/>
    <w:rsid w:val="00FC693F"/>
    <w:rsid w:val="00FD3A2C"/>
    <w:rsid w:val="00FF1B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17A6F1A-CFFB-4229-A355-CE7EB93F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30</Pages>
  <Words>9743</Words>
  <Characters>55537</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Hoang Dang Nguyen</cp:lastModifiedBy>
  <cp:revision>91</cp:revision>
  <dcterms:created xsi:type="dcterms:W3CDTF">2013-12-23T23:15:00Z</dcterms:created>
  <dcterms:modified xsi:type="dcterms:W3CDTF">2026-07-19T22:39:00Z</dcterms:modified>
  <cp:category/>
</cp:coreProperties>
</file>