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B3AF2" w14:textId="77777777" w:rsidR="007C2185" w:rsidRDefault="0036050B">
      <w:proofErr w:type="gramStart"/>
      <w:r>
        <w:t>T</w:t>
      </w:r>
      <w:r w:rsidR="007C2185">
        <w:t>rinity  James</w:t>
      </w:r>
      <w:proofErr w:type="gramEnd"/>
      <w:r w:rsidR="007C2185">
        <w:t xml:space="preserve"> </w:t>
      </w:r>
    </w:p>
    <w:p w14:paraId="2C8645CD" w14:textId="56A13355" w:rsidR="00A4002B" w:rsidRDefault="0036050B">
      <w:r>
        <w:t>-205460</w:t>
      </w:r>
    </w:p>
    <w:p w14:paraId="35BD0BB4" w14:textId="77777777" w:rsidR="007C2185" w:rsidRDefault="007C2185"/>
    <w:p w14:paraId="0A327B76" w14:textId="77777777" w:rsidR="00BB2852" w:rsidRDefault="00BB2852" w:rsidP="00BB2852">
      <w:r>
        <w:t xml:space="preserve">Introduction </w:t>
      </w:r>
    </w:p>
    <w:p w14:paraId="4DB705E1" w14:textId="21CCF85E" w:rsidR="00BB2852" w:rsidRDefault="00BB2852" w:rsidP="00BB2852">
      <w:r>
        <w:t xml:space="preserve">Health and social care practice in the UK is </w:t>
      </w:r>
      <w:r>
        <w:t>focuse</w:t>
      </w:r>
      <w:r>
        <w:t>d by the need to deliver safe, effective, and person-centred care across increasingly complex service environments. In practice, this requires more than clinical knowledge; it depends heavily on communication, accurate administration, and coordinated multi-agency working (NHS England, 2023). The case of Mr Ahmed, a 68-year-old man recovering from a stroke, highlights how these elements interact in real-life care delivery.</w:t>
      </w:r>
    </w:p>
    <w:p w14:paraId="0169626E" w14:textId="4C4C5BA1" w:rsidR="00BB2852" w:rsidRDefault="00BB2852" w:rsidP="00BB2852">
      <w:r>
        <w:t xml:space="preserve">Mr Ahmed’s situation presents several challenges, including language barriers, reliance on </w:t>
      </w:r>
      <w:r>
        <w:t xml:space="preserve">his </w:t>
      </w:r>
      <w:r>
        <w:t>family support, and the involvement of multiple professionals. The recent missed domiciliary care visit, which resulted in delayed medication, further exposes potential weaknesses in service coordination and accountability.</w:t>
      </w:r>
    </w:p>
    <w:p w14:paraId="42F1D9B2" w14:textId="77777777" w:rsidR="00BB2852" w:rsidRDefault="00BB2852" w:rsidP="00BB2852">
      <w:r>
        <w:t>This report will critically explore the role of communication, administrative practice, and collaborative working in relation to Mr Ahmed’s care. It will draw on relevant legislation, theoretical models, and professional frameworks to demonstrate how effective practice can improve outcomes and reduce risk within health and social care settings.</w:t>
      </w:r>
    </w:p>
    <w:p w14:paraId="5339634C" w14:textId="77777777" w:rsidR="00BB2852" w:rsidRDefault="00BB2852" w:rsidP="00BB2852"/>
    <w:p w14:paraId="5BA3338C" w14:textId="2A72A772" w:rsidR="00BB2852" w:rsidRDefault="00BB2852" w:rsidP="00BB2852">
      <w:r>
        <w:t xml:space="preserve">1. </w:t>
      </w:r>
      <w:r>
        <w:t xml:space="preserve"> The Role of </w:t>
      </w:r>
      <w:r>
        <w:t xml:space="preserve">Effective Communication in Mr Ahmed’s Care </w:t>
      </w:r>
    </w:p>
    <w:p w14:paraId="1EFD7301" w14:textId="2D099ACB" w:rsidR="00BB2852" w:rsidRDefault="00BB2852" w:rsidP="00BB2852">
      <w:r>
        <w:t xml:space="preserve">Effective communication is </w:t>
      </w:r>
      <w:r>
        <w:t xml:space="preserve">key </w:t>
      </w:r>
      <w:r>
        <w:t xml:space="preserve">to </w:t>
      </w:r>
      <w:r>
        <w:t xml:space="preserve">delivering safe </w:t>
      </w:r>
      <w:r>
        <w:t>and person-centred care, particularly in complex cases such as Mr Ahmed’s. Following a stroke, individuals may experience communication difficulties such as aphasia, alongside reduced confidence and cognitive challenges (Gibson and O’Connor, 2017). In this context, Mr Ahmed’s limited English proficiency creates an additional barrier, increasing the risk of misunderstanding, reduced autonomy, and potential harm.</w:t>
      </w:r>
    </w:p>
    <w:p w14:paraId="7C31AB7A" w14:textId="77777777" w:rsidR="00BB2852" w:rsidRDefault="00BB2852" w:rsidP="00BB2852">
      <w:r>
        <w:t>To address this, communication must be actively adapted rather than standardised. This includes simplifying language, using repetition, and incorporating visual or non-verbal methods to reinforce understanding. While Mr Ahmed’s wife plays an important role in facilitating communication, over-reliance on family members can unintentionally limit the service user’s independence and voice. Best practice requires that Mr Ahmed remains at the centre of communication, with support provided in a way that empowers rather than replaces his participation (Skills for Care, 2022).</w:t>
      </w:r>
    </w:p>
    <w:p w14:paraId="188C576A" w14:textId="77777777" w:rsidR="00BB2852" w:rsidRDefault="00BB2852" w:rsidP="00BB2852">
      <w:r>
        <w:t xml:space="preserve">The Equality Act 2010 provides a legal framework for this approach by requiring services to make reasonable adjustments to prevent discrimination (Equality Act, 2010). In Mr Ahmed’s case, this could include access to professional interpreters or culturally </w:t>
      </w:r>
      <w:r>
        <w:lastRenderedPageBreak/>
        <w:t>appropriate communication strategies. Without such adjustments, there is a risk that he may receive inequitable care due to language barriers, which would conflict with principles of fairness and inclusion.</w:t>
      </w:r>
    </w:p>
    <w:p w14:paraId="5B024D28" w14:textId="77777777" w:rsidR="00BB2852" w:rsidRDefault="00BB2852" w:rsidP="00BB2852">
      <w:r>
        <w:t>The Shannon and Weaver model of communication further helps to explain potential breakdowns in this context. The model identifies “noise” as any factor that disrupts the transmission of a message (Shannon and Weaver, 1949). For Mr Ahmed, this noise may include language differences, stroke-related impairments, and emotional distress. Recognising these barriers allows practitioners to actively reduce them, rather than assuming communication has been effective.</w:t>
      </w:r>
    </w:p>
    <w:p w14:paraId="0256D499" w14:textId="77777777" w:rsidR="00BB2852" w:rsidRDefault="00BB2852" w:rsidP="00BB2852">
      <w:r>
        <w:t>Non-verbal communication is equally significant. Eye contact, facial expression, and tone can reinforce understanding and build trust, particularly when verbal communication is limited (Gibson and O’Connor, 2017). Active listening also ensures that Mr Ahmed’s needs are acknowledged, even if they are expressed non-traditionally.</w:t>
      </w:r>
    </w:p>
    <w:p w14:paraId="5826959F" w14:textId="77777777" w:rsidR="00BB2852" w:rsidRDefault="00BB2852" w:rsidP="00BB2852">
      <w:r>
        <w:t>Critically, ineffective communication in this case could directly contribute to risks such as medication errors or unmet needs, as seen in the missed visit incident. Therefore, communication must be viewed not as a basic skill, but as a professional responsibility that directly impacts safety and quality of care (NHS England, 2023).</w:t>
      </w:r>
    </w:p>
    <w:p w14:paraId="5B46DCC3" w14:textId="77777777" w:rsidR="00BB2852" w:rsidRDefault="00BB2852" w:rsidP="00BB2852"/>
    <w:p w14:paraId="48901A2D" w14:textId="3C520422" w:rsidR="00BB2852" w:rsidRDefault="00BB2852" w:rsidP="00BB2852">
      <w:r>
        <w:t xml:space="preserve">2. </w:t>
      </w:r>
      <w:r>
        <w:t xml:space="preserve">The importance of </w:t>
      </w:r>
      <w:proofErr w:type="gramStart"/>
      <w:r>
        <w:t>Administrative</w:t>
      </w:r>
      <w:proofErr w:type="gramEnd"/>
      <w:r>
        <w:t xml:space="preserve"> </w:t>
      </w:r>
      <w:r>
        <w:t xml:space="preserve">practice </w:t>
      </w:r>
      <w:r>
        <w:t xml:space="preserve">and Record-Keeping </w:t>
      </w:r>
    </w:p>
    <w:p w14:paraId="5B491B6B" w14:textId="3D711DC3" w:rsidR="00BB2852" w:rsidRDefault="00BB2852" w:rsidP="00BB2852">
      <w:r>
        <w:t>Administrative competence is a</w:t>
      </w:r>
      <w:r w:rsidR="007C2185">
        <w:t xml:space="preserve"> key foundational </w:t>
      </w:r>
      <w:r>
        <w:t>aspect of professional practice, directly linked to patient safety, accountability, and continuity of care (NHS England, 2023). In Mr Ahmed’s case, the missed domiciliary visit highlights how failures in administrative systems can lead to significant risks, including delayed medication and potential deterioration in health.</w:t>
      </w:r>
    </w:p>
    <w:p w14:paraId="1EADC75E" w14:textId="72B0C325" w:rsidR="00BB2852" w:rsidRDefault="00BB2852" w:rsidP="00BB2852">
      <w:r>
        <w:t xml:space="preserve">Accurate and </w:t>
      </w:r>
      <w:r w:rsidR="007C2185">
        <w:t xml:space="preserve">on </w:t>
      </w:r>
      <w:r>
        <w:t>timely record-keeping ensures that all professionals involved in care have access to consistent and up-to-date information. For Mr Ahmed, this includes documentation of medication administration, care visits, clinical observations, and input from various professionals such as the district nurse and speech and language therapist. Without reliable records, communication between services becomes fragmented, increasing the likelihood of errors (Skills for Care, 2022).</w:t>
      </w:r>
    </w:p>
    <w:p w14:paraId="0BC61F6B" w14:textId="77777777" w:rsidR="00BB2852" w:rsidRDefault="00BB2852" w:rsidP="00BB2852">
      <w:r>
        <w:t>The Data Protection Act 2018, alongside UK GDPR principles, governs how personal data is handled within health and social care. It requires that information is processed lawfully, kept secure, and limited to what is necessary (Data Protection Act, 2018). In practice, this means that Mr Ahmed’s sensitive health information must be protected from unauthorised access, while still being shared appropriately among professionals involved in his care.</w:t>
      </w:r>
    </w:p>
    <w:p w14:paraId="4AAFFD2C" w14:textId="6F533476" w:rsidR="00BB2852" w:rsidRDefault="00BB2852" w:rsidP="00BB2852">
      <w:proofErr w:type="gramStart"/>
      <w:r>
        <w:lastRenderedPageBreak/>
        <w:t>A</w:t>
      </w:r>
      <w:proofErr w:type="gramEnd"/>
      <w:r>
        <w:t xml:space="preserve"> </w:t>
      </w:r>
      <w:r w:rsidR="007C2185">
        <w:t>important p</w:t>
      </w:r>
      <w:r>
        <w:t>rinciple of this legislation is accuracy. Inaccurate or incomplete records can lead to inappropriate care decisions, while timely documentation supports both safe practice and effective investigation of incidents. In the case of the missed visit, clear records are essential in identifying where the failure occurred and ensuring accountability.</w:t>
      </w:r>
    </w:p>
    <w:p w14:paraId="5C906EC1" w14:textId="0A52F6D7" w:rsidR="00BB2852" w:rsidRDefault="00BB2852" w:rsidP="00BB2852">
      <w:r>
        <w:t>The Care Act 2014 further reinforces the importance of safeguarding and quality assurance, placing a duty on care providers to ensure services are safe and responsive (Department of Health and Social Care, 2014). Effective record-keeping supports this by enabling monitoring, risk assessment, and early identification of concerns.</w:t>
      </w:r>
    </w:p>
    <w:p w14:paraId="2BF5BFED" w14:textId="77777777" w:rsidR="00BB2852" w:rsidRDefault="00BB2852" w:rsidP="00BB2852">
      <w:r>
        <w:t>From a practical perspective, administrative skills also involve organisation, time management, and attention to detail. Care workers must follow structured schedules, communicate changes promptly, and document care accurately. In Mr Ahmed’s situation, improved scheduling systems or digital tracking could have prevented the missed visit, highlighting the role of administrative processes in reducing risk.</w:t>
      </w:r>
    </w:p>
    <w:p w14:paraId="0DD0AA76" w14:textId="77777777" w:rsidR="00BB2852" w:rsidRDefault="00BB2852" w:rsidP="00BB2852">
      <w:r>
        <w:t>Critically, administrative tasks should not be viewed as secondary to care delivery. Instead, they are integral to ensuring that care is consistent, safe, and legally compliant. Weaknesses in this area can undermine even well-intentioned care practices (NHS England, 2023).</w:t>
      </w:r>
    </w:p>
    <w:p w14:paraId="19282FA9" w14:textId="77777777" w:rsidR="00BB2852" w:rsidRDefault="00BB2852" w:rsidP="00BB2852"/>
    <w:p w14:paraId="35B9221D" w14:textId="3D89D2D0" w:rsidR="00BB2852" w:rsidRDefault="00BB2852" w:rsidP="00BB2852">
      <w:r>
        <w:t xml:space="preserve">3. Collaborative Working </w:t>
      </w:r>
      <w:r>
        <w:t>and Multi-Agency Coordination in health and social care</w:t>
      </w:r>
    </w:p>
    <w:p w14:paraId="1A5E8376" w14:textId="77777777" w:rsidR="00BB2852" w:rsidRDefault="00BB2852" w:rsidP="00BB2852">
      <w:r>
        <w:t>Mr Ahmed’s care involves a multidisciplinary team, making collaborative working essential for achieving positive outcomes. Each professional contributes specific expertise, and effective coordination ensures that care is holistic rather than fragmented (Tuckman, 1965).</w:t>
      </w:r>
    </w:p>
    <w:p w14:paraId="36E5FFF0" w14:textId="77777777" w:rsidR="00BB2852" w:rsidRDefault="00BB2852" w:rsidP="00BB2852">
      <w:r>
        <w:t>Collaborative working relies on shared goals, clear communication, and mutual respect between professionals. In Mr Ahmed’s case, coordination between the GP, district nurse, care workers, and speech and language therapist ensures that both his physical recovery and communication needs are addressed. Shared care plans are a key tool in supporting this, providing a central source of information accessible to all professionals involved (NHS England, 2023).</w:t>
      </w:r>
    </w:p>
    <w:p w14:paraId="30986B43" w14:textId="77777777" w:rsidR="00BB2852" w:rsidRDefault="00BB2852" w:rsidP="00BB2852">
      <w:r>
        <w:t>However, multi-agency working is not without challenges. Differences in organisational structures, communication systems, and professional priorities can create barriers. The missed domiciliary visit may indicate a breakdown in internal communication or accountability within the care agency, demonstrating how gaps in collaboration can directly impact patient care.</w:t>
      </w:r>
    </w:p>
    <w:p w14:paraId="6257B158" w14:textId="77777777" w:rsidR="00BB2852" w:rsidRDefault="00BB2852" w:rsidP="00BB2852">
      <w:r>
        <w:t xml:space="preserve">To address these challenges, clear roles and responsibilities must be established, alongside effective communication systems. Regular updates and the use of integrated </w:t>
      </w:r>
      <w:r>
        <w:lastRenderedPageBreak/>
        <w:t>systems can improve coordination. Reflective practice is also important, allowing teams to learn from incidents and improve future performance (Skills for Care, 2022).</w:t>
      </w:r>
    </w:p>
    <w:p w14:paraId="593B6C29" w14:textId="77777777" w:rsidR="00BB2852" w:rsidRDefault="00BB2852" w:rsidP="00BB2852">
      <w:r>
        <w:t>Critically, successful collaboration requires more than simply sharing information; it involves active problem-solving and adaptability. In Mr Ahmed’s case, this approach is essential in managing both his recovery and ongoing care needs.</w:t>
      </w:r>
    </w:p>
    <w:p w14:paraId="57B15003" w14:textId="77777777" w:rsidR="00BB2852" w:rsidRDefault="00BB2852" w:rsidP="00BB2852"/>
    <w:p w14:paraId="48576B3D" w14:textId="77777777" w:rsidR="00BB2852" w:rsidRDefault="00BB2852" w:rsidP="00BB2852">
      <w:r>
        <w:t xml:space="preserve">Conclusion </w:t>
      </w:r>
    </w:p>
    <w:p w14:paraId="5CB9EF6E" w14:textId="77777777" w:rsidR="00BB2852" w:rsidRDefault="00BB2852" w:rsidP="00BB2852"/>
    <w:p w14:paraId="64233ADB" w14:textId="77777777" w:rsidR="00BB2852" w:rsidRDefault="00BB2852" w:rsidP="00BB2852">
      <w:r>
        <w:t>The case of Mr Ahmed demonstrates how communication, administrative practice, and collaborative working are interconnected elements of effective health and social care. Communication must be adaptable and inclusive to address language barriers and ensure that service users remain actively involved in their care, in line with the Equality Act 2010. At the same time, strong administrative systems and accurate record-keeping are essential for maintaining safety, accountability, and continuity, as supported by the Data Protection Act 2018.</w:t>
      </w:r>
    </w:p>
    <w:p w14:paraId="3695D2FA" w14:textId="77777777" w:rsidR="00BB2852" w:rsidRDefault="00BB2852" w:rsidP="00BB2852">
      <w:r>
        <w:t>The missed domiciliary visit highlights how failures in these areas can lead to real risks, reinforcing the importance of consistent and well-coordinated practice. Collaborative working further supports this by bringing together different professional perspectives to provide holistic care.</w:t>
      </w:r>
    </w:p>
    <w:p w14:paraId="2CCB9E7B" w14:textId="77777777" w:rsidR="00BB2852" w:rsidRDefault="00BB2852" w:rsidP="00BB2852">
      <w:r>
        <w:t>Overall, high-quality care depends on the integration of these elements, supported by legal frameworks and professional standards, to ensure safe, effective, and person-centred service delivery.</w:t>
      </w:r>
    </w:p>
    <w:p w14:paraId="6BED4BE6" w14:textId="71005A66" w:rsidR="00BB2852" w:rsidRDefault="00BB2852"/>
    <w:sectPr w:rsidR="00BB28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50B"/>
    <w:rsid w:val="000F34E8"/>
    <w:rsid w:val="001263F7"/>
    <w:rsid w:val="0036050B"/>
    <w:rsid w:val="0036072E"/>
    <w:rsid w:val="003E0469"/>
    <w:rsid w:val="00632448"/>
    <w:rsid w:val="007C2185"/>
    <w:rsid w:val="00A269F4"/>
    <w:rsid w:val="00A4002B"/>
    <w:rsid w:val="00BB2852"/>
    <w:rsid w:val="00F76F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061F2B"/>
  <w15:chartTrackingRefBased/>
  <w15:docId w15:val="{EC3D9185-3437-C04A-AAB8-DF6FAA90E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05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05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05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05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05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05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05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05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05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05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05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05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05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05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05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05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05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050B"/>
    <w:rPr>
      <w:rFonts w:eastAsiaTheme="majorEastAsia" w:cstheme="majorBidi"/>
      <w:color w:val="272727" w:themeColor="text1" w:themeTint="D8"/>
    </w:rPr>
  </w:style>
  <w:style w:type="paragraph" w:styleId="Title">
    <w:name w:val="Title"/>
    <w:basedOn w:val="Normal"/>
    <w:next w:val="Normal"/>
    <w:link w:val="TitleChar"/>
    <w:uiPriority w:val="10"/>
    <w:qFormat/>
    <w:rsid w:val="003605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05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05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05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050B"/>
    <w:pPr>
      <w:spacing w:before="160"/>
      <w:jc w:val="center"/>
    </w:pPr>
    <w:rPr>
      <w:i/>
      <w:iCs/>
      <w:color w:val="404040" w:themeColor="text1" w:themeTint="BF"/>
    </w:rPr>
  </w:style>
  <w:style w:type="character" w:customStyle="1" w:styleId="QuoteChar">
    <w:name w:val="Quote Char"/>
    <w:basedOn w:val="DefaultParagraphFont"/>
    <w:link w:val="Quote"/>
    <w:uiPriority w:val="29"/>
    <w:rsid w:val="0036050B"/>
    <w:rPr>
      <w:i/>
      <w:iCs/>
      <w:color w:val="404040" w:themeColor="text1" w:themeTint="BF"/>
    </w:rPr>
  </w:style>
  <w:style w:type="paragraph" w:styleId="ListParagraph">
    <w:name w:val="List Paragraph"/>
    <w:basedOn w:val="Normal"/>
    <w:uiPriority w:val="34"/>
    <w:qFormat/>
    <w:rsid w:val="0036050B"/>
    <w:pPr>
      <w:ind w:left="720"/>
      <w:contextualSpacing/>
    </w:pPr>
  </w:style>
  <w:style w:type="character" w:styleId="IntenseEmphasis">
    <w:name w:val="Intense Emphasis"/>
    <w:basedOn w:val="DefaultParagraphFont"/>
    <w:uiPriority w:val="21"/>
    <w:qFormat/>
    <w:rsid w:val="0036050B"/>
    <w:rPr>
      <w:i/>
      <w:iCs/>
      <w:color w:val="0F4761" w:themeColor="accent1" w:themeShade="BF"/>
    </w:rPr>
  </w:style>
  <w:style w:type="paragraph" w:styleId="IntenseQuote">
    <w:name w:val="Intense Quote"/>
    <w:basedOn w:val="Normal"/>
    <w:next w:val="Normal"/>
    <w:link w:val="IntenseQuoteChar"/>
    <w:uiPriority w:val="30"/>
    <w:qFormat/>
    <w:rsid w:val="003605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050B"/>
    <w:rPr>
      <w:i/>
      <w:iCs/>
      <w:color w:val="0F4761" w:themeColor="accent1" w:themeShade="BF"/>
    </w:rPr>
  </w:style>
  <w:style w:type="character" w:styleId="IntenseReference">
    <w:name w:val="Intense Reference"/>
    <w:basedOn w:val="DefaultParagraphFont"/>
    <w:uiPriority w:val="32"/>
    <w:qFormat/>
    <w:rsid w:val="0036050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4</Pages>
  <Words>1405</Words>
  <Characters>8010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Trinity Remaiah James (2505460)</dc:creator>
  <cp:keywords/>
  <dc:description/>
  <cp:lastModifiedBy>Trinity Remaiah James (2505460)</cp:lastModifiedBy>
  <cp:revision>1</cp:revision>
  <dcterms:created xsi:type="dcterms:W3CDTF">2026-04-20T07:59:00Z</dcterms:created>
  <dcterms:modified xsi:type="dcterms:W3CDTF">2026-04-23T23:18:00Z</dcterms:modified>
</cp:coreProperties>
</file>