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013B8" w:rsidRDefault="00AC133C" w:rsidP="00AC133C">
      <w:pPr>
        <w:jc w:val="center"/>
        <w:rPr>
          <w:rFonts w:ascii="Times New Roman" w:hAnsi="Times New Roman" w:cs="Times New Roman"/>
          <w:sz w:val="24"/>
          <w:szCs w:val="24"/>
        </w:rPr>
      </w:pPr>
      <w:r>
        <w:rPr>
          <w:rFonts w:ascii="Times New Roman" w:hAnsi="Times New Roman" w:cs="Times New Roman"/>
          <w:sz w:val="24"/>
          <w:szCs w:val="24"/>
        </w:rPr>
        <w:t>ECGE4001Q</w:t>
      </w:r>
    </w:p>
    <w:p w:rsidR="00AC133C" w:rsidRDefault="00AC133C" w:rsidP="00AC133C">
      <w:pPr>
        <w:jc w:val="center"/>
        <w:rPr>
          <w:rFonts w:ascii="Times New Roman" w:hAnsi="Times New Roman" w:cs="Times New Roman"/>
          <w:sz w:val="24"/>
          <w:szCs w:val="24"/>
        </w:rPr>
      </w:pPr>
      <w:r>
        <w:rPr>
          <w:rFonts w:ascii="Times New Roman" w:hAnsi="Times New Roman" w:cs="Times New Roman"/>
          <w:sz w:val="24"/>
          <w:szCs w:val="24"/>
        </w:rPr>
        <w:t>Assessment 1</w:t>
      </w:r>
    </w:p>
    <w:p w:rsidR="00AC133C" w:rsidRDefault="00AC133C" w:rsidP="00AC133C">
      <w:pPr>
        <w:jc w:val="center"/>
        <w:rPr>
          <w:rFonts w:ascii="Times New Roman" w:hAnsi="Times New Roman" w:cs="Times New Roman"/>
          <w:sz w:val="24"/>
          <w:szCs w:val="24"/>
        </w:rPr>
      </w:pPr>
      <w:r>
        <w:rPr>
          <w:rFonts w:ascii="Times New Roman" w:hAnsi="Times New Roman" w:cs="Times New Roman"/>
          <w:sz w:val="24"/>
          <w:szCs w:val="24"/>
        </w:rPr>
        <w:t>1907539</w:t>
      </w:r>
    </w:p>
    <w:p w:rsidR="00AC133C" w:rsidRDefault="00AC133C" w:rsidP="00AC133C">
      <w:pPr>
        <w:jc w:val="center"/>
        <w:rPr>
          <w:rFonts w:ascii="Times New Roman" w:hAnsi="Times New Roman" w:cs="Times New Roman"/>
          <w:sz w:val="24"/>
          <w:szCs w:val="24"/>
        </w:rPr>
      </w:pPr>
    </w:p>
    <w:p w:rsidR="00AC133C" w:rsidRDefault="00AC133C" w:rsidP="00AC133C">
      <w:pPr>
        <w:jc w:val="both"/>
        <w:rPr>
          <w:rFonts w:ascii="Times New Roman" w:hAnsi="Times New Roman" w:cs="Times New Roman"/>
          <w:sz w:val="24"/>
          <w:szCs w:val="24"/>
        </w:rPr>
      </w:pPr>
      <w:r>
        <w:rPr>
          <w:rFonts w:ascii="Times New Roman" w:hAnsi="Times New Roman" w:cs="Times New Roman"/>
          <w:sz w:val="24"/>
          <w:szCs w:val="24"/>
        </w:rPr>
        <w:t xml:space="preserve">Poverty is assumed to be when a person doesn’t have a lot of money or possessions, which results in them being unable to take care of their basic needs. Many academics argue with this assumption, believing that poverty doesn’t just have one definition and that it’s not just someone that doesn’t have a lot to live on. </w:t>
      </w:r>
    </w:p>
    <w:p w:rsidR="00AC133C" w:rsidRDefault="00AC133C" w:rsidP="00AC133C">
      <w:pPr>
        <w:jc w:val="both"/>
        <w:rPr>
          <w:rFonts w:ascii="Times New Roman" w:hAnsi="Times New Roman" w:cs="Times New Roman"/>
          <w:sz w:val="24"/>
          <w:szCs w:val="24"/>
        </w:rPr>
      </w:pPr>
      <w:r>
        <w:rPr>
          <w:rFonts w:ascii="Times New Roman" w:hAnsi="Times New Roman" w:cs="Times New Roman"/>
          <w:sz w:val="24"/>
          <w:szCs w:val="24"/>
        </w:rPr>
        <w:t>(Lister, 2004) states that how we talk about poverty and the definition of the word are two totally different things. Listers idea is that “</w:t>
      </w:r>
      <w:r w:rsidRPr="00AC133C">
        <w:rPr>
          <w:rFonts w:ascii="Times New Roman" w:hAnsi="Times New Roman" w:cs="Times New Roman"/>
          <w:i/>
          <w:sz w:val="24"/>
          <w:szCs w:val="24"/>
        </w:rPr>
        <w:t>in essence about the meanings of poverty, both to those who experience it and to different groups in society</w:t>
      </w:r>
      <w:r>
        <w:rPr>
          <w:rFonts w:ascii="Times New Roman" w:hAnsi="Times New Roman" w:cs="Times New Roman"/>
          <w:sz w:val="24"/>
          <w:szCs w:val="24"/>
        </w:rPr>
        <w:t>”</w:t>
      </w:r>
      <w:r w:rsidR="003A4399">
        <w:rPr>
          <w:rFonts w:ascii="Times New Roman" w:hAnsi="Times New Roman" w:cs="Times New Roman"/>
          <w:sz w:val="24"/>
          <w:szCs w:val="24"/>
        </w:rPr>
        <w:t xml:space="preserve"> (Lister, p.4). Whether poverty is just an academic question or if it’s there’s more to that is up for debate. In order to understand what type of poverty it is, you must understand the two types of poverty that exists. If for example someone doesn’t have a lot of possessions it could be defined in many different ways. Poverty is </w:t>
      </w:r>
      <w:r w:rsidR="0051243A">
        <w:rPr>
          <w:rFonts w:ascii="Times New Roman" w:hAnsi="Times New Roman" w:cs="Times New Roman"/>
          <w:sz w:val="24"/>
          <w:szCs w:val="24"/>
        </w:rPr>
        <w:t xml:space="preserve">attempted to be </w:t>
      </w:r>
      <w:r w:rsidR="003A4399">
        <w:rPr>
          <w:rFonts w:ascii="Times New Roman" w:hAnsi="Times New Roman" w:cs="Times New Roman"/>
          <w:sz w:val="24"/>
          <w:szCs w:val="24"/>
        </w:rPr>
        <w:t xml:space="preserve">measured </w:t>
      </w:r>
      <w:r w:rsidR="0051243A">
        <w:rPr>
          <w:rFonts w:ascii="Times New Roman" w:hAnsi="Times New Roman" w:cs="Times New Roman"/>
          <w:sz w:val="24"/>
          <w:szCs w:val="24"/>
        </w:rPr>
        <w:t xml:space="preserve">so we are aware of how bad it is around the world. A lot of authors have their own theories of what they think poverty is and how to </w:t>
      </w:r>
      <w:bookmarkStart w:id="0" w:name="_GoBack"/>
      <w:bookmarkEnd w:id="0"/>
      <w:r w:rsidR="0051243A">
        <w:rPr>
          <w:rFonts w:ascii="Times New Roman" w:hAnsi="Times New Roman" w:cs="Times New Roman"/>
          <w:sz w:val="24"/>
          <w:szCs w:val="24"/>
        </w:rPr>
        <w:t xml:space="preserve">measure it with numbers but should </w:t>
      </w:r>
      <w:r w:rsidR="00305C3C">
        <w:rPr>
          <w:rFonts w:ascii="Times New Roman" w:hAnsi="Times New Roman" w:cs="Times New Roman"/>
          <w:sz w:val="24"/>
          <w:szCs w:val="24"/>
        </w:rPr>
        <w:t>have</w:t>
      </w:r>
      <w:r w:rsidR="0051243A">
        <w:rPr>
          <w:rFonts w:ascii="Times New Roman" w:hAnsi="Times New Roman" w:cs="Times New Roman"/>
          <w:sz w:val="24"/>
          <w:szCs w:val="24"/>
        </w:rPr>
        <w:t xml:space="preserve"> done more research on the situation and what poverty actually means so their books could be more accurate.</w:t>
      </w:r>
    </w:p>
    <w:p w:rsidR="0051243A" w:rsidRDefault="0051243A" w:rsidP="00AC133C">
      <w:pPr>
        <w:jc w:val="both"/>
        <w:rPr>
          <w:rFonts w:ascii="Times New Roman" w:hAnsi="Times New Roman" w:cs="Times New Roman"/>
          <w:sz w:val="24"/>
          <w:szCs w:val="24"/>
        </w:rPr>
      </w:pPr>
      <w:r w:rsidRPr="000E79D3">
        <w:rPr>
          <w:rFonts w:ascii="Times New Roman" w:hAnsi="Times New Roman" w:cs="Times New Roman"/>
          <w:sz w:val="24"/>
          <w:szCs w:val="24"/>
        </w:rPr>
        <w:t>Charles Booth’s 1</w:t>
      </w:r>
      <w:r w:rsidR="000E79D3" w:rsidRPr="000E79D3">
        <w:rPr>
          <w:rFonts w:ascii="Times New Roman" w:hAnsi="Times New Roman" w:cs="Times New Roman"/>
          <w:sz w:val="24"/>
          <w:szCs w:val="24"/>
        </w:rPr>
        <w:t>89</w:t>
      </w:r>
      <w:r w:rsidRPr="000E79D3">
        <w:rPr>
          <w:rFonts w:ascii="Times New Roman" w:hAnsi="Times New Roman" w:cs="Times New Roman"/>
          <w:sz w:val="24"/>
          <w:szCs w:val="24"/>
        </w:rPr>
        <w:t>7 survey of London in the 1880s</w:t>
      </w:r>
      <w:r>
        <w:rPr>
          <w:rFonts w:ascii="Times New Roman" w:hAnsi="Times New Roman" w:cs="Times New Roman"/>
          <w:sz w:val="24"/>
          <w:szCs w:val="24"/>
        </w:rPr>
        <w:t xml:space="preserve"> is the first actually attempt of gathering information on poverty around the UK. (Booth) said to the public that there is a line known as the line of poverty which couldn’t be crossed and saw poverty as </w:t>
      </w:r>
      <w:r w:rsidR="00DB6FD7">
        <w:rPr>
          <w:rFonts w:ascii="Times New Roman" w:hAnsi="Times New Roman" w:cs="Times New Roman"/>
          <w:sz w:val="24"/>
          <w:szCs w:val="24"/>
        </w:rPr>
        <w:t xml:space="preserve">something that made individuals with very little unhappy: </w:t>
      </w:r>
    </w:p>
    <w:p w:rsidR="00DB6FD7" w:rsidRDefault="00DB6FD7" w:rsidP="00DF56BF">
      <w:pPr>
        <w:jc w:val="center"/>
        <w:rPr>
          <w:rFonts w:ascii="Times New Roman" w:hAnsi="Times New Roman" w:cs="Times New Roman"/>
          <w:sz w:val="24"/>
          <w:szCs w:val="24"/>
        </w:rPr>
      </w:pPr>
      <w:r w:rsidRPr="00DF56BF">
        <w:rPr>
          <w:rFonts w:ascii="Times New Roman" w:hAnsi="Times New Roman" w:cs="Times New Roman"/>
          <w:i/>
          <w:sz w:val="24"/>
          <w:szCs w:val="24"/>
        </w:rPr>
        <w:t xml:space="preserve">“By the word poor I mean to describe those who have a </w:t>
      </w:r>
      <w:r w:rsidR="00DF56BF" w:rsidRPr="00DF56BF">
        <w:rPr>
          <w:rFonts w:ascii="Times New Roman" w:hAnsi="Times New Roman" w:cs="Times New Roman"/>
          <w:i/>
          <w:sz w:val="24"/>
          <w:szCs w:val="24"/>
        </w:rPr>
        <w:t>fairly</w:t>
      </w:r>
      <w:r w:rsidRPr="00DF56BF">
        <w:rPr>
          <w:rFonts w:ascii="Times New Roman" w:hAnsi="Times New Roman" w:cs="Times New Roman"/>
          <w:i/>
          <w:sz w:val="24"/>
          <w:szCs w:val="24"/>
        </w:rPr>
        <w:t xml:space="preserve"> regular bare income, such as 18 shillings to 2 shillings per week for a moderate family, and by ‘very poor’ those</w:t>
      </w:r>
      <w:r w:rsidR="00DF56BF" w:rsidRPr="00DF56BF">
        <w:rPr>
          <w:rFonts w:ascii="Times New Roman" w:hAnsi="Times New Roman" w:cs="Times New Roman"/>
          <w:i/>
          <w:sz w:val="24"/>
          <w:szCs w:val="24"/>
        </w:rPr>
        <w:t xml:space="preserve"> who fall below this standard, whether from chronic irregularity of work, sickness or a large number of young children</w:t>
      </w:r>
      <w:r w:rsidR="000E79D3" w:rsidRPr="000E79D3">
        <w:rPr>
          <w:rFonts w:ascii="Times New Roman" w:hAnsi="Times New Roman" w:cs="Times New Roman"/>
          <w:i/>
          <w:sz w:val="24"/>
          <w:szCs w:val="24"/>
        </w:rPr>
        <w:t>”(</w:t>
      </w:r>
      <w:r w:rsidR="00DF56BF" w:rsidRPr="000E79D3">
        <w:rPr>
          <w:rFonts w:ascii="Times New Roman" w:hAnsi="Times New Roman" w:cs="Times New Roman"/>
          <w:sz w:val="24"/>
          <w:szCs w:val="24"/>
        </w:rPr>
        <w:t xml:space="preserve"> Glennerster 2004).</w:t>
      </w:r>
    </w:p>
    <w:p w:rsidR="00DF56BF" w:rsidRDefault="000E79D3" w:rsidP="00DF56BF">
      <w:pPr>
        <w:jc w:val="both"/>
        <w:rPr>
          <w:rFonts w:ascii="Times New Roman" w:hAnsi="Times New Roman" w:cs="Times New Roman"/>
          <w:sz w:val="24"/>
          <w:szCs w:val="24"/>
        </w:rPr>
      </w:pPr>
      <w:r w:rsidRPr="000E79D3">
        <w:rPr>
          <w:rFonts w:ascii="Times New Roman" w:hAnsi="Times New Roman" w:cs="Times New Roman"/>
          <w:sz w:val="24"/>
          <w:szCs w:val="24"/>
        </w:rPr>
        <w:t>(</w:t>
      </w:r>
      <w:r>
        <w:rPr>
          <w:rFonts w:ascii="Times New Roman" w:hAnsi="Times New Roman" w:cs="Times New Roman"/>
          <w:sz w:val="24"/>
          <w:szCs w:val="24"/>
        </w:rPr>
        <w:t xml:space="preserve">Gillie, </w:t>
      </w:r>
      <w:r w:rsidR="00DF56BF" w:rsidRPr="000E79D3">
        <w:rPr>
          <w:rFonts w:ascii="Times New Roman" w:hAnsi="Times New Roman" w:cs="Times New Roman"/>
          <w:sz w:val="24"/>
          <w:szCs w:val="24"/>
        </w:rPr>
        <w:t xml:space="preserve">1996) states that he used this to make people see what he what he meant. </w:t>
      </w:r>
      <w:r w:rsidRPr="000E79D3">
        <w:rPr>
          <w:rFonts w:ascii="Times New Roman" w:hAnsi="Times New Roman" w:cs="Times New Roman"/>
          <w:sz w:val="24"/>
          <w:szCs w:val="24"/>
        </w:rPr>
        <w:t xml:space="preserve">(Booth, </w:t>
      </w:r>
      <w:r w:rsidR="00DF56BF" w:rsidRPr="000E79D3">
        <w:rPr>
          <w:rFonts w:ascii="Times New Roman" w:hAnsi="Times New Roman" w:cs="Times New Roman"/>
          <w:sz w:val="24"/>
          <w:szCs w:val="24"/>
        </w:rPr>
        <w:t>1987)</w:t>
      </w:r>
      <w:r w:rsidR="00DF56BF">
        <w:rPr>
          <w:rFonts w:ascii="Times New Roman" w:hAnsi="Times New Roman" w:cs="Times New Roman"/>
          <w:sz w:val="24"/>
          <w:szCs w:val="24"/>
        </w:rPr>
        <w:t xml:space="preserve"> went on to use this in his research and conducted his own theory on what he thought poverty meant. He theor</w:t>
      </w:r>
      <w:r w:rsidR="005A593C">
        <w:rPr>
          <w:rFonts w:ascii="Times New Roman" w:hAnsi="Times New Roman" w:cs="Times New Roman"/>
          <w:sz w:val="24"/>
          <w:szCs w:val="24"/>
        </w:rPr>
        <w:t xml:space="preserve">ized, just like </w:t>
      </w:r>
      <w:r w:rsidR="005A593C" w:rsidRPr="000E79D3">
        <w:rPr>
          <w:rFonts w:ascii="Times New Roman" w:hAnsi="Times New Roman" w:cs="Times New Roman"/>
          <w:sz w:val="24"/>
          <w:szCs w:val="24"/>
        </w:rPr>
        <w:t xml:space="preserve">Gillie’s </w:t>
      </w:r>
      <w:r w:rsidRPr="00225CE9">
        <w:rPr>
          <w:rFonts w:ascii="Times New Roman" w:hAnsi="Times New Roman" w:cs="Times New Roman"/>
          <w:sz w:val="24"/>
          <w:szCs w:val="24"/>
        </w:rPr>
        <w:t>‘</w:t>
      </w:r>
      <w:r w:rsidRPr="000E79D3">
        <w:rPr>
          <w:rFonts w:ascii="Times New Roman" w:hAnsi="Times New Roman" w:cs="Times New Roman"/>
          <w:i/>
          <w:sz w:val="24"/>
          <w:szCs w:val="24"/>
        </w:rPr>
        <w:t xml:space="preserve">The Origin of the Poverty </w:t>
      </w:r>
      <w:r w:rsidRPr="000E79D3">
        <w:rPr>
          <w:rFonts w:ascii="Times New Roman" w:hAnsi="Times New Roman" w:cs="Times New Roman"/>
          <w:i/>
          <w:sz w:val="24"/>
          <w:szCs w:val="24"/>
        </w:rPr>
        <w:t>Line</w:t>
      </w:r>
      <w:r>
        <w:rPr>
          <w:rFonts w:ascii="Times New Roman" w:hAnsi="Times New Roman" w:cs="Times New Roman"/>
          <w:sz w:val="24"/>
          <w:szCs w:val="24"/>
        </w:rPr>
        <w:t>’ that</w:t>
      </w:r>
      <w:r w:rsidR="005A593C">
        <w:rPr>
          <w:rFonts w:ascii="Times New Roman" w:hAnsi="Times New Roman" w:cs="Times New Roman"/>
          <w:sz w:val="24"/>
          <w:szCs w:val="24"/>
        </w:rPr>
        <w:t xml:space="preserve"> one of the biggest issues of poverty was that there are too many people living in small homes as their employers weren’t paying them enough. While this theory looked into the money side of things, like living standards, the conditions of the houses instead of things like jobs or the children’s health or whether or not they’d be able to attend school. Booth argued that low income was the main issue that made people poor. He also b</w:t>
      </w:r>
      <w:r w:rsidR="00DE6F03">
        <w:rPr>
          <w:rFonts w:ascii="Times New Roman" w:hAnsi="Times New Roman" w:cs="Times New Roman"/>
          <w:sz w:val="24"/>
          <w:szCs w:val="24"/>
        </w:rPr>
        <w:t>lamed things such as “drink and thriftlessness” but sees that as a less common problem.</w:t>
      </w:r>
      <w:r w:rsidR="00074879">
        <w:rPr>
          <w:rFonts w:ascii="Times New Roman" w:hAnsi="Times New Roman" w:cs="Times New Roman"/>
          <w:sz w:val="24"/>
          <w:szCs w:val="24"/>
        </w:rPr>
        <w:t xml:space="preserve"> </w:t>
      </w:r>
      <w:r w:rsidR="008E0E18" w:rsidRPr="008E0E18">
        <w:rPr>
          <w:rFonts w:ascii="Times New Roman" w:hAnsi="Times New Roman" w:cs="Times New Roman"/>
          <w:sz w:val="24"/>
          <w:szCs w:val="24"/>
        </w:rPr>
        <w:t>(Booth, 1897)</w:t>
      </w:r>
    </w:p>
    <w:p w:rsidR="00074879" w:rsidRDefault="002C53D4" w:rsidP="00DF56BF">
      <w:pPr>
        <w:jc w:val="both"/>
        <w:rPr>
          <w:rFonts w:ascii="Times New Roman" w:hAnsi="Times New Roman" w:cs="Times New Roman"/>
          <w:sz w:val="24"/>
          <w:szCs w:val="24"/>
        </w:rPr>
      </w:pPr>
      <w:r>
        <w:rPr>
          <w:rFonts w:ascii="Times New Roman" w:hAnsi="Times New Roman" w:cs="Times New Roman"/>
          <w:sz w:val="24"/>
          <w:szCs w:val="24"/>
        </w:rPr>
        <w:t>Seebohm Rowntree attempted</w:t>
      </w:r>
      <w:r w:rsidR="00074879">
        <w:rPr>
          <w:rFonts w:ascii="Times New Roman" w:hAnsi="Times New Roman" w:cs="Times New Roman"/>
          <w:sz w:val="24"/>
          <w:szCs w:val="24"/>
        </w:rPr>
        <w:t xml:space="preserve"> the same research on poverty in York</w:t>
      </w:r>
      <w:r w:rsidR="00894B1E">
        <w:rPr>
          <w:rFonts w:ascii="Times New Roman" w:hAnsi="Times New Roman" w:cs="Times New Roman"/>
          <w:sz w:val="24"/>
          <w:szCs w:val="24"/>
        </w:rPr>
        <w:t xml:space="preserve"> in 1899. (Veit-Wilson, 1986</w:t>
      </w:r>
      <w:r w:rsidR="00074879">
        <w:rPr>
          <w:rFonts w:ascii="Times New Roman" w:hAnsi="Times New Roman" w:cs="Times New Roman"/>
          <w:sz w:val="24"/>
          <w:szCs w:val="24"/>
        </w:rPr>
        <w:t>) asked the public if their families were living in poverty although his focus wasn’</w:t>
      </w:r>
      <w:r>
        <w:rPr>
          <w:rFonts w:ascii="Times New Roman" w:hAnsi="Times New Roman" w:cs="Times New Roman"/>
          <w:sz w:val="24"/>
          <w:szCs w:val="24"/>
        </w:rPr>
        <w:t xml:space="preserve">t on money unlike he initiated (Rowntree, p.114). In comparison to Booth, </w:t>
      </w:r>
      <w:r w:rsidR="00894B1E">
        <w:rPr>
          <w:rFonts w:ascii="Times New Roman" w:hAnsi="Times New Roman" w:cs="Times New Roman"/>
          <w:sz w:val="24"/>
          <w:szCs w:val="24"/>
        </w:rPr>
        <w:t>Rowntree’s</w:t>
      </w:r>
      <w:r>
        <w:rPr>
          <w:rFonts w:ascii="Times New Roman" w:hAnsi="Times New Roman" w:cs="Times New Roman"/>
          <w:sz w:val="24"/>
          <w:szCs w:val="24"/>
        </w:rPr>
        <w:t xml:space="preserve"> money based poverty line was developed after the survey so he could see the difference between families in poverty that was primary; those who can’t afford necessities on their money, and secondary; those who can afford these things but aren’t spending it on other things. </w:t>
      </w:r>
    </w:p>
    <w:p w:rsidR="00A07D86" w:rsidRDefault="00321B0F" w:rsidP="00321B0F">
      <w:pPr>
        <w:jc w:val="both"/>
        <w:rPr>
          <w:rFonts w:ascii="Times New Roman" w:hAnsi="Times New Roman" w:cs="Times New Roman"/>
          <w:sz w:val="24"/>
          <w:szCs w:val="24"/>
        </w:rPr>
      </w:pPr>
      <w:r>
        <w:rPr>
          <w:rFonts w:ascii="Times New Roman" w:hAnsi="Times New Roman" w:cs="Times New Roman"/>
          <w:sz w:val="24"/>
          <w:szCs w:val="24"/>
        </w:rPr>
        <w:lastRenderedPageBreak/>
        <w:t xml:space="preserve">Rowntree looks into the primary poor and the concept of not having enough money for their basic needs. This helped him come to the conclusion that the definition of poverty is those who cannot afford essentials to keep them </w:t>
      </w:r>
      <w:r w:rsidR="008E0E18">
        <w:rPr>
          <w:rFonts w:ascii="Times New Roman" w:hAnsi="Times New Roman" w:cs="Times New Roman"/>
          <w:sz w:val="24"/>
          <w:szCs w:val="24"/>
        </w:rPr>
        <w:t>living a normal life (Rowntree</w:t>
      </w:r>
      <w:r w:rsidR="00A07D86">
        <w:rPr>
          <w:rFonts w:ascii="Times New Roman" w:hAnsi="Times New Roman" w:cs="Times New Roman"/>
          <w:sz w:val="24"/>
          <w:szCs w:val="24"/>
        </w:rPr>
        <w:t>, 19</w:t>
      </w:r>
      <w:r w:rsidR="00BD6A90">
        <w:rPr>
          <w:rFonts w:ascii="Times New Roman" w:hAnsi="Times New Roman" w:cs="Times New Roman"/>
          <w:sz w:val="24"/>
          <w:szCs w:val="24"/>
        </w:rPr>
        <w:t>01). This approach was then widely used, first by social scient</w:t>
      </w:r>
      <w:r w:rsidR="00A07D86">
        <w:rPr>
          <w:rFonts w:ascii="Times New Roman" w:hAnsi="Times New Roman" w:cs="Times New Roman"/>
          <w:sz w:val="24"/>
          <w:szCs w:val="24"/>
        </w:rPr>
        <w:t xml:space="preserve">ists and then by the government (Abel-Smith &amp; Townsend, 1965). Rowntree’s second survey in 1936, widened the understanding of necessities, by including things like radios, newspapers and gifts for children, but that the underlying concept of poverty are things that are needed on a daily basis to survive, rather than want. </w:t>
      </w:r>
    </w:p>
    <w:p w:rsidR="00321B0F" w:rsidRDefault="00A07D86" w:rsidP="00321B0F">
      <w:pPr>
        <w:jc w:val="both"/>
        <w:rPr>
          <w:rFonts w:ascii="Times New Roman" w:hAnsi="Times New Roman" w:cs="Times New Roman"/>
          <w:sz w:val="24"/>
          <w:szCs w:val="24"/>
        </w:rPr>
      </w:pPr>
      <w:r>
        <w:rPr>
          <w:rFonts w:ascii="Times New Roman" w:hAnsi="Times New Roman" w:cs="Times New Roman"/>
          <w:sz w:val="24"/>
          <w:szCs w:val="24"/>
        </w:rPr>
        <w:t xml:space="preserve">Booth and Rowntree’s concept of poverty </w:t>
      </w:r>
      <w:r w:rsidR="00924983">
        <w:rPr>
          <w:rFonts w:ascii="Times New Roman" w:hAnsi="Times New Roman" w:cs="Times New Roman"/>
          <w:sz w:val="24"/>
          <w:szCs w:val="24"/>
        </w:rPr>
        <w:t>was so widely known around the world, that many writers have gone into depth about the subject without giving credit to them for teaching them about it. (Abel-Smith &amp; Townsend, 1965) own work opts to use the National Assistance rates as the poverty line and includes a discussion of whether a money in or money out data gives a more accurate measure of standard living but leaves the idea that poverty is just about the amount of things people own. (Hills, 2004) book ‘</w:t>
      </w:r>
      <w:r w:rsidR="00924983" w:rsidRPr="00924983">
        <w:rPr>
          <w:rFonts w:ascii="Times New Roman" w:hAnsi="Times New Roman" w:cs="Times New Roman"/>
          <w:sz w:val="24"/>
          <w:szCs w:val="24"/>
        </w:rPr>
        <w:t>Inequality and the state</w:t>
      </w:r>
      <w:r w:rsidR="00924983">
        <w:rPr>
          <w:rFonts w:ascii="Times New Roman" w:hAnsi="Times New Roman" w:cs="Times New Roman"/>
          <w:sz w:val="24"/>
          <w:szCs w:val="24"/>
        </w:rPr>
        <w:t xml:space="preserve">’ contains extended chats about different approaches to the definition of poverty and the measurements that prove that poverty is much more than someone not having enough resources to live on. </w:t>
      </w:r>
      <w:r w:rsidR="004C32EC">
        <w:rPr>
          <w:rFonts w:ascii="Times New Roman" w:hAnsi="Times New Roman" w:cs="Times New Roman"/>
          <w:sz w:val="24"/>
          <w:szCs w:val="24"/>
        </w:rPr>
        <w:t xml:space="preserve">(Niemiez, 2011) builds an extended critique of the UK’s official approach to the poverty movement, and the relative income measure in particular, but doesn’t go into much detail about how poverty isn’t just about the amount of possessions someone owns. </w:t>
      </w:r>
    </w:p>
    <w:p w:rsidR="004C32EC" w:rsidRDefault="004C32EC" w:rsidP="00321B0F">
      <w:pPr>
        <w:jc w:val="both"/>
        <w:rPr>
          <w:rFonts w:ascii="Times New Roman" w:hAnsi="Times New Roman" w:cs="Times New Roman"/>
          <w:sz w:val="24"/>
          <w:szCs w:val="24"/>
        </w:rPr>
      </w:pPr>
      <w:r>
        <w:rPr>
          <w:rFonts w:ascii="Times New Roman" w:hAnsi="Times New Roman" w:cs="Times New Roman"/>
          <w:sz w:val="24"/>
          <w:szCs w:val="24"/>
        </w:rPr>
        <w:t>(Townsend, 1979) made an enormously influential contribution in taking an unstated relatable approach to thinking about needs, and also called for a wider concept of ‘necessities’ to replace ‘salary’, explaining that so many individuals and families are living in poverty.</w:t>
      </w:r>
    </w:p>
    <w:p w:rsidR="005F3527" w:rsidRDefault="005F3527" w:rsidP="005F3527">
      <w:pPr>
        <w:jc w:val="center"/>
        <w:rPr>
          <w:rFonts w:ascii="Times New Roman" w:hAnsi="Times New Roman" w:cs="Times New Roman"/>
          <w:i/>
          <w:sz w:val="24"/>
          <w:szCs w:val="24"/>
        </w:rPr>
      </w:pPr>
      <w:r w:rsidRPr="005F3527">
        <w:rPr>
          <w:rFonts w:ascii="Times New Roman" w:hAnsi="Times New Roman" w:cs="Times New Roman"/>
          <w:i/>
          <w:sz w:val="24"/>
          <w:szCs w:val="24"/>
        </w:rPr>
        <w:t>“When they lack the resources to obtain the types of diet, participate in the activities and have the living conditions and amenities which are customary in the societies to which they belong” (Townsend, 1979).</w:t>
      </w:r>
    </w:p>
    <w:p w:rsidR="005F3527" w:rsidRPr="005F3527" w:rsidRDefault="005F3527" w:rsidP="005F3527">
      <w:pPr>
        <w:jc w:val="both"/>
        <w:rPr>
          <w:rFonts w:ascii="Times New Roman" w:hAnsi="Times New Roman" w:cs="Times New Roman"/>
          <w:sz w:val="24"/>
          <w:szCs w:val="24"/>
        </w:rPr>
      </w:pPr>
      <w:r>
        <w:rPr>
          <w:rFonts w:ascii="Times New Roman" w:hAnsi="Times New Roman" w:cs="Times New Roman"/>
          <w:sz w:val="24"/>
          <w:szCs w:val="24"/>
        </w:rPr>
        <w:t xml:space="preserve">Yet nearly almost all of what he lists as resources is just material such as salary, possessions and home production. Although he also added the value of public social services such as health and education where he hints at a multidimensional approach, he has not developed this any further in his book. In his later work he clearly distinguishes the differences of poverty and wider deprivation, including social deprivation, isolation, discrimination, and lack of opportunities for education or employment. He argues that the concept of poverty that is to do with lack of resources is one of the key factors that can lead to deprivation. </w:t>
      </w:r>
      <w:r w:rsidRPr="00305C3C">
        <w:rPr>
          <w:rFonts w:ascii="Times New Roman" w:hAnsi="Times New Roman" w:cs="Times New Roman"/>
          <w:i/>
          <w:sz w:val="24"/>
          <w:szCs w:val="24"/>
        </w:rPr>
        <w:t>“Deprivation turns on the level of conditions or activities</w:t>
      </w:r>
      <w:r w:rsidR="00305C3C" w:rsidRPr="00305C3C">
        <w:rPr>
          <w:rFonts w:ascii="Times New Roman" w:hAnsi="Times New Roman" w:cs="Times New Roman"/>
          <w:i/>
          <w:sz w:val="24"/>
          <w:szCs w:val="24"/>
        </w:rPr>
        <w:t xml:space="preserve"> experienced, on the incomes and other resources directly available”</w:t>
      </w:r>
      <w:r w:rsidR="00305C3C">
        <w:rPr>
          <w:rFonts w:ascii="Times New Roman" w:hAnsi="Times New Roman" w:cs="Times New Roman"/>
          <w:sz w:val="24"/>
          <w:szCs w:val="24"/>
        </w:rPr>
        <w:t xml:space="preserve"> (Townsend, 1987).</w:t>
      </w:r>
    </w:p>
    <w:p w:rsidR="00225CE9" w:rsidRDefault="00225CE9" w:rsidP="00321B0F">
      <w:pPr>
        <w:jc w:val="both"/>
        <w:rPr>
          <w:rFonts w:ascii="Times New Roman" w:hAnsi="Times New Roman" w:cs="Times New Roman"/>
          <w:sz w:val="24"/>
          <w:szCs w:val="24"/>
        </w:rPr>
      </w:pPr>
    </w:p>
    <w:p w:rsidR="00225CE9" w:rsidRDefault="00225CE9" w:rsidP="00321B0F">
      <w:pPr>
        <w:jc w:val="both"/>
        <w:rPr>
          <w:rFonts w:ascii="Times New Roman" w:hAnsi="Times New Roman" w:cs="Times New Roman"/>
          <w:sz w:val="24"/>
          <w:szCs w:val="24"/>
        </w:rPr>
      </w:pPr>
    </w:p>
    <w:p w:rsidR="00225CE9" w:rsidRDefault="00225CE9" w:rsidP="00321B0F">
      <w:pPr>
        <w:jc w:val="both"/>
        <w:rPr>
          <w:rFonts w:ascii="Times New Roman" w:hAnsi="Times New Roman" w:cs="Times New Roman"/>
          <w:sz w:val="24"/>
          <w:szCs w:val="24"/>
        </w:rPr>
      </w:pPr>
    </w:p>
    <w:p w:rsidR="00225CE9" w:rsidRDefault="00225CE9" w:rsidP="00321B0F">
      <w:pPr>
        <w:jc w:val="both"/>
        <w:rPr>
          <w:rFonts w:ascii="Times New Roman" w:hAnsi="Times New Roman" w:cs="Times New Roman"/>
          <w:sz w:val="24"/>
          <w:szCs w:val="24"/>
        </w:rPr>
      </w:pPr>
    </w:p>
    <w:p w:rsidR="00225CE9" w:rsidRDefault="00225CE9" w:rsidP="00321B0F">
      <w:pPr>
        <w:jc w:val="both"/>
        <w:rPr>
          <w:rFonts w:ascii="Times New Roman" w:hAnsi="Times New Roman" w:cs="Times New Roman"/>
          <w:sz w:val="24"/>
          <w:szCs w:val="24"/>
        </w:rPr>
      </w:pPr>
    </w:p>
    <w:p w:rsidR="00305C3C" w:rsidRDefault="00305C3C" w:rsidP="00225CE9">
      <w:pPr>
        <w:spacing w:after="0" w:line="360" w:lineRule="auto"/>
        <w:jc w:val="both"/>
        <w:rPr>
          <w:rFonts w:ascii="Times New Roman" w:hAnsi="Times New Roman" w:cs="Times New Roman"/>
          <w:sz w:val="24"/>
          <w:szCs w:val="24"/>
        </w:rPr>
      </w:pPr>
    </w:p>
    <w:p w:rsidR="00225CE9" w:rsidRPr="00225CE9" w:rsidRDefault="00225CE9" w:rsidP="00225CE9">
      <w:pPr>
        <w:spacing w:after="0" w:line="360" w:lineRule="auto"/>
        <w:jc w:val="both"/>
        <w:rPr>
          <w:rFonts w:ascii="Times New Roman" w:hAnsi="Times New Roman" w:cs="Times New Roman"/>
          <w:b/>
          <w:sz w:val="24"/>
          <w:szCs w:val="24"/>
        </w:rPr>
      </w:pPr>
      <w:r w:rsidRPr="00225CE9">
        <w:rPr>
          <w:rFonts w:ascii="Times New Roman" w:hAnsi="Times New Roman" w:cs="Times New Roman"/>
          <w:b/>
          <w:sz w:val="24"/>
          <w:szCs w:val="24"/>
        </w:rPr>
        <w:lastRenderedPageBreak/>
        <w:t>Reference List:</w:t>
      </w:r>
    </w:p>
    <w:p w:rsidR="00225CE9" w:rsidRPr="00225CE9" w:rsidRDefault="00225CE9" w:rsidP="00225CE9">
      <w:pPr>
        <w:spacing w:after="0" w:line="360" w:lineRule="auto"/>
        <w:ind w:left="720" w:hanging="720"/>
        <w:rPr>
          <w:rFonts w:ascii="Times New Roman" w:hAnsi="Times New Roman" w:cs="Times New Roman"/>
          <w:sz w:val="24"/>
          <w:szCs w:val="24"/>
        </w:rPr>
      </w:pPr>
    </w:p>
    <w:p w:rsidR="00225CE9" w:rsidRPr="00225CE9" w:rsidRDefault="00894B1E" w:rsidP="00225CE9">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Abel-Smith, B., &amp; </w:t>
      </w:r>
      <w:r w:rsidR="00225CE9" w:rsidRPr="00225CE9">
        <w:rPr>
          <w:rFonts w:ascii="Times New Roman" w:hAnsi="Times New Roman" w:cs="Times New Roman"/>
          <w:sz w:val="24"/>
          <w:szCs w:val="24"/>
        </w:rPr>
        <w:t>Townsend, P. (1965). ‘</w:t>
      </w:r>
      <w:r w:rsidR="00225CE9" w:rsidRPr="00894B1E">
        <w:rPr>
          <w:rFonts w:ascii="Times New Roman" w:hAnsi="Times New Roman" w:cs="Times New Roman"/>
          <w:i/>
          <w:sz w:val="24"/>
          <w:szCs w:val="24"/>
        </w:rPr>
        <w:t>The Poor and the Poorest’</w:t>
      </w:r>
      <w:r w:rsidR="00225CE9" w:rsidRPr="00225CE9">
        <w:rPr>
          <w:rFonts w:ascii="Times New Roman" w:hAnsi="Times New Roman" w:cs="Times New Roman"/>
          <w:i/>
          <w:sz w:val="24"/>
          <w:szCs w:val="24"/>
        </w:rPr>
        <w:t>.</w:t>
      </w:r>
      <w:r w:rsidR="00225CE9" w:rsidRPr="00225CE9">
        <w:rPr>
          <w:rFonts w:ascii="Times New Roman" w:hAnsi="Times New Roman" w:cs="Times New Roman"/>
          <w:sz w:val="24"/>
          <w:szCs w:val="24"/>
        </w:rPr>
        <w:t xml:space="preserve"> London: G Bell and Sons Ltd.</w:t>
      </w:r>
    </w:p>
    <w:p w:rsidR="00225CE9" w:rsidRPr="00225CE9" w:rsidRDefault="00225CE9" w:rsidP="00225CE9">
      <w:pPr>
        <w:spacing w:after="0" w:line="360" w:lineRule="auto"/>
        <w:ind w:left="720" w:hanging="720"/>
        <w:rPr>
          <w:rFonts w:ascii="Times New Roman" w:hAnsi="Times New Roman" w:cs="Times New Roman"/>
          <w:sz w:val="24"/>
          <w:szCs w:val="24"/>
        </w:rPr>
      </w:pPr>
      <w:r w:rsidRPr="00225CE9">
        <w:rPr>
          <w:rFonts w:ascii="Times New Roman" w:hAnsi="Times New Roman" w:cs="Times New Roman"/>
          <w:sz w:val="24"/>
          <w:szCs w:val="24"/>
        </w:rPr>
        <w:t xml:space="preserve">Alcock, P. (2006). </w:t>
      </w:r>
      <w:r w:rsidRPr="00225CE9">
        <w:rPr>
          <w:rFonts w:ascii="Times New Roman" w:hAnsi="Times New Roman" w:cs="Times New Roman"/>
          <w:i/>
          <w:sz w:val="24"/>
          <w:szCs w:val="24"/>
        </w:rPr>
        <w:t>Understanding Poverty</w:t>
      </w:r>
      <w:r w:rsidRPr="00225CE9">
        <w:rPr>
          <w:rFonts w:ascii="Times New Roman" w:hAnsi="Times New Roman" w:cs="Times New Roman"/>
          <w:sz w:val="24"/>
          <w:szCs w:val="24"/>
        </w:rPr>
        <w:t>. Basingstoke: Palgrave Macmillan.</w:t>
      </w:r>
    </w:p>
    <w:p w:rsidR="00225CE9" w:rsidRPr="00225CE9" w:rsidRDefault="00225CE9" w:rsidP="00225CE9">
      <w:pPr>
        <w:spacing w:after="0" w:line="360" w:lineRule="auto"/>
        <w:ind w:left="720" w:hanging="720"/>
        <w:rPr>
          <w:rFonts w:ascii="Times New Roman" w:hAnsi="Times New Roman" w:cs="Times New Roman"/>
          <w:sz w:val="24"/>
          <w:szCs w:val="24"/>
        </w:rPr>
      </w:pPr>
      <w:r w:rsidRPr="00225CE9">
        <w:rPr>
          <w:rFonts w:ascii="Times New Roman" w:hAnsi="Times New Roman" w:cs="Times New Roman"/>
          <w:sz w:val="24"/>
          <w:szCs w:val="24"/>
        </w:rPr>
        <w:t xml:space="preserve">Booth, C. (1897). </w:t>
      </w:r>
      <w:r w:rsidRPr="00225CE9">
        <w:rPr>
          <w:rFonts w:ascii="Times New Roman" w:hAnsi="Times New Roman" w:cs="Times New Roman"/>
          <w:i/>
          <w:sz w:val="24"/>
          <w:szCs w:val="24"/>
        </w:rPr>
        <w:t>Life and Labour of the People in London, Ix: Comparisons, Survey and Conclusions</w:t>
      </w:r>
      <w:r w:rsidR="008E0E18">
        <w:rPr>
          <w:rFonts w:ascii="Times New Roman" w:hAnsi="Times New Roman" w:cs="Times New Roman"/>
          <w:sz w:val="24"/>
          <w:szCs w:val="24"/>
        </w:rPr>
        <w:t>. London: Macmillan and Company. pp</w:t>
      </w:r>
      <w:r w:rsidR="008E0E18" w:rsidRPr="008E0E18">
        <w:rPr>
          <w:rFonts w:ascii="Times New Roman" w:hAnsi="Times New Roman" w:cs="Times New Roman"/>
          <w:sz w:val="24"/>
          <w:szCs w:val="24"/>
        </w:rPr>
        <w:t xml:space="preserve">. </w:t>
      </w:r>
      <w:r w:rsidR="008E0E18" w:rsidRPr="008E0E18">
        <w:rPr>
          <w:rFonts w:ascii="Times New Roman" w:hAnsi="Times New Roman" w:cs="Times New Roman"/>
          <w:sz w:val="24"/>
          <w:szCs w:val="24"/>
        </w:rPr>
        <w:t>147-148</w:t>
      </w:r>
      <w:r w:rsidR="008E0E18">
        <w:rPr>
          <w:rFonts w:ascii="Times New Roman" w:hAnsi="Times New Roman" w:cs="Times New Roman"/>
          <w:sz w:val="24"/>
          <w:szCs w:val="24"/>
        </w:rPr>
        <w:t>.</w:t>
      </w:r>
    </w:p>
    <w:p w:rsidR="00225CE9" w:rsidRPr="00225CE9" w:rsidRDefault="002E2903" w:rsidP="00225CE9">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Gillie, A. (1996). </w:t>
      </w:r>
      <w:r w:rsidRPr="002E2903">
        <w:rPr>
          <w:rFonts w:ascii="Times New Roman" w:hAnsi="Times New Roman" w:cs="Times New Roman"/>
          <w:i/>
          <w:sz w:val="24"/>
          <w:szCs w:val="24"/>
        </w:rPr>
        <w:t>The Origin of the Poverty Line</w:t>
      </w:r>
      <w:r w:rsidR="005C3D89">
        <w:rPr>
          <w:rFonts w:ascii="Times New Roman" w:hAnsi="Times New Roman" w:cs="Times New Roman"/>
          <w:sz w:val="24"/>
          <w:szCs w:val="24"/>
        </w:rPr>
        <w:t>. The Economic History Review.</w:t>
      </w:r>
      <w:r w:rsidR="00225CE9" w:rsidRPr="00225CE9">
        <w:rPr>
          <w:rFonts w:ascii="Times New Roman" w:hAnsi="Times New Roman" w:cs="Times New Roman"/>
          <w:sz w:val="24"/>
          <w:szCs w:val="24"/>
        </w:rPr>
        <w:t xml:space="preserve"> 49(4), pp. 715–730.</w:t>
      </w:r>
    </w:p>
    <w:p w:rsidR="00225CE9" w:rsidRPr="00225CE9" w:rsidRDefault="005C3D89" w:rsidP="00225CE9">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Glennerster, H. (2004). </w:t>
      </w:r>
      <w:r w:rsidR="00225CE9" w:rsidRPr="005C3D89">
        <w:rPr>
          <w:rFonts w:ascii="Times New Roman" w:hAnsi="Times New Roman" w:cs="Times New Roman"/>
          <w:i/>
          <w:sz w:val="24"/>
          <w:szCs w:val="24"/>
        </w:rPr>
        <w:t>The Cont</w:t>
      </w:r>
      <w:r>
        <w:rPr>
          <w:rFonts w:ascii="Times New Roman" w:hAnsi="Times New Roman" w:cs="Times New Roman"/>
          <w:i/>
          <w:sz w:val="24"/>
          <w:szCs w:val="24"/>
        </w:rPr>
        <w:t>ext for Rowntree’s Contribution</w:t>
      </w:r>
      <w:r w:rsidR="00A41182">
        <w:rPr>
          <w:rFonts w:ascii="Times New Roman" w:hAnsi="Times New Roman" w:cs="Times New Roman"/>
          <w:sz w:val="24"/>
          <w:szCs w:val="24"/>
        </w:rPr>
        <w:t>. In</w:t>
      </w:r>
      <w:r w:rsidR="00225CE9" w:rsidRPr="00225CE9">
        <w:rPr>
          <w:rFonts w:ascii="Times New Roman" w:hAnsi="Times New Roman" w:cs="Times New Roman"/>
          <w:sz w:val="24"/>
          <w:szCs w:val="24"/>
        </w:rPr>
        <w:t xml:space="preserve"> Glennerster</w:t>
      </w:r>
      <w:r w:rsidR="00A41182">
        <w:rPr>
          <w:rFonts w:ascii="Times New Roman" w:hAnsi="Times New Roman" w:cs="Times New Roman"/>
          <w:sz w:val="24"/>
          <w:szCs w:val="24"/>
        </w:rPr>
        <w:t xml:space="preserve">, H, </w:t>
      </w:r>
      <w:r w:rsidR="00225CE9" w:rsidRPr="00225CE9">
        <w:rPr>
          <w:rFonts w:ascii="Times New Roman" w:hAnsi="Times New Roman" w:cs="Times New Roman"/>
          <w:sz w:val="24"/>
          <w:szCs w:val="24"/>
        </w:rPr>
        <w:t>Hil</w:t>
      </w:r>
      <w:r w:rsidR="00A41182">
        <w:rPr>
          <w:rFonts w:ascii="Times New Roman" w:hAnsi="Times New Roman" w:cs="Times New Roman"/>
          <w:sz w:val="24"/>
          <w:szCs w:val="24"/>
        </w:rPr>
        <w:t>ls, J, Piachaud, D &amp; Webb, J (Ed).</w:t>
      </w:r>
      <w:r w:rsidR="00225CE9" w:rsidRPr="00225CE9">
        <w:rPr>
          <w:rFonts w:ascii="Times New Roman" w:hAnsi="Times New Roman" w:cs="Times New Roman"/>
          <w:sz w:val="24"/>
          <w:szCs w:val="24"/>
        </w:rPr>
        <w:t xml:space="preserve"> </w:t>
      </w:r>
      <w:r w:rsidR="00225CE9" w:rsidRPr="00225CE9">
        <w:rPr>
          <w:rFonts w:ascii="Times New Roman" w:hAnsi="Times New Roman" w:cs="Times New Roman"/>
          <w:i/>
          <w:sz w:val="24"/>
          <w:szCs w:val="24"/>
        </w:rPr>
        <w:t>One Hundred Years of Poverty and Policy</w:t>
      </w:r>
      <w:r w:rsidR="00225CE9" w:rsidRPr="00225CE9">
        <w:rPr>
          <w:rFonts w:ascii="Times New Roman" w:hAnsi="Times New Roman" w:cs="Times New Roman"/>
          <w:sz w:val="24"/>
          <w:szCs w:val="24"/>
        </w:rPr>
        <w:t>. York: Joseph Rowntree Foundation.</w:t>
      </w:r>
    </w:p>
    <w:p w:rsidR="00225CE9" w:rsidRPr="00225CE9" w:rsidRDefault="00225CE9" w:rsidP="00225CE9">
      <w:pPr>
        <w:spacing w:after="0" w:line="360" w:lineRule="auto"/>
        <w:ind w:left="720" w:hanging="720"/>
        <w:rPr>
          <w:rFonts w:ascii="Times New Roman" w:hAnsi="Times New Roman" w:cs="Times New Roman"/>
          <w:sz w:val="24"/>
          <w:szCs w:val="24"/>
        </w:rPr>
      </w:pPr>
      <w:r w:rsidRPr="00225CE9">
        <w:rPr>
          <w:rFonts w:ascii="Times New Roman" w:hAnsi="Times New Roman" w:cs="Times New Roman"/>
          <w:sz w:val="24"/>
          <w:szCs w:val="24"/>
        </w:rPr>
        <w:t xml:space="preserve">Hills, J. (2004). </w:t>
      </w:r>
      <w:r w:rsidRPr="00225CE9">
        <w:rPr>
          <w:rFonts w:ascii="Times New Roman" w:hAnsi="Times New Roman" w:cs="Times New Roman"/>
          <w:i/>
          <w:sz w:val="24"/>
          <w:szCs w:val="24"/>
        </w:rPr>
        <w:t>Inequality and the State</w:t>
      </w:r>
      <w:r w:rsidR="00BD6A90">
        <w:rPr>
          <w:rFonts w:ascii="Times New Roman" w:hAnsi="Times New Roman" w:cs="Times New Roman"/>
          <w:sz w:val="24"/>
          <w:szCs w:val="24"/>
        </w:rPr>
        <w:t xml:space="preserve">. Oxford:  Oxford University Press. </w:t>
      </w:r>
    </w:p>
    <w:p w:rsidR="00225CE9" w:rsidRPr="00225CE9" w:rsidRDefault="00225CE9" w:rsidP="00225CE9">
      <w:pPr>
        <w:spacing w:after="0" w:line="360" w:lineRule="auto"/>
        <w:ind w:left="720" w:hanging="720"/>
        <w:rPr>
          <w:rFonts w:ascii="Times New Roman" w:hAnsi="Times New Roman" w:cs="Times New Roman"/>
          <w:sz w:val="24"/>
          <w:szCs w:val="24"/>
        </w:rPr>
      </w:pPr>
      <w:r w:rsidRPr="00225CE9">
        <w:rPr>
          <w:rFonts w:ascii="Times New Roman" w:hAnsi="Times New Roman" w:cs="Times New Roman"/>
          <w:sz w:val="24"/>
          <w:szCs w:val="24"/>
        </w:rPr>
        <w:t xml:space="preserve">Lister, R. (2004). </w:t>
      </w:r>
      <w:r w:rsidRPr="00225CE9">
        <w:rPr>
          <w:rFonts w:ascii="Times New Roman" w:hAnsi="Times New Roman" w:cs="Times New Roman"/>
          <w:i/>
          <w:sz w:val="24"/>
          <w:szCs w:val="24"/>
        </w:rPr>
        <w:t>Poverty</w:t>
      </w:r>
      <w:r w:rsidRPr="00225CE9">
        <w:rPr>
          <w:rFonts w:ascii="Times New Roman" w:hAnsi="Times New Roman" w:cs="Times New Roman"/>
          <w:sz w:val="24"/>
          <w:szCs w:val="24"/>
        </w:rPr>
        <w:t xml:space="preserve">. Cambridge: Polity Press. </w:t>
      </w:r>
    </w:p>
    <w:p w:rsidR="00225CE9" w:rsidRPr="00225CE9" w:rsidRDefault="00BD6A90" w:rsidP="00225CE9">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Niemietz, K. (2011). </w:t>
      </w:r>
      <w:r>
        <w:rPr>
          <w:rFonts w:ascii="Times New Roman" w:hAnsi="Times New Roman" w:cs="Times New Roman"/>
          <w:i/>
          <w:sz w:val="24"/>
          <w:szCs w:val="24"/>
        </w:rPr>
        <w:t>A New Understanding of Poverty</w:t>
      </w:r>
      <w:r>
        <w:rPr>
          <w:rFonts w:ascii="Times New Roman" w:hAnsi="Times New Roman" w:cs="Times New Roman"/>
          <w:sz w:val="24"/>
          <w:szCs w:val="24"/>
        </w:rPr>
        <w:t xml:space="preserve">. </w:t>
      </w:r>
      <w:r w:rsidR="00225CE9" w:rsidRPr="00225CE9">
        <w:rPr>
          <w:rFonts w:ascii="Times New Roman" w:hAnsi="Times New Roman" w:cs="Times New Roman"/>
          <w:sz w:val="24"/>
          <w:szCs w:val="24"/>
        </w:rPr>
        <w:t xml:space="preserve"> London: The Institute of Economic Affairs.</w:t>
      </w:r>
    </w:p>
    <w:p w:rsidR="00225CE9" w:rsidRPr="00225CE9" w:rsidRDefault="00225CE9" w:rsidP="00225CE9">
      <w:pPr>
        <w:spacing w:after="0" w:line="360" w:lineRule="auto"/>
        <w:ind w:left="720" w:hanging="720"/>
        <w:rPr>
          <w:rFonts w:ascii="Times New Roman" w:hAnsi="Times New Roman" w:cs="Times New Roman"/>
          <w:sz w:val="24"/>
          <w:szCs w:val="24"/>
        </w:rPr>
      </w:pPr>
      <w:r w:rsidRPr="00225CE9">
        <w:rPr>
          <w:rFonts w:ascii="Times New Roman" w:hAnsi="Times New Roman" w:cs="Times New Roman"/>
          <w:sz w:val="24"/>
          <w:szCs w:val="24"/>
        </w:rPr>
        <w:t xml:space="preserve">Rowntree, B. S. (1901). </w:t>
      </w:r>
      <w:r w:rsidRPr="00225CE9">
        <w:rPr>
          <w:rFonts w:ascii="Times New Roman" w:hAnsi="Times New Roman" w:cs="Times New Roman"/>
          <w:i/>
          <w:sz w:val="24"/>
          <w:szCs w:val="24"/>
        </w:rPr>
        <w:t>Poverty: A Study of Town Life</w:t>
      </w:r>
      <w:r w:rsidRPr="00225CE9">
        <w:rPr>
          <w:rFonts w:ascii="Times New Roman" w:hAnsi="Times New Roman" w:cs="Times New Roman"/>
          <w:sz w:val="24"/>
          <w:szCs w:val="24"/>
        </w:rPr>
        <w:t>. London: Macmillan.</w:t>
      </w:r>
    </w:p>
    <w:p w:rsidR="00225CE9" w:rsidRPr="00225CE9" w:rsidRDefault="00225CE9" w:rsidP="00225CE9">
      <w:pPr>
        <w:spacing w:after="0" w:line="360" w:lineRule="auto"/>
        <w:ind w:left="720" w:hanging="720"/>
        <w:rPr>
          <w:rFonts w:ascii="Times New Roman" w:hAnsi="Times New Roman" w:cs="Times New Roman"/>
          <w:sz w:val="24"/>
          <w:szCs w:val="24"/>
        </w:rPr>
      </w:pPr>
      <w:r w:rsidRPr="00225CE9">
        <w:rPr>
          <w:rFonts w:ascii="Times New Roman" w:hAnsi="Times New Roman" w:cs="Times New Roman"/>
          <w:sz w:val="24"/>
          <w:szCs w:val="24"/>
        </w:rPr>
        <w:t xml:space="preserve">Townsend, P. (1979). </w:t>
      </w:r>
      <w:r w:rsidRPr="00225CE9">
        <w:rPr>
          <w:rFonts w:ascii="Times New Roman" w:hAnsi="Times New Roman" w:cs="Times New Roman"/>
          <w:i/>
          <w:sz w:val="24"/>
          <w:szCs w:val="24"/>
        </w:rPr>
        <w:t>Poverty in the United Kingdom</w:t>
      </w:r>
      <w:r w:rsidRPr="00225CE9">
        <w:rPr>
          <w:rFonts w:ascii="Times New Roman" w:hAnsi="Times New Roman" w:cs="Times New Roman"/>
          <w:sz w:val="24"/>
          <w:szCs w:val="24"/>
        </w:rPr>
        <w:t>. Berkeley: University of California Press.</w:t>
      </w:r>
    </w:p>
    <w:p w:rsidR="00225CE9" w:rsidRPr="00225CE9" w:rsidRDefault="00225CE9" w:rsidP="00225CE9">
      <w:pPr>
        <w:spacing w:after="0" w:line="360" w:lineRule="auto"/>
        <w:ind w:left="720" w:hanging="720"/>
        <w:rPr>
          <w:rFonts w:ascii="Times New Roman" w:hAnsi="Times New Roman" w:cs="Times New Roman"/>
          <w:sz w:val="24"/>
          <w:szCs w:val="24"/>
        </w:rPr>
      </w:pPr>
      <w:r w:rsidRPr="00225CE9">
        <w:rPr>
          <w:rFonts w:ascii="Times New Roman" w:hAnsi="Times New Roman" w:cs="Times New Roman"/>
          <w:sz w:val="24"/>
          <w:szCs w:val="24"/>
        </w:rPr>
        <w:t xml:space="preserve">Townsend, P. (1987). </w:t>
      </w:r>
      <w:r w:rsidRPr="00225CE9">
        <w:rPr>
          <w:rFonts w:ascii="Times New Roman" w:hAnsi="Times New Roman" w:cs="Times New Roman"/>
          <w:i/>
          <w:sz w:val="24"/>
          <w:szCs w:val="24"/>
        </w:rPr>
        <w:t>Deprivation</w:t>
      </w:r>
      <w:r w:rsidR="00BD6A90">
        <w:rPr>
          <w:rFonts w:ascii="Times New Roman" w:hAnsi="Times New Roman" w:cs="Times New Roman"/>
          <w:sz w:val="24"/>
          <w:szCs w:val="24"/>
        </w:rPr>
        <w:t>. Journal of Social Policy.</w:t>
      </w:r>
      <w:r w:rsidRPr="00225CE9">
        <w:rPr>
          <w:rFonts w:ascii="Times New Roman" w:hAnsi="Times New Roman" w:cs="Times New Roman"/>
          <w:sz w:val="24"/>
          <w:szCs w:val="24"/>
        </w:rPr>
        <w:t xml:space="preserve"> 15(2), pp. 125–146.</w:t>
      </w:r>
    </w:p>
    <w:p w:rsidR="00225CE9" w:rsidRPr="00225CE9" w:rsidRDefault="00BD6A90" w:rsidP="00225CE9">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Veit-Wilson, J. (1986). </w:t>
      </w:r>
      <w:r w:rsidR="00225CE9" w:rsidRPr="00BD6A90">
        <w:rPr>
          <w:rFonts w:ascii="Times New Roman" w:hAnsi="Times New Roman" w:cs="Times New Roman"/>
          <w:i/>
          <w:sz w:val="24"/>
          <w:szCs w:val="24"/>
        </w:rPr>
        <w:t>Paradigms of Poverty: A Rehabilitation</w:t>
      </w:r>
      <w:r>
        <w:rPr>
          <w:rFonts w:ascii="Times New Roman" w:hAnsi="Times New Roman" w:cs="Times New Roman"/>
          <w:i/>
          <w:sz w:val="24"/>
          <w:szCs w:val="24"/>
        </w:rPr>
        <w:t xml:space="preserve"> of B S Rowntree</w:t>
      </w:r>
      <w:r>
        <w:rPr>
          <w:rFonts w:ascii="Times New Roman" w:hAnsi="Times New Roman" w:cs="Times New Roman"/>
          <w:sz w:val="24"/>
          <w:szCs w:val="24"/>
        </w:rPr>
        <w:t>.</w:t>
      </w:r>
      <w:r w:rsidR="00225CE9" w:rsidRPr="00225CE9">
        <w:rPr>
          <w:rFonts w:ascii="Times New Roman" w:hAnsi="Times New Roman" w:cs="Times New Roman"/>
          <w:sz w:val="24"/>
          <w:szCs w:val="24"/>
        </w:rPr>
        <w:t xml:space="preserve"> Journal of Social Policy, 15(1), pp. 69–99.</w:t>
      </w:r>
    </w:p>
    <w:p w:rsidR="00225CE9" w:rsidRDefault="00225CE9" w:rsidP="00321B0F">
      <w:pPr>
        <w:jc w:val="both"/>
        <w:rPr>
          <w:rFonts w:ascii="Times New Roman" w:hAnsi="Times New Roman" w:cs="Times New Roman"/>
          <w:sz w:val="24"/>
          <w:szCs w:val="24"/>
        </w:rPr>
      </w:pPr>
    </w:p>
    <w:p w:rsidR="00074879" w:rsidRPr="00DF56BF" w:rsidRDefault="00074879" w:rsidP="00DF56BF">
      <w:pPr>
        <w:jc w:val="both"/>
        <w:rPr>
          <w:rFonts w:ascii="Times New Roman" w:hAnsi="Times New Roman" w:cs="Times New Roman"/>
          <w:i/>
          <w:sz w:val="24"/>
          <w:szCs w:val="24"/>
        </w:rPr>
      </w:pPr>
    </w:p>
    <w:sectPr w:rsidR="00074879" w:rsidRPr="00DF56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133C"/>
    <w:rsid w:val="00074879"/>
    <w:rsid w:val="000E79D3"/>
    <w:rsid w:val="00225CE9"/>
    <w:rsid w:val="002A5F30"/>
    <w:rsid w:val="002C53D4"/>
    <w:rsid w:val="002E2903"/>
    <w:rsid w:val="0030494A"/>
    <w:rsid w:val="00305C3C"/>
    <w:rsid w:val="00321B0F"/>
    <w:rsid w:val="003A4399"/>
    <w:rsid w:val="004C32EC"/>
    <w:rsid w:val="0051243A"/>
    <w:rsid w:val="005A593C"/>
    <w:rsid w:val="005C3D89"/>
    <w:rsid w:val="005F3527"/>
    <w:rsid w:val="006104F5"/>
    <w:rsid w:val="008013B8"/>
    <w:rsid w:val="00894B1E"/>
    <w:rsid w:val="008E0E18"/>
    <w:rsid w:val="00924983"/>
    <w:rsid w:val="009C2EDF"/>
    <w:rsid w:val="00A07D86"/>
    <w:rsid w:val="00A41182"/>
    <w:rsid w:val="00AC133C"/>
    <w:rsid w:val="00BD6A90"/>
    <w:rsid w:val="00DA5C03"/>
    <w:rsid w:val="00DB6FD7"/>
    <w:rsid w:val="00DE6F03"/>
    <w:rsid w:val="00DF56BF"/>
    <w:rsid w:val="00E64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9515228">
      <w:bodyDiv w:val="1"/>
      <w:marLeft w:val="0"/>
      <w:marRight w:val="0"/>
      <w:marTop w:val="0"/>
      <w:marBottom w:val="0"/>
      <w:divBdr>
        <w:top w:val="none" w:sz="0" w:space="0" w:color="auto"/>
        <w:left w:val="none" w:sz="0" w:space="0" w:color="auto"/>
        <w:bottom w:val="none" w:sz="0" w:space="0" w:color="auto"/>
        <w:right w:val="none" w:sz="0" w:space="0" w:color="auto"/>
      </w:divBdr>
    </w:div>
    <w:div w:id="1032222096">
      <w:bodyDiv w:val="1"/>
      <w:marLeft w:val="0"/>
      <w:marRight w:val="0"/>
      <w:marTop w:val="0"/>
      <w:marBottom w:val="0"/>
      <w:divBdr>
        <w:top w:val="none" w:sz="0" w:space="0" w:color="auto"/>
        <w:left w:val="none" w:sz="0" w:space="0" w:color="auto"/>
        <w:bottom w:val="none" w:sz="0" w:space="0" w:color="auto"/>
        <w:right w:val="none" w:sz="0" w:space="0" w:color="auto"/>
      </w:divBdr>
    </w:div>
    <w:div w:id="138112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Lis</b:Tag>
    <b:SourceType>BookSection</b:SourceType>
    <b:Guid>{27B83F69-25AC-48DF-9FB9-1F1A0D414FCD}</b:Guid>
    <b:Title>Poverty</b:Title>
    <b:BookTitle>Poverty</b:BookTitle>
    <b:Pages>4</b:Pages>
    <b:Author>
      <b:Author>
        <b:NameList>
          <b:Person>
            <b:Last>Lister</b:Last>
            <b:First>Ruth</b:First>
          </b:Person>
        </b:NameList>
      </b:Author>
      <b:BookAuthor>
        <b:NameList>
          <b:Person>
            <b:Last>Lister</b:Last>
            <b:First>Ruth</b:First>
          </b:Person>
        </b:NameList>
      </b:BookAuthor>
    </b:Author>
    <b:RefOrder>2</b:RefOrder>
  </b:Source>
  <b:Source>
    <b:Tag>Rut04</b:Tag>
    <b:SourceType>BookSection</b:SourceType>
    <b:Guid>{204450B4-6522-496B-A6F8-69159BCF4815}</b:Guid>
    <b:Author>
      <b:Author>
        <b:NameList>
          <b:Person>
            <b:Last>Lister</b:Last>
            <b:First>Ruth</b:First>
          </b:Person>
        </b:NameList>
      </b:Author>
      <b:BookAuthor>
        <b:NameList>
          <b:Person>
            <b:Last>Lister</b:Last>
            <b:First>Ruth</b:First>
          </b:Person>
        </b:NameList>
      </b:BookAuthor>
    </b:Author>
    <b:Title>Poverty</b:Title>
    <b:BookTitle>Poverty</b:BookTitle>
    <b:Year>2004</b:Year>
    <b:Pages>238</b:Pages>
    <b:Publisher>Polity</b:Publisher>
    <b:RefOrder>1</b:RefOrder>
  </b:Source>
</b:Sources>
</file>

<file path=customXml/itemProps1.xml><?xml version="1.0" encoding="utf-8"?>
<ds:datastoreItem xmlns:ds="http://schemas.openxmlformats.org/officeDocument/2006/customXml" ds:itemID="{6F0C2706-9237-447C-9218-D435264F11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3</Pages>
  <Words>1094</Words>
  <Characters>6241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Alisha Burdess (1907539)</dc:creator>
  <cp:lastModifiedBy>Vivian Burdess</cp:lastModifiedBy>
  <cp:revision>4</cp:revision>
  <dcterms:created xsi:type="dcterms:W3CDTF">2019-12-11T21:57:00Z</dcterms:created>
  <dcterms:modified xsi:type="dcterms:W3CDTF">2019-12-13T20:45:00Z</dcterms:modified>
</cp:coreProperties>
</file>