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DAA2E" w14:textId="77777777" w:rsidR="009F0C2A" w:rsidRDefault="009F0C2A">
      <w:pPr>
        <w:rPr>
          <w:lang w:val="en-US"/>
        </w:rPr>
      </w:pPr>
    </w:p>
    <w:p w14:paraId="3946673A" w14:textId="59FEAB09" w:rsidR="00C153F4" w:rsidRPr="00C153F4" w:rsidRDefault="00C153F4" w:rsidP="00C153F4">
      <w:pPr>
        <w:jc w:val="center"/>
        <w:rPr>
          <w:sz w:val="32"/>
          <w:szCs w:val="28"/>
          <w:lang w:val="en-US"/>
        </w:rPr>
      </w:pPr>
      <w:r w:rsidRPr="00C153F4">
        <w:rPr>
          <w:sz w:val="32"/>
          <w:szCs w:val="28"/>
        </w:rPr>
        <w:t>Critical Report: Applying Microsoft 365 Communication and Collaboration Tools to Improve Care Home Operations</w:t>
      </w:r>
      <w:r>
        <w:rPr>
          <w:sz w:val="32"/>
          <w:szCs w:val="28"/>
        </w:rPr>
        <w:t xml:space="preserve">: </w:t>
      </w:r>
      <w:r w:rsidRPr="00C153F4">
        <w:rPr>
          <w:sz w:val="32"/>
          <w:szCs w:val="28"/>
        </w:rPr>
        <w:t>A Case Study of Greenford Care Home</w:t>
      </w:r>
    </w:p>
    <w:p w14:paraId="2127C494" w14:textId="77777777" w:rsidR="00C153F4" w:rsidRPr="00C153F4" w:rsidRDefault="00C153F4" w:rsidP="00C153F4">
      <w:pPr>
        <w:pStyle w:val="Heading1"/>
      </w:pPr>
      <w:r>
        <w:br w:type="column"/>
      </w:r>
      <w:r w:rsidRPr="00C153F4">
        <w:lastRenderedPageBreak/>
        <w:t>Introduction</w:t>
      </w:r>
    </w:p>
    <w:p w14:paraId="61C7EAED" w14:textId="75635DFC" w:rsidR="00C153F4" w:rsidRPr="00C153F4" w:rsidRDefault="00C153F4" w:rsidP="00C153F4">
      <w:pPr>
        <w:rPr>
          <w:lang w:val="en-US"/>
        </w:rPr>
      </w:pPr>
      <w:r w:rsidRPr="00C153F4">
        <w:rPr>
          <w:lang w:val="en-US"/>
        </w:rPr>
        <w:t>Digital communication tools integration in the context of health and social care has become one of the top priority operational issues of the modern care industry</w:t>
      </w:r>
      <w:r>
        <w:rPr>
          <w:lang w:val="en-US"/>
        </w:rPr>
        <w:t xml:space="preserve"> </w:t>
      </w:r>
      <w:r w:rsidRPr="00C153F4">
        <w:rPr>
          <w:lang w:val="en-US"/>
        </w:rPr>
        <w:t xml:space="preserve">(Garner et al., 2024). Greenford Care Home, </w:t>
      </w:r>
      <w:r>
        <w:rPr>
          <w:lang w:val="en-US"/>
        </w:rPr>
        <w:t>like</w:t>
      </w:r>
      <w:r w:rsidRPr="00C153F4">
        <w:rPr>
          <w:lang w:val="en-US"/>
        </w:rPr>
        <w:t xml:space="preserve"> numerous similar </w:t>
      </w:r>
      <w:proofErr w:type="spellStart"/>
      <w:r w:rsidRPr="00C153F4">
        <w:rPr>
          <w:lang w:val="en-US"/>
        </w:rPr>
        <w:t>organisations</w:t>
      </w:r>
      <w:proofErr w:type="spellEnd"/>
      <w:r w:rsidRPr="00C153F4">
        <w:rPr>
          <w:lang w:val="en-US"/>
        </w:rPr>
        <w:t xml:space="preserve"> working in the context of the social care sector of the United Kingdom, is under increasing pressure to </w:t>
      </w:r>
      <w:proofErr w:type="spellStart"/>
      <w:r>
        <w:rPr>
          <w:lang w:val="en-US"/>
        </w:rPr>
        <w:t>modernise</w:t>
      </w:r>
      <w:proofErr w:type="spellEnd"/>
      <w:r w:rsidRPr="00C153F4">
        <w:rPr>
          <w:lang w:val="en-US"/>
        </w:rPr>
        <w:t xml:space="preserve"> its internal communication patterns that would allow the safe, coordinated, and </w:t>
      </w:r>
      <w:r>
        <w:rPr>
          <w:lang w:val="en-US"/>
        </w:rPr>
        <w:t>person-</w:t>
      </w:r>
      <w:proofErr w:type="spellStart"/>
      <w:r>
        <w:rPr>
          <w:lang w:val="en-US"/>
        </w:rPr>
        <w:t>centred</w:t>
      </w:r>
      <w:proofErr w:type="spellEnd"/>
      <w:r w:rsidRPr="00C153F4">
        <w:rPr>
          <w:lang w:val="en-US"/>
        </w:rPr>
        <w:t xml:space="preserve"> care delivery. The presentation that should be </w:t>
      </w:r>
      <w:proofErr w:type="spellStart"/>
      <w:r>
        <w:rPr>
          <w:lang w:val="en-US"/>
        </w:rPr>
        <w:t>analysed</w:t>
      </w:r>
      <w:proofErr w:type="spellEnd"/>
      <w:r w:rsidRPr="00C153F4">
        <w:rPr>
          <w:lang w:val="en-US"/>
        </w:rPr>
        <w:t xml:space="preserve"> presupposes discussing the possible use of Microsoft 365 communication tools</w:t>
      </w:r>
      <w:r>
        <w:rPr>
          <w:lang w:val="en-US"/>
        </w:rPr>
        <w:t>,</w:t>
      </w:r>
      <w:r w:rsidRPr="00C153F4">
        <w:rPr>
          <w:lang w:val="en-US"/>
        </w:rPr>
        <w:t xml:space="preserve"> i.e.</w:t>
      </w:r>
      <w:r>
        <w:rPr>
          <w:lang w:val="en-US"/>
        </w:rPr>
        <w:t>,</w:t>
      </w:r>
      <w:r w:rsidRPr="00C153F4">
        <w:rPr>
          <w:lang w:val="en-US"/>
        </w:rPr>
        <w:t xml:space="preserve"> Microsoft Teams, SharePoint and OneDrive in the functioning of Greenford Care Home. Although the case under consideration is generally coherent and clearly shows some level of awareness of relevant scholarly literature, critical analysis shows that there are strong points in it that could be used to make it even more meaningful, as well as significant aspects that should be addressed </w:t>
      </w:r>
      <w:r>
        <w:rPr>
          <w:lang w:val="en-US"/>
        </w:rPr>
        <w:t>more analytically</w:t>
      </w:r>
      <w:r w:rsidRPr="00C153F4">
        <w:rPr>
          <w:lang w:val="en-US"/>
        </w:rPr>
        <w:t xml:space="preserve"> to make the overall submission more effective. This report will assess how the presentation covers the Microsoft 365 tools, strengths and weaknesses it finds, and suggestions it makes strategically, carefully noting evidence gaps, the depth of context, and the actual applicability.</w:t>
      </w:r>
    </w:p>
    <w:p w14:paraId="4D8C62A2" w14:textId="7402D870" w:rsidR="00C153F4" w:rsidRPr="00C153F4" w:rsidRDefault="00C153F4" w:rsidP="00C153F4">
      <w:pPr>
        <w:pStyle w:val="Heading1"/>
      </w:pPr>
      <w:r w:rsidRPr="00C153F4">
        <w:t>Microsoft 365 Tools: Coverage, Accuracy and Depth of Analytics</w:t>
      </w:r>
    </w:p>
    <w:p w14:paraId="1DB0C735" w14:textId="17ABE886" w:rsidR="00C153F4" w:rsidRPr="00C153F4" w:rsidRDefault="00C153F4" w:rsidP="00C153F4">
      <w:pPr>
        <w:rPr>
          <w:lang w:val="en-US"/>
        </w:rPr>
      </w:pPr>
      <w:r w:rsidRPr="00C153F4">
        <w:rPr>
          <w:lang w:val="en-US"/>
        </w:rPr>
        <w:t xml:space="preserve">The presentation rightfully singles out Microsoft Teams, SharePoint, and OneDrive as the key applications of the Microsoft 365 ecosystem that are likely to be useful </w:t>
      </w:r>
      <w:r>
        <w:rPr>
          <w:lang w:val="en-US"/>
        </w:rPr>
        <w:t>for</w:t>
      </w:r>
      <w:r w:rsidRPr="00C153F4">
        <w:rPr>
          <w:lang w:val="en-US"/>
        </w:rPr>
        <w:t xml:space="preserve"> the activities of care homes. The suggestion that Teams will facilitate instant messaging, voice and video calls as well as allow building departmental spaces is technically valid and represents a fair grasp of the fundamental workings of the platform. In the same line, the fact that SharePoint can support </w:t>
      </w:r>
      <w:proofErr w:type="spellStart"/>
      <w:r w:rsidRPr="00C153F4">
        <w:rPr>
          <w:lang w:val="en-US"/>
        </w:rPr>
        <w:t>centralised</w:t>
      </w:r>
      <w:proofErr w:type="spellEnd"/>
      <w:r w:rsidRPr="00C153F4">
        <w:rPr>
          <w:lang w:val="en-US"/>
        </w:rPr>
        <w:t xml:space="preserve"> storage of documents</w:t>
      </w:r>
      <w:r>
        <w:rPr>
          <w:lang w:val="en-US"/>
        </w:rPr>
        <w:t>,</w:t>
      </w:r>
      <w:r w:rsidRPr="00C153F4">
        <w:rPr>
          <w:lang w:val="en-US"/>
        </w:rPr>
        <w:t xml:space="preserve"> but OneDrive allows one to manage a file one after the other</w:t>
      </w:r>
      <w:r>
        <w:rPr>
          <w:lang w:val="en-US"/>
        </w:rPr>
        <w:t>,</w:t>
      </w:r>
      <w:r w:rsidRPr="00C153F4">
        <w:rPr>
          <w:lang w:val="en-US"/>
        </w:rPr>
        <w:t xml:space="preserve"> is mostly true</w:t>
      </w:r>
      <w:r>
        <w:rPr>
          <w:lang w:val="en-US"/>
        </w:rPr>
        <w:t xml:space="preserve"> </w:t>
      </w:r>
      <w:r w:rsidRPr="00C153F4">
        <w:rPr>
          <w:lang w:val="en-US"/>
        </w:rPr>
        <w:t xml:space="preserve">(Whitfield et al., 2025). Nonetheless, it does not go beyond the superficial detailing and does not meaningfully confront the way these instruments would operate under the confines of a particular </w:t>
      </w:r>
      <w:proofErr w:type="spellStart"/>
      <w:r w:rsidRPr="00C153F4">
        <w:rPr>
          <w:lang w:val="en-US"/>
        </w:rPr>
        <w:t>organisational</w:t>
      </w:r>
      <w:proofErr w:type="spellEnd"/>
      <w:r w:rsidRPr="00C153F4">
        <w:rPr>
          <w:lang w:val="en-US"/>
        </w:rPr>
        <w:t xml:space="preserve"> setting</w:t>
      </w:r>
      <w:r>
        <w:rPr>
          <w:lang w:val="en-US"/>
        </w:rPr>
        <w:t>,</w:t>
      </w:r>
      <w:r w:rsidRPr="00C153F4">
        <w:rPr>
          <w:lang w:val="en-US"/>
        </w:rPr>
        <w:t xml:space="preserve"> such as a care home setting. Little is done to consider the digital literateness of frontline care staff members who might have had little previous exposure to cloud-based collaboration software</w:t>
      </w:r>
      <w:r>
        <w:rPr>
          <w:lang w:val="en-US"/>
        </w:rPr>
        <w:t>,</w:t>
      </w:r>
      <w:r w:rsidRPr="00C153F4">
        <w:rPr>
          <w:lang w:val="en-US"/>
        </w:rPr>
        <w:t xml:space="preserve"> and the belief that the adoption will be smooth, without considering workforce demographics</w:t>
      </w:r>
      <w:r>
        <w:rPr>
          <w:lang w:val="en-US"/>
        </w:rPr>
        <w:t>,</w:t>
      </w:r>
      <w:r w:rsidRPr="00C153F4">
        <w:rPr>
          <w:lang w:val="en-US"/>
        </w:rPr>
        <w:t xml:space="preserve"> is a major weakness of the analysis</w:t>
      </w:r>
      <w:r>
        <w:rPr>
          <w:lang w:val="en-US"/>
        </w:rPr>
        <w:t xml:space="preserve"> </w:t>
      </w:r>
      <w:r w:rsidRPr="00C153F4">
        <w:rPr>
          <w:lang w:val="en-US"/>
        </w:rPr>
        <w:t xml:space="preserve">(Nordmann et al., 2024). Moreover, the presentation fails to provide a critical assessment of whether the frameworks of </w:t>
      </w:r>
      <w:r w:rsidRPr="00C153F4">
        <w:rPr>
          <w:lang w:val="en-US"/>
        </w:rPr>
        <w:lastRenderedPageBreak/>
        <w:t xml:space="preserve">digital transformation applied to </w:t>
      </w:r>
      <w:r>
        <w:rPr>
          <w:lang w:val="en-US"/>
        </w:rPr>
        <w:t xml:space="preserve">the </w:t>
      </w:r>
      <w:r w:rsidRPr="00C153F4">
        <w:rPr>
          <w:lang w:val="en-US"/>
        </w:rPr>
        <w:t xml:space="preserve">NHS can directly be applied to the context of residential care, where the regulatory, budgetary and staffing environment is drastically different, which creates a disconnect in cited evidence and </w:t>
      </w:r>
      <w:proofErr w:type="spellStart"/>
      <w:r w:rsidRPr="00C153F4">
        <w:rPr>
          <w:lang w:val="en-US"/>
        </w:rPr>
        <w:t>organisational</w:t>
      </w:r>
      <w:proofErr w:type="spellEnd"/>
      <w:r w:rsidRPr="00C153F4">
        <w:rPr>
          <w:lang w:val="en-US"/>
        </w:rPr>
        <w:t xml:space="preserve"> environment that </w:t>
      </w:r>
      <w:r>
        <w:rPr>
          <w:lang w:val="en-US"/>
        </w:rPr>
        <w:t>weakens</w:t>
      </w:r>
      <w:r w:rsidRPr="00C153F4">
        <w:rPr>
          <w:lang w:val="en-US"/>
        </w:rPr>
        <w:t xml:space="preserve"> the credibility of the argument on a foundational level.</w:t>
      </w:r>
    </w:p>
    <w:p w14:paraId="21D6F461" w14:textId="72D86E0D" w:rsidR="00C153F4" w:rsidRPr="00C153F4" w:rsidRDefault="00C153F4" w:rsidP="00C153F4">
      <w:pPr>
        <w:pStyle w:val="Heading1"/>
      </w:pPr>
      <w:r w:rsidRPr="00C153F4">
        <w:t>Strengths and Weaknesses: Critical Evaluation of the Balance of the Presentation</w:t>
      </w:r>
    </w:p>
    <w:p w14:paraId="4E69E296" w14:textId="56A0AFBB" w:rsidR="00C153F4" w:rsidRPr="00C153F4" w:rsidRDefault="00C153F4" w:rsidP="00C153F4">
      <w:pPr>
        <w:rPr>
          <w:lang w:val="en-US"/>
        </w:rPr>
      </w:pPr>
      <w:r w:rsidRPr="00C153F4">
        <w:rPr>
          <w:lang w:val="en-US"/>
        </w:rPr>
        <w:t>The presentation outlines a number of feasible advantages of Microsoft 365 tool implementation in Greenford Care Home, such as better communication between the employees, accelerated decision-making, decreased instances of misunderstandings during shift change, and increased accessibility of documents. One can find these advantages mentioned among the widely known benefits of digital health communication</w:t>
      </w:r>
      <w:r>
        <w:rPr>
          <w:lang w:val="en-US"/>
        </w:rPr>
        <w:t>,</w:t>
      </w:r>
      <w:r w:rsidRPr="00C153F4">
        <w:rPr>
          <w:lang w:val="en-US"/>
        </w:rPr>
        <w:t xml:space="preserve"> both in the work of Nordmann et al.</w:t>
      </w:r>
      <w:r>
        <w:rPr>
          <w:lang w:val="en-US"/>
        </w:rPr>
        <w:t xml:space="preserve"> (2024)</w:t>
      </w:r>
      <w:r w:rsidRPr="00C153F4">
        <w:rPr>
          <w:lang w:val="en-US"/>
        </w:rPr>
        <w:t xml:space="preserve">. Nevertheless, the presentation has introduced the digital transformation as a clearly good thing without paying enough attention to the circumstances in which such advantages are </w:t>
      </w:r>
      <w:proofErr w:type="spellStart"/>
      <w:r w:rsidRPr="00C153F4">
        <w:rPr>
          <w:lang w:val="en-US"/>
        </w:rPr>
        <w:t>realised</w:t>
      </w:r>
      <w:proofErr w:type="spellEnd"/>
      <w:r w:rsidRPr="00C153F4">
        <w:rPr>
          <w:lang w:val="en-US"/>
        </w:rPr>
        <w:t xml:space="preserve"> in reality. Arguments to the effect that real-time communication may lead to fewer handover errors such as those made are true in principle but must be keenly </w:t>
      </w:r>
      <w:proofErr w:type="spellStart"/>
      <w:r w:rsidRPr="00C153F4">
        <w:rPr>
          <w:lang w:val="en-US"/>
        </w:rPr>
        <w:t>contextualised</w:t>
      </w:r>
      <w:proofErr w:type="spellEnd"/>
      <w:r w:rsidRPr="00C153F4">
        <w:rPr>
          <w:lang w:val="en-US"/>
        </w:rPr>
        <w:t xml:space="preserve">: to perform well, staff must comply with it, have consistent internet connectivity and that the quality of the information inputted into the system must be of high quality all of which the presentation lacks any </w:t>
      </w:r>
      <w:proofErr w:type="spellStart"/>
      <w:r w:rsidRPr="00C153F4">
        <w:rPr>
          <w:lang w:val="en-US"/>
        </w:rPr>
        <w:t>rigour</w:t>
      </w:r>
      <w:proofErr w:type="spellEnd"/>
      <w:r w:rsidRPr="00C153F4">
        <w:rPr>
          <w:lang w:val="en-US"/>
        </w:rPr>
        <w:t xml:space="preserve"> when it comes to addressing</w:t>
      </w:r>
      <w:r w:rsidR="000B1F68">
        <w:rPr>
          <w:lang w:val="en-US"/>
        </w:rPr>
        <w:t xml:space="preserve"> </w:t>
      </w:r>
      <w:r w:rsidR="000B1F68" w:rsidRPr="000B1F68">
        <w:rPr>
          <w:lang w:val="en-US"/>
        </w:rPr>
        <w:t>(</w:t>
      </w:r>
      <w:proofErr w:type="spellStart"/>
      <w:r w:rsidR="000B1F68" w:rsidRPr="000B1F68">
        <w:rPr>
          <w:lang w:val="en-US"/>
        </w:rPr>
        <w:t>Tataei</w:t>
      </w:r>
      <w:proofErr w:type="spellEnd"/>
      <w:r w:rsidR="000B1F68" w:rsidRPr="000B1F68">
        <w:rPr>
          <w:lang w:val="en-US"/>
        </w:rPr>
        <w:t xml:space="preserve"> et al., 2023)</w:t>
      </w:r>
      <w:r w:rsidRPr="00C153F4">
        <w:rPr>
          <w:lang w:val="en-US"/>
        </w:rPr>
        <w:t>. The presentation</w:t>
      </w:r>
      <w:r>
        <w:rPr>
          <w:lang w:val="en-US"/>
        </w:rPr>
        <w:t>,</w:t>
      </w:r>
      <w:r w:rsidRPr="00C153F4">
        <w:rPr>
          <w:lang w:val="en-US"/>
        </w:rPr>
        <w:t xml:space="preserve"> to its credit</w:t>
      </w:r>
      <w:r>
        <w:rPr>
          <w:lang w:val="en-US"/>
        </w:rPr>
        <w:t>,</w:t>
      </w:r>
      <w:r w:rsidRPr="00C153F4">
        <w:rPr>
          <w:lang w:val="en-US"/>
        </w:rPr>
        <w:t xml:space="preserve"> does</w:t>
      </w:r>
      <w:r>
        <w:rPr>
          <w:lang w:val="en-US"/>
        </w:rPr>
        <w:t>,</w:t>
      </w:r>
      <w:r w:rsidRPr="00C153F4">
        <w:rPr>
          <w:lang w:val="en-US"/>
        </w:rPr>
        <w:t xml:space="preserve"> however</w:t>
      </w:r>
      <w:r>
        <w:rPr>
          <w:lang w:val="en-US"/>
        </w:rPr>
        <w:t>,</w:t>
      </w:r>
      <w:r w:rsidRPr="00C153F4">
        <w:rPr>
          <w:lang w:val="en-US"/>
        </w:rPr>
        <w:t xml:space="preserve"> address the limitations and risks, with the necessity of staff training, the risks of inadequately implemented access controls, and a security risk posed by phishing attacks. But the treatment is still superficial. There is no </w:t>
      </w:r>
      <w:r>
        <w:rPr>
          <w:lang w:val="en-US"/>
        </w:rPr>
        <w:t>mention of</w:t>
      </w:r>
      <w:r w:rsidRPr="00C153F4">
        <w:rPr>
          <w:lang w:val="en-US"/>
        </w:rPr>
        <w:t xml:space="preserve"> cybersecurity risks with no discussion of GDPR compliance requirements, Care Quality Commission data governance requirements, or vulnerabilities of cloud-based storage to sensitive patient records</w:t>
      </w:r>
      <w:r w:rsidR="000B1F68">
        <w:rPr>
          <w:lang w:val="en-US"/>
        </w:rPr>
        <w:t xml:space="preserve"> </w:t>
      </w:r>
      <w:r w:rsidR="000B1F68" w:rsidRPr="000B1F68">
        <w:rPr>
          <w:lang w:val="en-US"/>
        </w:rPr>
        <w:t>(</w:t>
      </w:r>
      <w:proofErr w:type="spellStart"/>
      <w:r w:rsidR="000B1F68" w:rsidRPr="000B1F68">
        <w:rPr>
          <w:lang w:val="en-US"/>
        </w:rPr>
        <w:t>Conduah</w:t>
      </w:r>
      <w:proofErr w:type="spellEnd"/>
      <w:r w:rsidR="000B1F68" w:rsidRPr="000B1F68">
        <w:rPr>
          <w:lang w:val="en-US"/>
        </w:rPr>
        <w:t>, Ofoe and Siaw-Marfo, 2025)</w:t>
      </w:r>
      <w:r w:rsidRPr="00C153F4">
        <w:rPr>
          <w:lang w:val="en-US"/>
        </w:rPr>
        <w:t>. The issue of decreased inter-personal contact with staff is also mentioned as a red flag</w:t>
      </w:r>
      <w:r>
        <w:rPr>
          <w:lang w:val="en-US"/>
        </w:rPr>
        <w:t>,</w:t>
      </w:r>
      <w:r w:rsidRPr="00C153F4">
        <w:rPr>
          <w:lang w:val="en-US"/>
        </w:rPr>
        <w:t xml:space="preserve"> but never evolved into a missed chance to interact meaningfully with the relational aspect of care work, in which face-to-face communication </w:t>
      </w:r>
      <w:r>
        <w:rPr>
          <w:lang w:val="en-US"/>
        </w:rPr>
        <w:t>tends</w:t>
      </w:r>
      <w:r w:rsidRPr="00C153F4">
        <w:rPr>
          <w:lang w:val="en-US"/>
        </w:rPr>
        <w:t xml:space="preserve"> to be clinically valuable.</w:t>
      </w:r>
    </w:p>
    <w:p w14:paraId="4F267AEB" w14:textId="7BC5EB15" w:rsidR="00C153F4" w:rsidRPr="00C153F4" w:rsidRDefault="00C153F4" w:rsidP="00C153F4">
      <w:pPr>
        <w:pStyle w:val="Heading1"/>
      </w:pPr>
      <w:r w:rsidRPr="00C153F4">
        <w:t>Recommendations and Strategic Coherence: Strengths, Omissions, and Feasibility</w:t>
      </w:r>
    </w:p>
    <w:p w14:paraId="12466ED4" w14:textId="4F0B150F" w:rsidR="00C153F4" w:rsidRPr="00C153F4" w:rsidRDefault="00C153F4" w:rsidP="00C153F4">
      <w:pPr>
        <w:rPr>
          <w:lang w:val="en-US"/>
        </w:rPr>
      </w:pPr>
      <w:r w:rsidRPr="00C153F4">
        <w:rPr>
          <w:lang w:val="en-US"/>
        </w:rPr>
        <w:t xml:space="preserve">The solutions provided with the introduction of Teams as the daily collaborative tool, usage of the SharePoint and OneDrive as the tools to manage the documents, offering the staff training </w:t>
      </w:r>
      <w:proofErr w:type="spellStart"/>
      <w:r w:rsidRPr="00C153F4">
        <w:rPr>
          <w:lang w:val="en-US"/>
        </w:rPr>
        <w:t>programmes</w:t>
      </w:r>
      <w:proofErr w:type="spellEnd"/>
      <w:r w:rsidRPr="00C153F4">
        <w:rPr>
          <w:lang w:val="en-US"/>
        </w:rPr>
        <w:t xml:space="preserve"> and creating a coherent approach to the digital communication are quite logical and </w:t>
      </w:r>
      <w:r w:rsidRPr="00C153F4">
        <w:rPr>
          <w:lang w:val="en-US"/>
        </w:rPr>
        <w:lastRenderedPageBreak/>
        <w:t xml:space="preserve">internally aligned with the above analysis. The focus on training is especially welcome, as it appropriately </w:t>
      </w:r>
      <w:proofErr w:type="spellStart"/>
      <w:r w:rsidRPr="00C153F4">
        <w:rPr>
          <w:lang w:val="en-US"/>
        </w:rPr>
        <w:t>recognises</w:t>
      </w:r>
      <w:proofErr w:type="spellEnd"/>
      <w:r w:rsidRPr="00C153F4">
        <w:rPr>
          <w:lang w:val="en-US"/>
        </w:rPr>
        <w:t xml:space="preserve"> that technology on its own is not sufficient to generate any meaningful </w:t>
      </w:r>
      <w:proofErr w:type="spellStart"/>
      <w:r w:rsidRPr="00C153F4">
        <w:rPr>
          <w:lang w:val="en-US"/>
        </w:rPr>
        <w:t>organisational</w:t>
      </w:r>
      <w:proofErr w:type="spellEnd"/>
      <w:r w:rsidRPr="00C153F4">
        <w:rPr>
          <w:lang w:val="en-US"/>
        </w:rPr>
        <w:t xml:space="preserve"> change</w:t>
      </w:r>
      <w:r w:rsidR="000B1F68">
        <w:rPr>
          <w:lang w:val="en-US"/>
        </w:rPr>
        <w:t xml:space="preserve"> </w:t>
      </w:r>
      <w:r w:rsidR="000B1F68" w:rsidRPr="000B1F68">
        <w:rPr>
          <w:lang w:val="en-US"/>
        </w:rPr>
        <w:t xml:space="preserve">(Giannakos, </w:t>
      </w:r>
      <w:proofErr w:type="spellStart"/>
      <w:r w:rsidR="000B1F68" w:rsidRPr="000B1F68">
        <w:rPr>
          <w:lang w:val="en-US"/>
        </w:rPr>
        <w:t>Mikalef</w:t>
      </w:r>
      <w:proofErr w:type="spellEnd"/>
      <w:r w:rsidR="000B1F68" w:rsidRPr="000B1F68">
        <w:rPr>
          <w:lang w:val="en-US"/>
        </w:rPr>
        <w:t xml:space="preserve"> and Pappas, 2021)</w:t>
      </w:r>
      <w:r w:rsidRPr="00C153F4">
        <w:rPr>
          <w:lang w:val="en-US"/>
        </w:rPr>
        <w:t xml:space="preserve">. However, </w:t>
      </w:r>
      <w:r>
        <w:rPr>
          <w:lang w:val="en-US"/>
        </w:rPr>
        <w:t xml:space="preserve">the </w:t>
      </w:r>
      <w:r w:rsidRPr="00C153F4">
        <w:rPr>
          <w:lang w:val="en-US"/>
        </w:rPr>
        <w:t xml:space="preserve">specificity and the strategic depth of the recommendations are quite lacking. No gradual implementation plan, no talk about the costs or the procurement procedures, and no recognition of </w:t>
      </w:r>
      <w:r>
        <w:rPr>
          <w:lang w:val="en-US"/>
        </w:rPr>
        <w:t xml:space="preserve">the </w:t>
      </w:r>
      <w:r w:rsidRPr="00C153F4">
        <w:rPr>
          <w:lang w:val="en-US"/>
        </w:rPr>
        <w:t>significant financial burden of the care sector, where the budgets of digital structure are often limited. This leaves a critical reader wondering how</w:t>
      </w:r>
      <w:r>
        <w:rPr>
          <w:lang w:val="en-US"/>
        </w:rPr>
        <w:t>,</w:t>
      </w:r>
      <w:r w:rsidRPr="00C153F4">
        <w:rPr>
          <w:lang w:val="en-US"/>
        </w:rPr>
        <w:t xml:space="preserve"> in practice</w:t>
      </w:r>
      <w:r>
        <w:rPr>
          <w:lang w:val="en-US"/>
        </w:rPr>
        <w:t>,</w:t>
      </w:r>
      <w:r w:rsidRPr="00C153F4">
        <w:rPr>
          <w:lang w:val="en-US"/>
        </w:rPr>
        <w:t xml:space="preserve"> Greenford Care Home would resource, manage and sustain this digital transition. In addition, the suggestion to create a digital communication strategy is expressed as a goal to achieve instead of the real process; there is no hint given on what it will be based on</w:t>
      </w:r>
      <w:r>
        <w:rPr>
          <w:lang w:val="en-US"/>
        </w:rPr>
        <w:t>,</w:t>
      </w:r>
      <w:r w:rsidRPr="00C153F4">
        <w:rPr>
          <w:lang w:val="en-US"/>
        </w:rPr>
        <w:t xml:space="preserve"> and it is going to be owned by </w:t>
      </w:r>
      <w:r>
        <w:rPr>
          <w:lang w:val="en-US"/>
        </w:rPr>
        <w:t>whom</w:t>
      </w:r>
      <w:r w:rsidRPr="00C153F4">
        <w:rPr>
          <w:lang w:val="en-US"/>
        </w:rPr>
        <w:t xml:space="preserve"> and how it can facilitate authentic staff interest</w:t>
      </w:r>
      <w:r w:rsidR="000B1F68">
        <w:rPr>
          <w:lang w:val="en-US"/>
        </w:rPr>
        <w:t xml:space="preserve"> </w:t>
      </w:r>
      <w:r w:rsidR="000B1F68" w:rsidRPr="000B1F68">
        <w:rPr>
          <w:lang w:val="en-US"/>
        </w:rPr>
        <w:t>(Ahmad, 2025)</w:t>
      </w:r>
      <w:r w:rsidRPr="00C153F4">
        <w:rPr>
          <w:lang w:val="en-US"/>
        </w:rPr>
        <w:t>. The academic literature used</w:t>
      </w:r>
      <w:r>
        <w:rPr>
          <w:lang w:val="en-US"/>
        </w:rPr>
        <w:t>,</w:t>
      </w:r>
      <w:r w:rsidRPr="00C153F4">
        <w:rPr>
          <w:lang w:val="en-US"/>
        </w:rPr>
        <w:t xml:space="preserve"> such as </w:t>
      </w:r>
      <w:proofErr w:type="spellStart"/>
      <w:r w:rsidRPr="00C153F4">
        <w:rPr>
          <w:lang w:val="en-US"/>
        </w:rPr>
        <w:t>Wannheden</w:t>
      </w:r>
      <w:proofErr w:type="spellEnd"/>
      <w:r w:rsidRPr="00C153F4">
        <w:rPr>
          <w:lang w:val="en-US"/>
        </w:rPr>
        <w:t xml:space="preserve"> et al. and </w:t>
      </w:r>
      <w:proofErr w:type="spellStart"/>
      <w:r w:rsidRPr="00C153F4">
        <w:rPr>
          <w:lang w:val="en-US"/>
        </w:rPr>
        <w:t>Mallakin</w:t>
      </w:r>
      <w:proofErr w:type="spellEnd"/>
      <w:r w:rsidRPr="00C153F4">
        <w:rPr>
          <w:lang w:val="en-US"/>
        </w:rPr>
        <w:t xml:space="preserve"> et al.</w:t>
      </w:r>
      <w:r>
        <w:rPr>
          <w:lang w:val="en-US"/>
        </w:rPr>
        <w:t>,</w:t>
      </w:r>
      <w:r w:rsidRPr="00C153F4">
        <w:rPr>
          <w:lang w:val="en-US"/>
        </w:rPr>
        <w:t xml:space="preserve"> is valid</w:t>
      </w:r>
      <w:r>
        <w:rPr>
          <w:lang w:val="en-US"/>
        </w:rPr>
        <w:t>,</w:t>
      </w:r>
      <w:r w:rsidRPr="00C153F4">
        <w:rPr>
          <w:lang w:val="en-US"/>
        </w:rPr>
        <w:t xml:space="preserve"> but the presentation does not always relate their results to the context of Greenford in a manner that yields practical understanding</w:t>
      </w:r>
      <w:r>
        <w:rPr>
          <w:lang w:val="en-US"/>
        </w:rPr>
        <w:t>.</w:t>
      </w:r>
    </w:p>
    <w:p w14:paraId="33166C3F" w14:textId="77777777" w:rsidR="00C153F4" w:rsidRPr="00C153F4" w:rsidRDefault="00C153F4" w:rsidP="00C153F4">
      <w:pPr>
        <w:pStyle w:val="Heading1"/>
      </w:pPr>
      <w:r w:rsidRPr="00C153F4">
        <w:t>Conclusion</w:t>
      </w:r>
    </w:p>
    <w:p w14:paraId="2336A578" w14:textId="15CA7DAE" w:rsidR="00C153F4" w:rsidRDefault="00C153F4" w:rsidP="00C153F4">
      <w:pPr>
        <w:rPr>
          <w:lang w:val="en-US"/>
        </w:rPr>
      </w:pPr>
      <w:r w:rsidRPr="00C153F4">
        <w:rPr>
          <w:lang w:val="en-US"/>
        </w:rPr>
        <w:t xml:space="preserve">Overall, this presentation provides a proficient and </w:t>
      </w:r>
      <w:r>
        <w:rPr>
          <w:lang w:val="en-US"/>
        </w:rPr>
        <w:t>well-</w:t>
      </w:r>
      <w:proofErr w:type="spellStart"/>
      <w:r>
        <w:rPr>
          <w:lang w:val="en-US"/>
        </w:rPr>
        <w:t>organised</w:t>
      </w:r>
      <w:proofErr w:type="spellEnd"/>
      <w:r w:rsidRPr="00C153F4">
        <w:rPr>
          <w:lang w:val="en-US"/>
        </w:rPr>
        <w:t xml:space="preserve"> overview of the potential role of Microsoft 365 tools in enhancing communication at the Greenford Care Home. It shows the knowledge of the most important platforms and has access to an average portion of scholarly and working literature. But it is insufficient to the critical </w:t>
      </w:r>
      <w:proofErr w:type="spellStart"/>
      <w:r w:rsidRPr="00C153F4">
        <w:rPr>
          <w:lang w:val="en-US"/>
        </w:rPr>
        <w:t>rigour</w:t>
      </w:r>
      <w:proofErr w:type="spellEnd"/>
      <w:r w:rsidRPr="00C153F4">
        <w:rPr>
          <w:lang w:val="en-US"/>
        </w:rPr>
        <w:t xml:space="preserve"> that the thorough critical assessment is supposed to possess. The advantages are portrayed too rosily, the constraints have not been well developed</w:t>
      </w:r>
      <w:r>
        <w:rPr>
          <w:lang w:val="en-US"/>
        </w:rPr>
        <w:t>,</w:t>
      </w:r>
      <w:r w:rsidRPr="00C153F4">
        <w:rPr>
          <w:lang w:val="en-US"/>
        </w:rPr>
        <w:t xml:space="preserve"> and the recommendations lack the practical</w:t>
      </w:r>
      <w:r>
        <w:rPr>
          <w:lang w:val="en-US"/>
        </w:rPr>
        <w:t>,</w:t>
      </w:r>
      <w:r w:rsidRPr="00C153F4">
        <w:rPr>
          <w:lang w:val="en-US"/>
        </w:rPr>
        <w:t xml:space="preserve"> concrete complexity that would make them really practical in a clinical environment. Most notably missing are the main discussions of data governance and regulatory compliance</w:t>
      </w:r>
      <w:r>
        <w:rPr>
          <w:lang w:val="en-US"/>
        </w:rPr>
        <w:t>,</w:t>
      </w:r>
      <w:r w:rsidRPr="00C153F4">
        <w:rPr>
          <w:lang w:val="en-US"/>
        </w:rPr>
        <w:t xml:space="preserve"> and financial and logistical aspects of implementation. A more assertive submission would have demanded a closer scrutiny of the disparity between theoretical potential and immediately real facts</w:t>
      </w:r>
      <w:r>
        <w:rPr>
          <w:lang w:val="en-US"/>
        </w:rPr>
        <w:t>,</w:t>
      </w:r>
      <w:r w:rsidRPr="00C153F4">
        <w:rPr>
          <w:lang w:val="en-US"/>
        </w:rPr>
        <w:t xml:space="preserve"> and </w:t>
      </w:r>
      <w:r>
        <w:rPr>
          <w:lang w:val="en-US"/>
        </w:rPr>
        <w:t>placed</w:t>
      </w:r>
      <w:r w:rsidRPr="00C153F4">
        <w:rPr>
          <w:lang w:val="en-US"/>
        </w:rPr>
        <w:t xml:space="preserve"> Microsoft 365 not as a direct answer but as an element of a new</w:t>
      </w:r>
      <w:r w:rsidR="008A7DD3">
        <w:rPr>
          <w:lang w:val="en-US"/>
        </w:rPr>
        <w:t>,</w:t>
      </w:r>
      <w:r w:rsidRPr="00C153F4">
        <w:rPr>
          <w:lang w:val="en-US"/>
        </w:rPr>
        <w:t xml:space="preserve"> comprehensive, well-regulated transformation of the </w:t>
      </w:r>
      <w:proofErr w:type="spellStart"/>
      <w:r>
        <w:rPr>
          <w:lang w:val="en-US"/>
        </w:rPr>
        <w:t>organisational</w:t>
      </w:r>
      <w:proofErr w:type="spellEnd"/>
      <w:r w:rsidRPr="00C153F4">
        <w:rPr>
          <w:lang w:val="en-US"/>
        </w:rPr>
        <w:t xml:space="preserve"> communication culture at Greenford Care Home.</w:t>
      </w:r>
    </w:p>
    <w:p w14:paraId="18EB5E9F" w14:textId="77777777" w:rsidR="000B1F68" w:rsidRDefault="000B1F68" w:rsidP="00C153F4">
      <w:pPr>
        <w:rPr>
          <w:lang w:val="en-US"/>
        </w:rPr>
      </w:pPr>
    </w:p>
    <w:p w14:paraId="5F211A95" w14:textId="18765C64" w:rsidR="000B1F68" w:rsidRDefault="000B1F68" w:rsidP="00C153F4">
      <w:pPr>
        <w:rPr>
          <w:lang w:val="en-US"/>
        </w:rPr>
      </w:pPr>
      <w:r>
        <w:rPr>
          <w:lang w:val="en-US"/>
        </w:rPr>
        <w:br w:type="column"/>
      </w:r>
      <w:r w:rsidRPr="000B1F68">
        <w:rPr>
          <w:b/>
          <w:bCs/>
          <w:lang w:val="en-US"/>
        </w:rPr>
        <w:lastRenderedPageBreak/>
        <w:t>References</w:t>
      </w:r>
    </w:p>
    <w:p w14:paraId="7285834E" w14:textId="77777777" w:rsidR="000B1F68" w:rsidRPr="000B1F68" w:rsidRDefault="000B1F68" w:rsidP="000B1F68">
      <w:pPr>
        <w:ind w:left="720" w:hanging="720"/>
        <w:rPr>
          <w:lang w:val="en-US"/>
        </w:rPr>
      </w:pPr>
      <w:r w:rsidRPr="000B1F68">
        <w:rPr>
          <w:lang w:val="en-US"/>
        </w:rPr>
        <w:t xml:space="preserve">Ahmad, N.R. (2025). Digital marketing strategies and consumer engagement: A comparative study of traditional vs. e-commerce brands. </w:t>
      </w:r>
      <w:r w:rsidRPr="000B1F68">
        <w:rPr>
          <w:i/>
          <w:iCs/>
          <w:lang w:val="en-US"/>
        </w:rPr>
        <w:t>The Critical Review of Social Sciences Studies</w:t>
      </w:r>
      <w:r w:rsidRPr="000B1F68">
        <w:rPr>
          <w:lang w:val="en-US"/>
        </w:rPr>
        <w:t xml:space="preserve">, 3(1), pp.1537–1548. </w:t>
      </w:r>
      <w:proofErr w:type="spellStart"/>
      <w:proofErr w:type="gramStart"/>
      <w:r w:rsidRPr="000B1F68">
        <w:rPr>
          <w:lang w:val="en-US"/>
        </w:rPr>
        <w:t>doi:https</w:t>
      </w:r>
      <w:proofErr w:type="spellEnd"/>
      <w:r w:rsidRPr="000B1F68">
        <w:rPr>
          <w:lang w:val="en-US"/>
        </w:rPr>
        <w:t>://doi.org/10.59075/t8pba787</w:t>
      </w:r>
      <w:proofErr w:type="gramEnd"/>
      <w:r w:rsidRPr="000B1F68">
        <w:rPr>
          <w:lang w:val="en-US"/>
        </w:rPr>
        <w:t>.</w:t>
      </w:r>
    </w:p>
    <w:p w14:paraId="070B40B9" w14:textId="77777777" w:rsidR="000B1F68" w:rsidRPr="000B1F68" w:rsidRDefault="000B1F68" w:rsidP="000B1F68">
      <w:pPr>
        <w:ind w:left="720" w:hanging="720"/>
        <w:rPr>
          <w:lang w:val="en-US"/>
        </w:rPr>
      </w:pPr>
      <w:proofErr w:type="spellStart"/>
      <w:r w:rsidRPr="000B1F68">
        <w:rPr>
          <w:lang w:val="en-US"/>
        </w:rPr>
        <w:t>Conduah</w:t>
      </w:r>
      <w:proofErr w:type="spellEnd"/>
      <w:r w:rsidRPr="000B1F68">
        <w:rPr>
          <w:lang w:val="en-US"/>
        </w:rPr>
        <w:t xml:space="preserve">, A.K., Ofoe, S. and Siaw-Marfo, D. (2025). Data privacy in healthcare: Global challenges and solutions. </w:t>
      </w:r>
      <w:r w:rsidRPr="000B1F68">
        <w:rPr>
          <w:i/>
          <w:iCs/>
          <w:lang w:val="en-US"/>
        </w:rPr>
        <w:t>Digital Health</w:t>
      </w:r>
      <w:r w:rsidRPr="000B1F68">
        <w:rPr>
          <w:lang w:val="en-US"/>
        </w:rPr>
        <w:t xml:space="preserve">, 11(20552076251343959). </w:t>
      </w:r>
      <w:proofErr w:type="spellStart"/>
      <w:proofErr w:type="gramStart"/>
      <w:r w:rsidRPr="000B1F68">
        <w:rPr>
          <w:lang w:val="en-US"/>
        </w:rPr>
        <w:t>doi:https</w:t>
      </w:r>
      <w:proofErr w:type="spellEnd"/>
      <w:r w:rsidRPr="000B1F68">
        <w:rPr>
          <w:lang w:val="en-US"/>
        </w:rPr>
        <w:t>://doi.org/10.1177/20552076251343959</w:t>
      </w:r>
      <w:proofErr w:type="gramEnd"/>
      <w:r w:rsidRPr="000B1F68">
        <w:rPr>
          <w:lang w:val="en-US"/>
        </w:rPr>
        <w:t>.</w:t>
      </w:r>
    </w:p>
    <w:p w14:paraId="55BEB693" w14:textId="77777777" w:rsidR="000B1F68" w:rsidRPr="000B1F68" w:rsidRDefault="000B1F68" w:rsidP="000B1F68">
      <w:pPr>
        <w:ind w:left="720" w:hanging="720"/>
        <w:rPr>
          <w:lang w:val="en-US"/>
        </w:rPr>
      </w:pPr>
      <w:r w:rsidRPr="000B1F68">
        <w:rPr>
          <w:lang w:val="en-US"/>
        </w:rPr>
        <w:t xml:space="preserve">Garner, A., Lewis, J., Dixon, S., Preston, N., Camila, Hanratty, B., Jones, M., Knight, J. and Mason, S.M. (2024). The impact of digital technology in care homes on unplanned secondary care usage and associated costs. </w:t>
      </w:r>
      <w:r w:rsidRPr="000B1F68">
        <w:rPr>
          <w:i/>
          <w:iCs/>
          <w:lang w:val="en-US"/>
        </w:rPr>
        <w:t>Age and Ageing</w:t>
      </w:r>
      <w:r w:rsidRPr="000B1F68">
        <w:rPr>
          <w:lang w:val="en-US"/>
        </w:rPr>
        <w:t xml:space="preserve">, [online] 53(2). </w:t>
      </w:r>
      <w:proofErr w:type="spellStart"/>
      <w:proofErr w:type="gramStart"/>
      <w:r w:rsidRPr="000B1F68">
        <w:rPr>
          <w:lang w:val="en-US"/>
        </w:rPr>
        <w:t>doi:https</w:t>
      </w:r>
      <w:proofErr w:type="spellEnd"/>
      <w:r w:rsidRPr="000B1F68">
        <w:rPr>
          <w:lang w:val="en-US"/>
        </w:rPr>
        <w:t>://doi.org/10.1093/ageing/afae004</w:t>
      </w:r>
      <w:proofErr w:type="gramEnd"/>
      <w:r w:rsidRPr="000B1F68">
        <w:rPr>
          <w:lang w:val="en-US"/>
        </w:rPr>
        <w:t>.</w:t>
      </w:r>
    </w:p>
    <w:p w14:paraId="106EF62E" w14:textId="6369CEBB" w:rsidR="000B1F68" w:rsidRPr="000B1F68" w:rsidRDefault="000B1F68" w:rsidP="000B1F68">
      <w:pPr>
        <w:ind w:left="720" w:hanging="720"/>
        <w:rPr>
          <w:lang w:val="en-US"/>
        </w:rPr>
      </w:pPr>
      <w:r w:rsidRPr="000B1F68">
        <w:rPr>
          <w:lang w:val="en-US"/>
        </w:rPr>
        <w:t xml:space="preserve">Giannakos, M.N., Mikalef, P. and Pappas, I.O. (2021). Systematic Literature Review of E-Learning Capabilities to Enhance </w:t>
      </w:r>
      <w:proofErr w:type="spellStart"/>
      <w:r w:rsidR="008A7DD3">
        <w:rPr>
          <w:lang w:val="en-US"/>
        </w:rPr>
        <w:t>Organisational</w:t>
      </w:r>
      <w:proofErr w:type="spellEnd"/>
      <w:r w:rsidRPr="000B1F68">
        <w:rPr>
          <w:lang w:val="en-US"/>
        </w:rPr>
        <w:t xml:space="preserve"> Learning. </w:t>
      </w:r>
      <w:r w:rsidRPr="000B1F68">
        <w:rPr>
          <w:i/>
          <w:iCs/>
          <w:lang w:val="en-US"/>
        </w:rPr>
        <w:t>Information Systems Frontiers</w:t>
      </w:r>
      <w:r w:rsidRPr="000B1F68">
        <w:rPr>
          <w:lang w:val="en-US"/>
        </w:rPr>
        <w:t xml:space="preserve">, 24(2). </w:t>
      </w:r>
      <w:proofErr w:type="spellStart"/>
      <w:proofErr w:type="gramStart"/>
      <w:r w:rsidRPr="000B1F68">
        <w:rPr>
          <w:lang w:val="en-US"/>
        </w:rPr>
        <w:t>doi:https</w:t>
      </w:r>
      <w:proofErr w:type="spellEnd"/>
      <w:r w:rsidRPr="000B1F68">
        <w:rPr>
          <w:lang w:val="en-US"/>
        </w:rPr>
        <w:t>://doi.org/10.1007/s10796-020-10097-2</w:t>
      </w:r>
      <w:proofErr w:type="gramEnd"/>
      <w:r w:rsidRPr="000B1F68">
        <w:rPr>
          <w:lang w:val="en-US"/>
        </w:rPr>
        <w:t>.</w:t>
      </w:r>
    </w:p>
    <w:p w14:paraId="0BE6EED9" w14:textId="77777777" w:rsidR="000B1F68" w:rsidRPr="000B1F68" w:rsidRDefault="000B1F68" w:rsidP="000B1F68">
      <w:pPr>
        <w:ind w:left="720" w:hanging="720"/>
        <w:rPr>
          <w:lang w:val="en-US"/>
        </w:rPr>
      </w:pPr>
      <w:r w:rsidRPr="000B1F68">
        <w:rPr>
          <w:lang w:val="en-US"/>
        </w:rPr>
        <w:t xml:space="preserve">Nordmann, K., Redlich, M.-C., Schaller, M., Sauter, S. and Fischer, F. (2024). Towards a conceptual framework for digitally supported communication, coordination, cooperation and collaboration in interprofessional healthcare: A scoping review (Preprint). </w:t>
      </w:r>
      <w:r w:rsidRPr="000B1F68">
        <w:rPr>
          <w:i/>
          <w:iCs/>
          <w:lang w:val="en-US"/>
        </w:rPr>
        <w:t>Journal of Medical Internet Research</w:t>
      </w:r>
      <w:r w:rsidRPr="000B1F68">
        <w:rPr>
          <w:lang w:val="en-US"/>
        </w:rPr>
        <w:t xml:space="preserve">. </w:t>
      </w:r>
      <w:proofErr w:type="spellStart"/>
      <w:proofErr w:type="gramStart"/>
      <w:r w:rsidRPr="000B1F68">
        <w:rPr>
          <w:lang w:val="en-US"/>
        </w:rPr>
        <w:t>doi:https</w:t>
      </w:r>
      <w:proofErr w:type="spellEnd"/>
      <w:r w:rsidRPr="000B1F68">
        <w:rPr>
          <w:lang w:val="en-US"/>
        </w:rPr>
        <w:t>://doi.org/10.2196/69276</w:t>
      </w:r>
      <w:proofErr w:type="gramEnd"/>
      <w:r w:rsidRPr="000B1F68">
        <w:rPr>
          <w:lang w:val="en-US"/>
        </w:rPr>
        <w:t>.</w:t>
      </w:r>
    </w:p>
    <w:p w14:paraId="3565ADC9" w14:textId="77777777" w:rsidR="000B1F68" w:rsidRPr="000B1F68" w:rsidRDefault="000B1F68" w:rsidP="000B1F68">
      <w:pPr>
        <w:ind w:left="720" w:hanging="720"/>
        <w:rPr>
          <w:lang w:val="en-US"/>
        </w:rPr>
      </w:pPr>
      <w:proofErr w:type="spellStart"/>
      <w:r w:rsidRPr="000B1F68">
        <w:rPr>
          <w:lang w:val="en-US"/>
        </w:rPr>
        <w:t>Tataei</w:t>
      </w:r>
      <w:proofErr w:type="spellEnd"/>
      <w:r w:rsidRPr="000B1F68">
        <w:rPr>
          <w:lang w:val="en-US"/>
        </w:rPr>
        <w:t xml:space="preserve">, A., Rahimi, B., Afshar, H.L., Alinejad, V., Jafarizadeh, H. and Parizad, N. (2023). The effects of electronic nursing handover on patient safety in the general (non-COVID-19) and COVID-19 intensive care units: a quasi-experimental study. </w:t>
      </w:r>
      <w:r w:rsidRPr="000B1F68">
        <w:rPr>
          <w:i/>
          <w:iCs/>
          <w:lang w:val="en-US"/>
        </w:rPr>
        <w:t>BMC Health Services Research</w:t>
      </w:r>
      <w:r w:rsidRPr="000B1F68">
        <w:rPr>
          <w:lang w:val="en-US"/>
        </w:rPr>
        <w:t xml:space="preserve">, [online] 23(1). </w:t>
      </w:r>
      <w:proofErr w:type="spellStart"/>
      <w:proofErr w:type="gramStart"/>
      <w:r w:rsidRPr="000B1F68">
        <w:rPr>
          <w:lang w:val="en-US"/>
        </w:rPr>
        <w:t>doi:https</w:t>
      </w:r>
      <w:proofErr w:type="spellEnd"/>
      <w:r w:rsidRPr="000B1F68">
        <w:rPr>
          <w:lang w:val="en-US"/>
        </w:rPr>
        <w:t>://doi.org/10.1186/s12913-023-09502-8</w:t>
      </w:r>
      <w:proofErr w:type="gramEnd"/>
      <w:r w:rsidRPr="000B1F68">
        <w:rPr>
          <w:lang w:val="en-US"/>
        </w:rPr>
        <w:t>.</w:t>
      </w:r>
    </w:p>
    <w:p w14:paraId="18C8BF47" w14:textId="77777777" w:rsidR="000B1F68" w:rsidRPr="000B1F68" w:rsidRDefault="000B1F68" w:rsidP="000B1F68">
      <w:pPr>
        <w:ind w:left="720" w:hanging="720"/>
        <w:rPr>
          <w:lang w:val="en-US"/>
        </w:rPr>
      </w:pPr>
      <w:r w:rsidRPr="000B1F68">
        <w:rPr>
          <w:lang w:val="en-US"/>
        </w:rPr>
        <w:t xml:space="preserve">Whitfield, G., Kispeter, E., Hamblin, K. and Burns, D. (2025). How the care workforce navigates the digital ‘skills gap’: problems and opportunities from policy to practice. </w:t>
      </w:r>
      <w:r w:rsidRPr="000B1F68">
        <w:rPr>
          <w:i/>
          <w:iCs/>
          <w:lang w:val="en-US"/>
        </w:rPr>
        <w:t>Frontiers in Sociology</w:t>
      </w:r>
      <w:r w:rsidRPr="000B1F68">
        <w:rPr>
          <w:lang w:val="en-US"/>
        </w:rPr>
        <w:t xml:space="preserve">, 10. </w:t>
      </w:r>
      <w:proofErr w:type="spellStart"/>
      <w:proofErr w:type="gramStart"/>
      <w:r w:rsidRPr="000B1F68">
        <w:rPr>
          <w:lang w:val="en-US"/>
        </w:rPr>
        <w:t>doi:https</w:t>
      </w:r>
      <w:proofErr w:type="spellEnd"/>
      <w:r w:rsidRPr="000B1F68">
        <w:rPr>
          <w:lang w:val="en-US"/>
        </w:rPr>
        <w:t>://doi.org/10.3389/fsoc.2025.1552672</w:t>
      </w:r>
      <w:proofErr w:type="gramEnd"/>
      <w:r w:rsidRPr="000B1F68">
        <w:rPr>
          <w:lang w:val="en-US"/>
        </w:rPr>
        <w:t>.</w:t>
      </w:r>
    </w:p>
    <w:p w14:paraId="4B19FEFD" w14:textId="77777777" w:rsidR="000B1F68" w:rsidRPr="00C153F4" w:rsidRDefault="000B1F68" w:rsidP="00C153F4">
      <w:pPr>
        <w:rPr>
          <w:lang w:val="en-US"/>
        </w:rPr>
      </w:pPr>
    </w:p>
    <w:sectPr w:rsidR="000B1F68" w:rsidRPr="00C153F4" w:rsidSect="000B1F68">
      <w:head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E2415" w14:textId="77777777" w:rsidR="008F5460" w:rsidRDefault="008F5460" w:rsidP="000B1F68">
      <w:pPr>
        <w:spacing w:after="0" w:line="240" w:lineRule="auto"/>
      </w:pPr>
      <w:r>
        <w:separator/>
      </w:r>
    </w:p>
  </w:endnote>
  <w:endnote w:type="continuationSeparator" w:id="0">
    <w:p w14:paraId="414BE2D3" w14:textId="77777777" w:rsidR="008F5460" w:rsidRDefault="008F5460" w:rsidP="000B1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33782" w14:textId="77777777" w:rsidR="008F5460" w:rsidRDefault="008F5460" w:rsidP="000B1F68">
      <w:pPr>
        <w:spacing w:after="0" w:line="240" w:lineRule="auto"/>
      </w:pPr>
      <w:r>
        <w:separator/>
      </w:r>
    </w:p>
  </w:footnote>
  <w:footnote w:type="continuationSeparator" w:id="0">
    <w:p w14:paraId="2B270C5F" w14:textId="77777777" w:rsidR="008F5460" w:rsidRDefault="008F5460" w:rsidP="000B1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466054"/>
      <w:docPartObj>
        <w:docPartGallery w:val="Page Numbers (Top of Page)"/>
        <w:docPartUnique/>
      </w:docPartObj>
    </w:sdtPr>
    <w:sdtEndPr>
      <w:rPr>
        <w:noProof/>
      </w:rPr>
    </w:sdtEndPr>
    <w:sdtContent>
      <w:p w14:paraId="3C62EC74" w14:textId="79D11317" w:rsidR="000B1F68" w:rsidRDefault="000B1F6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13A387C" w14:textId="77777777" w:rsidR="000B1F68" w:rsidRDefault="000B1F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3F4"/>
    <w:rsid w:val="00010AEE"/>
    <w:rsid w:val="00041168"/>
    <w:rsid w:val="000647DA"/>
    <w:rsid w:val="00064F61"/>
    <w:rsid w:val="00072283"/>
    <w:rsid w:val="00086C71"/>
    <w:rsid w:val="0009237E"/>
    <w:rsid w:val="00096D97"/>
    <w:rsid w:val="000A2001"/>
    <w:rsid w:val="000A36A4"/>
    <w:rsid w:val="000A3E8D"/>
    <w:rsid w:val="000B1F68"/>
    <w:rsid w:val="000D4097"/>
    <w:rsid w:val="000E28CB"/>
    <w:rsid w:val="000F627A"/>
    <w:rsid w:val="001004CE"/>
    <w:rsid w:val="00124FFB"/>
    <w:rsid w:val="00133A96"/>
    <w:rsid w:val="00134B80"/>
    <w:rsid w:val="001379BC"/>
    <w:rsid w:val="00153F30"/>
    <w:rsid w:val="001671AD"/>
    <w:rsid w:val="001954CE"/>
    <w:rsid w:val="001A02B5"/>
    <w:rsid w:val="001B26E4"/>
    <w:rsid w:val="001B3C93"/>
    <w:rsid w:val="001C394B"/>
    <w:rsid w:val="00202450"/>
    <w:rsid w:val="00212ED3"/>
    <w:rsid w:val="00250D92"/>
    <w:rsid w:val="00273139"/>
    <w:rsid w:val="00273810"/>
    <w:rsid w:val="0028340D"/>
    <w:rsid w:val="002839CB"/>
    <w:rsid w:val="002A3058"/>
    <w:rsid w:val="002B1B3C"/>
    <w:rsid w:val="002B6838"/>
    <w:rsid w:val="002D74AE"/>
    <w:rsid w:val="003154C4"/>
    <w:rsid w:val="00340F62"/>
    <w:rsid w:val="00342100"/>
    <w:rsid w:val="00342AB8"/>
    <w:rsid w:val="00343B3F"/>
    <w:rsid w:val="00392F28"/>
    <w:rsid w:val="003A08BB"/>
    <w:rsid w:val="003A6A71"/>
    <w:rsid w:val="003B6E2F"/>
    <w:rsid w:val="003C3F39"/>
    <w:rsid w:val="003D63C0"/>
    <w:rsid w:val="00402031"/>
    <w:rsid w:val="004165DF"/>
    <w:rsid w:val="00422433"/>
    <w:rsid w:val="004353A6"/>
    <w:rsid w:val="004377BF"/>
    <w:rsid w:val="004466E1"/>
    <w:rsid w:val="00493D61"/>
    <w:rsid w:val="004A1A97"/>
    <w:rsid w:val="004A2675"/>
    <w:rsid w:val="004A71F3"/>
    <w:rsid w:val="004C7F63"/>
    <w:rsid w:val="004F7DD7"/>
    <w:rsid w:val="00554C73"/>
    <w:rsid w:val="00586EFB"/>
    <w:rsid w:val="0059470A"/>
    <w:rsid w:val="005B7FD3"/>
    <w:rsid w:val="005C0D6C"/>
    <w:rsid w:val="005C3ED7"/>
    <w:rsid w:val="005D0E47"/>
    <w:rsid w:val="005E4294"/>
    <w:rsid w:val="005F3D78"/>
    <w:rsid w:val="00612CD1"/>
    <w:rsid w:val="00631841"/>
    <w:rsid w:val="00635C7A"/>
    <w:rsid w:val="00650193"/>
    <w:rsid w:val="00666D14"/>
    <w:rsid w:val="006945ED"/>
    <w:rsid w:val="00694859"/>
    <w:rsid w:val="006A594B"/>
    <w:rsid w:val="006B3D55"/>
    <w:rsid w:val="006B4EDC"/>
    <w:rsid w:val="00712747"/>
    <w:rsid w:val="00714529"/>
    <w:rsid w:val="007210D0"/>
    <w:rsid w:val="00743697"/>
    <w:rsid w:val="00765197"/>
    <w:rsid w:val="007706E5"/>
    <w:rsid w:val="00773ACB"/>
    <w:rsid w:val="007776AB"/>
    <w:rsid w:val="007841CC"/>
    <w:rsid w:val="00794C0A"/>
    <w:rsid w:val="007A6453"/>
    <w:rsid w:val="007B3839"/>
    <w:rsid w:val="008032C9"/>
    <w:rsid w:val="008058D0"/>
    <w:rsid w:val="008216CE"/>
    <w:rsid w:val="00825A50"/>
    <w:rsid w:val="008312AC"/>
    <w:rsid w:val="0085584B"/>
    <w:rsid w:val="008569F0"/>
    <w:rsid w:val="00866F3E"/>
    <w:rsid w:val="00872401"/>
    <w:rsid w:val="0087438F"/>
    <w:rsid w:val="008744FF"/>
    <w:rsid w:val="00881170"/>
    <w:rsid w:val="00894B1A"/>
    <w:rsid w:val="008A7B6D"/>
    <w:rsid w:val="008A7DD3"/>
    <w:rsid w:val="008B7D91"/>
    <w:rsid w:val="008C6E8C"/>
    <w:rsid w:val="008D4596"/>
    <w:rsid w:val="008F5460"/>
    <w:rsid w:val="00912127"/>
    <w:rsid w:val="0091676B"/>
    <w:rsid w:val="00934492"/>
    <w:rsid w:val="00980F56"/>
    <w:rsid w:val="009927B3"/>
    <w:rsid w:val="009C5D4F"/>
    <w:rsid w:val="009D1BC1"/>
    <w:rsid w:val="009D6492"/>
    <w:rsid w:val="009D7689"/>
    <w:rsid w:val="009E40DD"/>
    <w:rsid w:val="009F0C2A"/>
    <w:rsid w:val="009F4AD2"/>
    <w:rsid w:val="00A61549"/>
    <w:rsid w:val="00A75E63"/>
    <w:rsid w:val="00A800E1"/>
    <w:rsid w:val="00AA24E6"/>
    <w:rsid w:val="00AF0324"/>
    <w:rsid w:val="00AF3C32"/>
    <w:rsid w:val="00AF503D"/>
    <w:rsid w:val="00B405F1"/>
    <w:rsid w:val="00B44931"/>
    <w:rsid w:val="00B503A0"/>
    <w:rsid w:val="00B55BA1"/>
    <w:rsid w:val="00B76E15"/>
    <w:rsid w:val="00B841D8"/>
    <w:rsid w:val="00B91F81"/>
    <w:rsid w:val="00BA7DA3"/>
    <w:rsid w:val="00BB42F2"/>
    <w:rsid w:val="00BB744C"/>
    <w:rsid w:val="00BC3F50"/>
    <w:rsid w:val="00BE0DA6"/>
    <w:rsid w:val="00BE1244"/>
    <w:rsid w:val="00BF1967"/>
    <w:rsid w:val="00C153F4"/>
    <w:rsid w:val="00C277E1"/>
    <w:rsid w:val="00C37327"/>
    <w:rsid w:val="00C50598"/>
    <w:rsid w:val="00CC1058"/>
    <w:rsid w:val="00CC478B"/>
    <w:rsid w:val="00CD6A52"/>
    <w:rsid w:val="00CF250C"/>
    <w:rsid w:val="00CF3763"/>
    <w:rsid w:val="00D23CDA"/>
    <w:rsid w:val="00D25974"/>
    <w:rsid w:val="00D27E69"/>
    <w:rsid w:val="00D3289A"/>
    <w:rsid w:val="00D735D8"/>
    <w:rsid w:val="00D81312"/>
    <w:rsid w:val="00D87EAF"/>
    <w:rsid w:val="00DC65AC"/>
    <w:rsid w:val="00DF1438"/>
    <w:rsid w:val="00DF5559"/>
    <w:rsid w:val="00E06A93"/>
    <w:rsid w:val="00E47DEB"/>
    <w:rsid w:val="00E5520E"/>
    <w:rsid w:val="00E71D9D"/>
    <w:rsid w:val="00EA2AE4"/>
    <w:rsid w:val="00ED227A"/>
    <w:rsid w:val="00F1571E"/>
    <w:rsid w:val="00F1718C"/>
    <w:rsid w:val="00F171E2"/>
    <w:rsid w:val="00F32A64"/>
    <w:rsid w:val="00F3563B"/>
    <w:rsid w:val="00F431A3"/>
    <w:rsid w:val="00F44349"/>
    <w:rsid w:val="00F521D0"/>
    <w:rsid w:val="00F62DEC"/>
    <w:rsid w:val="00F847EA"/>
    <w:rsid w:val="00F911F2"/>
    <w:rsid w:val="00FA5F6A"/>
    <w:rsid w:val="00FB4A0F"/>
    <w:rsid w:val="00FD6FF6"/>
    <w:rsid w:val="00FE79EF"/>
    <w:rsid w:val="00FF50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7DC2D"/>
  <w15:chartTrackingRefBased/>
  <w15:docId w15:val="{294B7D66-B550-429B-8911-1377C0BAF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DE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34B80"/>
    <w:pPr>
      <w:keepNext/>
      <w:keepLines/>
      <w:spacing w:before="480" w:after="0"/>
      <w:jc w:val="left"/>
      <w:outlineLvl w:val="0"/>
    </w:pPr>
    <w:rPr>
      <w:rFonts w:eastAsiaTheme="majorEastAsia" w:cstheme="majorBidi"/>
      <w:b/>
      <w:bCs/>
      <w:color w:val="000000" w:themeColor="text1"/>
      <w:szCs w:val="28"/>
      <w:lang w:val="en-US"/>
    </w:rPr>
  </w:style>
  <w:style w:type="paragraph" w:styleId="Heading2">
    <w:name w:val="heading 2"/>
    <w:basedOn w:val="Normal"/>
    <w:next w:val="Normal"/>
    <w:link w:val="Heading2Char"/>
    <w:uiPriority w:val="9"/>
    <w:unhideWhenUsed/>
    <w:qFormat/>
    <w:rsid w:val="00134B80"/>
    <w:pPr>
      <w:keepNext/>
      <w:keepLines/>
      <w:spacing w:before="200" w:after="0"/>
      <w:jc w:val="left"/>
      <w:outlineLvl w:val="1"/>
    </w:pPr>
    <w:rPr>
      <w:rFonts w:eastAsiaTheme="majorEastAsia" w:cstheme="majorBidi"/>
      <w:b/>
      <w:bCs/>
      <w:i/>
      <w:color w:val="000000" w:themeColor="text1"/>
      <w:szCs w:val="26"/>
      <w:lang w:val="en-US"/>
    </w:rPr>
  </w:style>
  <w:style w:type="paragraph" w:styleId="Heading3">
    <w:name w:val="heading 3"/>
    <w:basedOn w:val="Heading2"/>
    <w:next w:val="Normal"/>
    <w:link w:val="Heading3Char"/>
    <w:uiPriority w:val="9"/>
    <w:unhideWhenUsed/>
    <w:qFormat/>
    <w:rsid w:val="00881170"/>
    <w:pPr>
      <w:keepNext w:val="0"/>
      <w:keepLines w:val="0"/>
      <w:spacing w:before="120" w:after="120"/>
      <w:jc w:val="both"/>
      <w:outlineLvl w:val="2"/>
    </w:pPr>
    <w:rPr>
      <w:rFonts w:eastAsiaTheme="minorHAnsi" w:cs="Times New Roman"/>
      <w:b w:val="0"/>
      <w:iCs/>
      <w:color w:val="auto"/>
      <w:sz w:val="22"/>
      <w:szCs w:val="22"/>
    </w:rPr>
  </w:style>
  <w:style w:type="paragraph" w:styleId="Heading4">
    <w:name w:val="heading 4"/>
    <w:basedOn w:val="Normal"/>
    <w:next w:val="Normal"/>
    <w:link w:val="Heading4Char"/>
    <w:uiPriority w:val="9"/>
    <w:semiHidden/>
    <w:unhideWhenUsed/>
    <w:qFormat/>
    <w:rsid w:val="00C153F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53F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153F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153F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153F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153F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B80"/>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134B80"/>
    <w:rPr>
      <w:rFonts w:ascii="Times New Roman" w:eastAsiaTheme="majorEastAsia" w:hAnsi="Times New Roman" w:cstheme="majorBidi"/>
      <w:b/>
      <w:bCs/>
      <w:i/>
      <w:color w:val="000000" w:themeColor="text1"/>
      <w:sz w:val="24"/>
      <w:szCs w:val="26"/>
    </w:rPr>
  </w:style>
  <w:style w:type="character" w:customStyle="1" w:styleId="Heading3Char">
    <w:name w:val="Heading 3 Char"/>
    <w:basedOn w:val="DefaultParagraphFont"/>
    <w:link w:val="Heading3"/>
    <w:uiPriority w:val="9"/>
    <w:rsid w:val="00881170"/>
    <w:rPr>
      <w:rFonts w:ascii="Times New Roman" w:hAnsi="Times New Roman" w:cs="Times New Roman"/>
      <w:bCs/>
      <w:i/>
      <w:iCs/>
    </w:rPr>
  </w:style>
  <w:style w:type="paragraph" w:styleId="NoSpacing">
    <w:name w:val="No Spacing"/>
    <w:uiPriority w:val="1"/>
    <w:qFormat/>
    <w:rsid w:val="002B6838"/>
    <w:pPr>
      <w:spacing w:after="0" w:line="360" w:lineRule="auto"/>
      <w:jc w:val="both"/>
    </w:pPr>
    <w:rPr>
      <w:b/>
    </w:rPr>
  </w:style>
  <w:style w:type="character" w:customStyle="1" w:styleId="Heading4Char">
    <w:name w:val="Heading 4 Char"/>
    <w:basedOn w:val="DefaultParagraphFont"/>
    <w:link w:val="Heading4"/>
    <w:uiPriority w:val="9"/>
    <w:semiHidden/>
    <w:rsid w:val="00C153F4"/>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C153F4"/>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C153F4"/>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C153F4"/>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C153F4"/>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C153F4"/>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C15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3F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153F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3F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153F4"/>
    <w:pPr>
      <w:spacing w:before="160"/>
      <w:jc w:val="center"/>
    </w:pPr>
    <w:rPr>
      <w:i/>
      <w:iCs/>
      <w:color w:val="404040" w:themeColor="text1" w:themeTint="BF"/>
    </w:rPr>
  </w:style>
  <w:style w:type="character" w:customStyle="1" w:styleId="QuoteChar">
    <w:name w:val="Quote Char"/>
    <w:basedOn w:val="DefaultParagraphFont"/>
    <w:link w:val="Quote"/>
    <w:uiPriority w:val="29"/>
    <w:rsid w:val="00C153F4"/>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C153F4"/>
    <w:pPr>
      <w:ind w:left="720"/>
      <w:contextualSpacing/>
    </w:pPr>
  </w:style>
  <w:style w:type="character" w:styleId="IntenseEmphasis">
    <w:name w:val="Intense Emphasis"/>
    <w:basedOn w:val="DefaultParagraphFont"/>
    <w:uiPriority w:val="21"/>
    <w:qFormat/>
    <w:rsid w:val="00C153F4"/>
    <w:rPr>
      <w:i/>
      <w:iCs/>
      <w:color w:val="2F5496" w:themeColor="accent1" w:themeShade="BF"/>
    </w:rPr>
  </w:style>
  <w:style w:type="paragraph" w:styleId="IntenseQuote">
    <w:name w:val="Intense Quote"/>
    <w:basedOn w:val="Normal"/>
    <w:next w:val="Normal"/>
    <w:link w:val="IntenseQuoteChar"/>
    <w:uiPriority w:val="30"/>
    <w:qFormat/>
    <w:rsid w:val="00C153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53F4"/>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C153F4"/>
    <w:rPr>
      <w:b/>
      <w:bCs/>
      <w:smallCaps/>
      <w:color w:val="2F5496" w:themeColor="accent1" w:themeShade="BF"/>
      <w:spacing w:val="5"/>
    </w:rPr>
  </w:style>
  <w:style w:type="paragraph" w:styleId="Header">
    <w:name w:val="header"/>
    <w:basedOn w:val="Normal"/>
    <w:link w:val="HeaderChar"/>
    <w:uiPriority w:val="99"/>
    <w:unhideWhenUsed/>
    <w:rsid w:val="000B1F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1F68"/>
    <w:rPr>
      <w:rFonts w:ascii="Times New Roman" w:hAnsi="Times New Roman"/>
      <w:sz w:val="24"/>
      <w:lang w:val="en-GB"/>
    </w:rPr>
  </w:style>
  <w:style w:type="paragraph" w:styleId="Footer">
    <w:name w:val="footer"/>
    <w:basedOn w:val="Normal"/>
    <w:link w:val="FooterChar"/>
    <w:uiPriority w:val="99"/>
    <w:unhideWhenUsed/>
    <w:rsid w:val="000B1F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1F68"/>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1437</Words>
  <Characters>8193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TRADERS</dc:creator>
  <cp:keywords/>
  <dc:description/>
  <cp:lastModifiedBy>Nicholas Adebowale Daramola (2528127)</cp:lastModifiedBy>
  <cp:revision>2</cp:revision>
  <dcterms:created xsi:type="dcterms:W3CDTF">2026-04-21T13:04:00Z</dcterms:created>
  <dcterms:modified xsi:type="dcterms:W3CDTF">2026-04-21T13:04:00Z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40901897-8b63-40b8-9409-3b778292b28d</vt:lpwstr>
  </property>
</Properties>
</file>