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153B2" w14:textId="7F7D487B" w:rsidR="008015B9" w:rsidRDefault="002910F2" w:rsidP="002910F2">
      <w:pPr>
        <w:spacing w:line="360" w:lineRule="auto"/>
        <w:jc w:val="both"/>
        <w:rPr>
          <w:rFonts w:ascii="Arial" w:hAnsi="Arial" w:cs="Arial"/>
          <w:b/>
          <w:bCs/>
          <w:sz w:val="24"/>
          <w:szCs w:val="24"/>
        </w:rPr>
      </w:pPr>
      <w:r w:rsidRPr="002910F2">
        <w:rPr>
          <w:rFonts w:ascii="Arial" w:hAnsi="Arial" w:cs="Arial"/>
          <w:b/>
          <w:bCs/>
          <w:sz w:val="24"/>
          <w:szCs w:val="24"/>
        </w:rPr>
        <w:t>Choose one country in the majority world (</w:t>
      </w:r>
      <w:proofErr w:type="gramStart"/>
      <w:r w:rsidRPr="002910F2">
        <w:rPr>
          <w:rFonts w:ascii="Arial" w:hAnsi="Arial" w:cs="Arial"/>
          <w:b/>
          <w:bCs/>
          <w:sz w:val="24"/>
          <w:szCs w:val="24"/>
        </w:rPr>
        <w:t>low or middle income</w:t>
      </w:r>
      <w:proofErr w:type="gramEnd"/>
      <w:r w:rsidRPr="002910F2">
        <w:rPr>
          <w:rFonts w:ascii="Arial" w:hAnsi="Arial" w:cs="Arial"/>
          <w:b/>
          <w:bCs/>
          <w:sz w:val="24"/>
          <w:szCs w:val="24"/>
        </w:rPr>
        <w:t xml:space="preserve"> country) and critically explore the barriers to accessing good quality, consistent education for children and young people in your chosen country. Refer to national, regional, and international policies and reports; and apply theory throughout. </w:t>
      </w:r>
    </w:p>
    <w:p w14:paraId="0452817F" w14:textId="0C8AB4DF" w:rsidR="002910F2" w:rsidRDefault="00934B3A" w:rsidP="002910F2">
      <w:pPr>
        <w:spacing w:line="360" w:lineRule="auto"/>
        <w:jc w:val="both"/>
        <w:rPr>
          <w:rFonts w:ascii="Arial" w:hAnsi="Arial" w:cs="Arial"/>
          <w:sz w:val="24"/>
          <w:szCs w:val="24"/>
        </w:rPr>
      </w:pPr>
      <w:r w:rsidRPr="00934B3A">
        <w:rPr>
          <w:rFonts w:ascii="Arial" w:hAnsi="Arial" w:cs="Arial"/>
          <w:sz w:val="24"/>
          <w:szCs w:val="24"/>
        </w:rPr>
        <w:t xml:space="preserve">The European’s welfare system has been regarded </w:t>
      </w:r>
      <w:r>
        <w:rPr>
          <w:rFonts w:ascii="Arial" w:hAnsi="Arial" w:cs="Arial"/>
          <w:sz w:val="24"/>
          <w:szCs w:val="24"/>
        </w:rPr>
        <w:t xml:space="preserve">in recent years as the jewel in the crown (Giddens, 2006). Pair this alongside the European education system, which shows 81% of the </w:t>
      </w:r>
      <w:r w:rsidR="00077A5D">
        <w:rPr>
          <w:rFonts w:ascii="Arial" w:hAnsi="Arial" w:cs="Arial"/>
          <w:sz w:val="24"/>
          <w:szCs w:val="24"/>
        </w:rPr>
        <w:t>25–54-year-olds</w:t>
      </w:r>
      <w:r>
        <w:rPr>
          <w:rFonts w:ascii="Arial" w:hAnsi="Arial" w:cs="Arial"/>
          <w:sz w:val="24"/>
          <w:szCs w:val="24"/>
        </w:rPr>
        <w:t xml:space="preserve"> in the EU having completed at least an upper secondary level of education (Eurostat, 2021), it is evident that </w:t>
      </w:r>
      <w:r w:rsidR="00CC5CD5">
        <w:rPr>
          <w:rFonts w:ascii="Arial" w:hAnsi="Arial" w:cs="Arial"/>
          <w:sz w:val="24"/>
          <w:szCs w:val="24"/>
        </w:rPr>
        <w:t xml:space="preserve">barriers to education are being </w:t>
      </w:r>
      <w:r w:rsidR="00077A5D">
        <w:rPr>
          <w:rFonts w:ascii="Arial" w:hAnsi="Arial" w:cs="Arial"/>
          <w:sz w:val="24"/>
          <w:szCs w:val="24"/>
        </w:rPr>
        <w:t xml:space="preserve">addressed and overcome. Place this in comparison to Sub-Saharan African countries, where only 42% of students are completing lower secondary school (The World Bank, 2016), it is clear that there is a real difference in education quality, consistency, and opportunities. </w:t>
      </w:r>
    </w:p>
    <w:p w14:paraId="40497CCB" w14:textId="20CBC9AF" w:rsidR="00C36EEB" w:rsidRDefault="00C36EEB" w:rsidP="002910F2">
      <w:pPr>
        <w:spacing w:line="360" w:lineRule="auto"/>
        <w:jc w:val="both"/>
        <w:rPr>
          <w:rFonts w:ascii="Arial" w:hAnsi="Arial" w:cs="Arial"/>
          <w:sz w:val="24"/>
          <w:szCs w:val="24"/>
        </w:rPr>
      </w:pPr>
      <w:r>
        <w:rPr>
          <w:rFonts w:ascii="Arial" w:hAnsi="Arial" w:cs="Arial"/>
          <w:sz w:val="24"/>
          <w:szCs w:val="24"/>
        </w:rPr>
        <w:t>This essay is going to identify and demonstrate critical understanding of the barriers facing education within Nigeria</w:t>
      </w:r>
      <w:r w:rsidR="00BE11A9">
        <w:rPr>
          <w:rFonts w:ascii="Arial" w:hAnsi="Arial" w:cs="Arial"/>
          <w:sz w:val="24"/>
          <w:szCs w:val="24"/>
        </w:rPr>
        <w:t>, and in particular, gender equality</w:t>
      </w:r>
      <w:r>
        <w:rPr>
          <w:rFonts w:ascii="Arial" w:hAnsi="Arial" w:cs="Arial"/>
          <w:sz w:val="24"/>
          <w:szCs w:val="24"/>
        </w:rPr>
        <w:t xml:space="preserve">. The role of the government and international organisations seeking to overcome these barriers will be explored. A critical appreciation of the value of a sustainable global education community </w:t>
      </w:r>
      <w:r w:rsidR="00FA56A8">
        <w:rPr>
          <w:rFonts w:ascii="Arial" w:hAnsi="Arial" w:cs="Arial"/>
          <w:sz w:val="24"/>
          <w:szCs w:val="24"/>
        </w:rPr>
        <w:t>will also be achieved. The importance of this topic will be evaluated through focusing on the specific barriers to good quality, consistent education using supporting evidence, theories, and frameworks on a national and global scale. The United Nationals Convention on the Rights of the Child (UNCRC) will be referenced throughout. Comparisons will be made between Nigeria and the United Kingdom to identify</w:t>
      </w:r>
      <w:r w:rsidR="00C401F0">
        <w:rPr>
          <w:rFonts w:ascii="Arial" w:hAnsi="Arial" w:cs="Arial"/>
          <w:sz w:val="24"/>
          <w:szCs w:val="24"/>
        </w:rPr>
        <w:t xml:space="preserve"> and analyse</w:t>
      </w:r>
      <w:r w:rsidR="00FA56A8">
        <w:rPr>
          <w:rFonts w:ascii="Arial" w:hAnsi="Arial" w:cs="Arial"/>
          <w:sz w:val="24"/>
          <w:szCs w:val="24"/>
        </w:rPr>
        <w:t xml:space="preserve"> strategies and recommendations which can be developed</w:t>
      </w:r>
      <w:r w:rsidR="00C401F0">
        <w:rPr>
          <w:rFonts w:ascii="Arial" w:hAnsi="Arial" w:cs="Arial"/>
          <w:sz w:val="24"/>
          <w:szCs w:val="24"/>
        </w:rPr>
        <w:t xml:space="preserve"> or are already being developed</w:t>
      </w:r>
      <w:r w:rsidR="00FA56A8">
        <w:rPr>
          <w:rFonts w:ascii="Arial" w:hAnsi="Arial" w:cs="Arial"/>
          <w:sz w:val="24"/>
          <w:szCs w:val="24"/>
        </w:rPr>
        <w:t xml:space="preserve"> to overcome these barriers</w:t>
      </w:r>
      <w:r w:rsidR="00C401F0">
        <w:rPr>
          <w:rFonts w:ascii="Arial" w:hAnsi="Arial" w:cs="Arial"/>
          <w:sz w:val="24"/>
          <w:szCs w:val="24"/>
        </w:rPr>
        <w:t xml:space="preserve"> along the sustainable development agenda. </w:t>
      </w:r>
      <w:r w:rsidR="005442F2">
        <w:rPr>
          <w:rFonts w:ascii="Arial" w:hAnsi="Arial" w:cs="Arial"/>
          <w:sz w:val="24"/>
          <w:szCs w:val="24"/>
        </w:rPr>
        <w:t>The Agenda for Sustainable Development (</w:t>
      </w:r>
      <w:r w:rsidR="00D55DB9">
        <w:rPr>
          <w:rFonts w:ascii="Arial" w:hAnsi="Arial" w:cs="Arial"/>
          <w:sz w:val="24"/>
          <w:szCs w:val="24"/>
        </w:rPr>
        <w:t>United Nations, 2015</w:t>
      </w:r>
      <w:r w:rsidR="005442F2">
        <w:rPr>
          <w:rFonts w:ascii="Arial" w:hAnsi="Arial" w:cs="Arial"/>
          <w:sz w:val="24"/>
          <w:szCs w:val="24"/>
        </w:rPr>
        <w:t xml:space="preserve">) will be referenced throughout, and how organisations are using this to develop the educational crisis in Nigeria. The agenda is a plan of action for people, planet, and prosperity, seeking to strengthen universal peace in larger freedom. There is a total of 17 goals, and 169 targets which are seeking to realize the human rights of all and to achieve gender equality and the empowerment of women and girls. </w:t>
      </w:r>
    </w:p>
    <w:p w14:paraId="2B92647E" w14:textId="6CAE0846" w:rsidR="00263BFD" w:rsidRDefault="00263BFD" w:rsidP="002910F2">
      <w:pPr>
        <w:spacing w:line="360" w:lineRule="auto"/>
        <w:jc w:val="both"/>
        <w:rPr>
          <w:rFonts w:ascii="Arial" w:hAnsi="Arial" w:cs="Arial"/>
          <w:sz w:val="24"/>
          <w:szCs w:val="24"/>
        </w:rPr>
      </w:pPr>
      <w:r>
        <w:rPr>
          <w:rFonts w:ascii="Arial" w:hAnsi="Arial" w:cs="Arial"/>
          <w:sz w:val="24"/>
          <w:szCs w:val="24"/>
        </w:rPr>
        <w:t xml:space="preserve">Education is a sector which cannot be underestimated nor neglected when it comes to developing countries. Adequate education has the influence to give families and communities the knowledge, resources, and capabilities to pull themselves out of the </w:t>
      </w:r>
      <w:r>
        <w:rPr>
          <w:rFonts w:ascii="Arial" w:hAnsi="Arial" w:cs="Arial"/>
          <w:sz w:val="24"/>
          <w:szCs w:val="24"/>
        </w:rPr>
        <w:lastRenderedPageBreak/>
        <w:t>cycle of poverty (Child Fund, No date).</w:t>
      </w:r>
      <w:r w:rsidR="008A6123">
        <w:rPr>
          <w:rFonts w:ascii="Arial" w:hAnsi="Arial" w:cs="Arial"/>
          <w:sz w:val="24"/>
          <w:szCs w:val="24"/>
        </w:rPr>
        <w:t xml:space="preserve"> Education can make significant differences to both adults and children. Through learning about agriculture, students can acquire the knowledge to grow and maintain crops, providing food for families and adding to household income. Standards of health can be improved through learning about clean water, sanitation, and allowing females to understand the important aspects surround prenatal and other health information during their pregnancies. </w:t>
      </w:r>
      <w:r w:rsidR="00460F99">
        <w:rPr>
          <w:rFonts w:ascii="Arial" w:hAnsi="Arial" w:cs="Arial"/>
          <w:sz w:val="24"/>
          <w:szCs w:val="24"/>
        </w:rPr>
        <w:t>Females’</w:t>
      </w:r>
      <w:r w:rsidR="001A4D5E">
        <w:rPr>
          <w:rFonts w:ascii="Arial" w:hAnsi="Arial" w:cs="Arial"/>
          <w:sz w:val="24"/>
          <w:szCs w:val="24"/>
        </w:rPr>
        <w:t xml:space="preserve"> social benefits are particularly improved through education, as incomes have been found to be higher, with maternal and infant mortality rates lower for educated women (Hillman &amp; </w:t>
      </w:r>
      <w:proofErr w:type="spellStart"/>
      <w:r w:rsidR="001A4D5E">
        <w:rPr>
          <w:rFonts w:ascii="Arial" w:hAnsi="Arial" w:cs="Arial"/>
          <w:sz w:val="24"/>
          <w:szCs w:val="24"/>
        </w:rPr>
        <w:t>Jenkner</w:t>
      </w:r>
      <w:proofErr w:type="spellEnd"/>
      <w:r w:rsidR="001A4D5E">
        <w:rPr>
          <w:rFonts w:ascii="Arial" w:hAnsi="Arial" w:cs="Arial"/>
          <w:sz w:val="24"/>
          <w:szCs w:val="24"/>
        </w:rPr>
        <w:t>, 2004)</w:t>
      </w:r>
      <w:r w:rsidR="00460F99">
        <w:rPr>
          <w:rFonts w:ascii="Arial" w:hAnsi="Arial" w:cs="Arial"/>
          <w:sz w:val="24"/>
          <w:szCs w:val="24"/>
        </w:rPr>
        <w:t>.</w:t>
      </w:r>
    </w:p>
    <w:p w14:paraId="6B8048B5" w14:textId="2D3F427E" w:rsidR="00460F99" w:rsidRDefault="00460F99" w:rsidP="002910F2">
      <w:pPr>
        <w:spacing w:line="360" w:lineRule="auto"/>
        <w:jc w:val="both"/>
        <w:rPr>
          <w:rFonts w:ascii="Arial" w:hAnsi="Arial" w:cs="Arial"/>
          <w:sz w:val="24"/>
          <w:szCs w:val="24"/>
        </w:rPr>
      </w:pPr>
      <w:r>
        <w:rPr>
          <w:rFonts w:ascii="Arial" w:hAnsi="Arial" w:cs="Arial"/>
          <w:sz w:val="24"/>
          <w:szCs w:val="24"/>
        </w:rPr>
        <w:t xml:space="preserve">When a child has failed to acquire any basic skills which are needed to function as a productive and responsible member of society, society alongside the individual child both end up on the losing side. </w:t>
      </w:r>
    </w:p>
    <w:p w14:paraId="0BF59382" w14:textId="722D78C1" w:rsidR="00584171" w:rsidRDefault="00584171" w:rsidP="002910F2">
      <w:pPr>
        <w:spacing w:line="360" w:lineRule="auto"/>
        <w:jc w:val="both"/>
        <w:rPr>
          <w:rFonts w:ascii="Arial" w:hAnsi="Arial" w:cs="Arial"/>
          <w:sz w:val="24"/>
          <w:szCs w:val="24"/>
        </w:rPr>
      </w:pPr>
      <w:r>
        <w:rPr>
          <w:rFonts w:ascii="Arial" w:hAnsi="Arial" w:cs="Arial"/>
          <w:sz w:val="24"/>
          <w:szCs w:val="24"/>
        </w:rPr>
        <w:t>Nigeria is a country which has seen vast growth and decline within the education sector. Education was historically, always a part of Nigerian culture with children learning about social activities, survival skills, and work. In the 1840’s, European education was introduced into Nigeria</w:t>
      </w:r>
      <w:r w:rsidR="0046463E">
        <w:rPr>
          <w:rFonts w:ascii="Arial" w:hAnsi="Arial" w:cs="Arial"/>
          <w:sz w:val="24"/>
          <w:szCs w:val="24"/>
        </w:rPr>
        <w:t>, with English language gradually taking roots during the Colonial years. However, Great Britain did not promote education, and few schools were set up and operated by Christian Missionaries, with the British Colonial Government only funding a handful of these. According to History of Education (2012) in 1980, the estimated enrolment for education providers were as followed:</w:t>
      </w:r>
    </w:p>
    <w:p w14:paraId="430F5D0E" w14:textId="06F8D642" w:rsidR="0046463E" w:rsidRDefault="0046463E" w:rsidP="0046463E">
      <w:pPr>
        <w:pStyle w:val="ListParagraph"/>
        <w:numPr>
          <w:ilvl w:val="0"/>
          <w:numId w:val="1"/>
        </w:numPr>
        <w:spacing w:line="360" w:lineRule="auto"/>
        <w:jc w:val="both"/>
        <w:rPr>
          <w:rFonts w:ascii="Arial" w:hAnsi="Arial" w:cs="Arial"/>
          <w:sz w:val="24"/>
          <w:szCs w:val="24"/>
        </w:rPr>
      </w:pPr>
      <w:r>
        <w:rPr>
          <w:rFonts w:ascii="Arial" w:hAnsi="Arial" w:cs="Arial"/>
          <w:sz w:val="24"/>
          <w:szCs w:val="24"/>
        </w:rPr>
        <w:t>Primary schools: 12 million</w:t>
      </w:r>
    </w:p>
    <w:p w14:paraId="54AFA503" w14:textId="045558E3" w:rsidR="0046463E" w:rsidRDefault="0046463E" w:rsidP="0046463E">
      <w:pPr>
        <w:pStyle w:val="ListParagraph"/>
        <w:numPr>
          <w:ilvl w:val="0"/>
          <w:numId w:val="1"/>
        </w:numPr>
        <w:spacing w:line="360" w:lineRule="auto"/>
        <w:jc w:val="both"/>
        <w:rPr>
          <w:rFonts w:ascii="Arial" w:hAnsi="Arial" w:cs="Arial"/>
          <w:sz w:val="24"/>
          <w:szCs w:val="24"/>
        </w:rPr>
      </w:pPr>
      <w:r>
        <w:rPr>
          <w:rFonts w:ascii="Arial" w:hAnsi="Arial" w:cs="Arial"/>
          <w:sz w:val="24"/>
          <w:szCs w:val="24"/>
        </w:rPr>
        <w:t>Secondary</w:t>
      </w:r>
      <w:r w:rsidR="00280F1A">
        <w:rPr>
          <w:rFonts w:ascii="Arial" w:hAnsi="Arial" w:cs="Arial"/>
          <w:sz w:val="24"/>
          <w:szCs w:val="24"/>
        </w:rPr>
        <w:t xml:space="preserve"> schools</w:t>
      </w:r>
      <w:r>
        <w:rPr>
          <w:rFonts w:ascii="Arial" w:hAnsi="Arial" w:cs="Arial"/>
          <w:sz w:val="24"/>
          <w:szCs w:val="24"/>
        </w:rPr>
        <w:t xml:space="preserve"> and technical colleges: 1.2 million</w:t>
      </w:r>
    </w:p>
    <w:p w14:paraId="26DE8C05" w14:textId="3116B2A8" w:rsidR="0046463E" w:rsidRDefault="0046463E" w:rsidP="0046463E">
      <w:pPr>
        <w:pStyle w:val="ListParagraph"/>
        <w:numPr>
          <w:ilvl w:val="0"/>
          <w:numId w:val="1"/>
        </w:numPr>
        <w:spacing w:line="360" w:lineRule="auto"/>
        <w:jc w:val="both"/>
        <w:rPr>
          <w:rFonts w:ascii="Arial" w:hAnsi="Arial" w:cs="Arial"/>
          <w:sz w:val="24"/>
          <w:szCs w:val="24"/>
        </w:rPr>
      </w:pPr>
      <w:r>
        <w:rPr>
          <w:rFonts w:ascii="Arial" w:hAnsi="Arial" w:cs="Arial"/>
          <w:sz w:val="24"/>
          <w:szCs w:val="24"/>
        </w:rPr>
        <w:t>Teachers’ colleges: 240,000</w:t>
      </w:r>
    </w:p>
    <w:p w14:paraId="3ABBB720" w14:textId="6571BA7D" w:rsidR="0046463E" w:rsidRDefault="0046463E" w:rsidP="0046463E">
      <w:pPr>
        <w:pStyle w:val="ListParagraph"/>
        <w:numPr>
          <w:ilvl w:val="0"/>
          <w:numId w:val="1"/>
        </w:numPr>
        <w:spacing w:line="360" w:lineRule="auto"/>
        <w:jc w:val="both"/>
        <w:rPr>
          <w:rFonts w:ascii="Arial" w:hAnsi="Arial" w:cs="Arial"/>
          <w:sz w:val="24"/>
          <w:szCs w:val="24"/>
        </w:rPr>
      </w:pPr>
      <w:r>
        <w:rPr>
          <w:rFonts w:ascii="Arial" w:hAnsi="Arial" w:cs="Arial"/>
          <w:sz w:val="24"/>
          <w:szCs w:val="24"/>
        </w:rPr>
        <w:t>Universities: 75,000</w:t>
      </w:r>
    </w:p>
    <w:p w14:paraId="570C35B6" w14:textId="7AC6C66B" w:rsidR="0046463E" w:rsidRDefault="00C050BB" w:rsidP="0046463E">
      <w:pPr>
        <w:spacing w:line="360" w:lineRule="auto"/>
        <w:jc w:val="both"/>
        <w:rPr>
          <w:rFonts w:ascii="Arial" w:hAnsi="Arial" w:cs="Arial"/>
          <w:sz w:val="24"/>
          <w:szCs w:val="24"/>
        </w:rPr>
      </w:pPr>
      <w:r>
        <w:rPr>
          <w:rFonts w:ascii="Arial" w:hAnsi="Arial" w:cs="Arial"/>
          <w:sz w:val="24"/>
          <w:szCs w:val="24"/>
        </w:rPr>
        <w:t>The decline of the Nigerian education system began in the 1980s’ and 1990’s. There was a shortage of teachers, and those who were qualified were being underpaid in a timely manner. Many schools were not adequately funded, and in higher-education providers or universities, tuition fees were raised which resulted in riots leading to the cancellation of semesters. The total number of schools and education facilities did not grow in accordance with the country’s population. In 1980, the total population was approximately 73.4 million, in comparison to 195 million in 2018.</w:t>
      </w:r>
      <w:r w:rsidR="00280F1A">
        <w:rPr>
          <w:rFonts w:ascii="Arial" w:hAnsi="Arial" w:cs="Arial"/>
          <w:sz w:val="24"/>
          <w:szCs w:val="24"/>
        </w:rPr>
        <w:t xml:space="preserve"> The estimated enrolment within the academic year 2018/2019 were as followed:</w:t>
      </w:r>
    </w:p>
    <w:p w14:paraId="36B6EB3C" w14:textId="166DEC4A" w:rsidR="00280F1A" w:rsidRDefault="00280F1A" w:rsidP="00280F1A">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Primary schools: 22.7 million</w:t>
      </w:r>
    </w:p>
    <w:p w14:paraId="120EA169" w14:textId="4BF5AFCF" w:rsidR="00280F1A" w:rsidRDefault="00280F1A" w:rsidP="00280F1A">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Secondary schools: 7.4 million </w:t>
      </w:r>
    </w:p>
    <w:p w14:paraId="2B668572" w14:textId="4FDB2583" w:rsidR="00280F1A" w:rsidRDefault="00280F1A" w:rsidP="00280F1A">
      <w:pPr>
        <w:pStyle w:val="ListParagraph"/>
        <w:numPr>
          <w:ilvl w:val="0"/>
          <w:numId w:val="1"/>
        </w:numPr>
        <w:spacing w:line="360" w:lineRule="auto"/>
        <w:jc w:val="both"/>
        <w:rPr>
          <w:rFonts w:ascii="Arial" w:hAnsi="Arial" w:cs="Arial"/>
          <w:sz w:val="24"/>
          <w:szCs w:val="24"/>
        </w:rPr>
      </w:pPr>
      <w:r>
        <w:rPr>
          <w:rFonts w:ascii="Arial" w:hAnsi="Arial" w:cs="Arial"/>
          <w:sz w:val="24"/>
          <w:szCs w:val="24"/>
        </w:rPr>
        <w:t>Universities: 1.8 million</w:t>
      </w:r>
    </w:p>
    <w:p w14:paraId="253AF173" w14:textId="0EEACA52" w:rsidR="00280F1A" w:rsidRDefault="00D21DE7" w:rsidP="00280F1A">
      <w:pPr>
        <w:spacing w:line="360" w:lineRule="auto"/>
        <w:jc w:val="both"/>
        <w:rPr>
          <w:rFonts w:ascii="Arial" w:hAnsi="Arial" w:cs="Arial"/>
          <w:noProof/>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2BC36C" wp14:editId="408DB88C">
                <wp:simplePos x="0" y="0"/>
                <wp:positionH relativeFrom="column">
                  <wp:posOffset>4901609</wp:posOffset>
                </wp:positionH>
                <wp:positionV relativeFrom="paragraph">
                  <wp:posOffset>2942132</wp:posOffset>
                </wp:positionV>
                <wp:extent cx="1147209" cy="255182"/>
                <wp:effectExtent l="0" t="0" r="15240" b="12065"/>
                <wp:wrapNone/>
                <wp:docPr id="5" name="Text Box 5"/>
                <wp:cNvGraphicFramePr/>
                <a:graphic xmlns:a="http://schemas.openxmlformats.org/drawingml/2006/main">
                  <a:graphicData uri="http://schemas.microsoft.com/office/word/2010/wordprocessingShape">
                    <wps:wsp>
                      <wps:cNvSpPr txBox="1"/>
                      <wps:spPr>
                        <a:xfrm>
                          <a:off x="0" y="0"/>
                          <a:ext cx="1147209" cy="255182"/>
                        </a:xfrm>
                        <a:prstGeom prst="rect">
                          <a:avLst/>
                        </a:prstGeom>
                        <a:solidFill>
                          <a:schemeClr val="lt1"/>
                        </a:solidFill>
                        <a:ln w="6350">
                          <a:solidFill>
                            <a:schemeClr val="bg2">
                              <a:lumMod val="90000"/>
                            </a:schemeClr>
                          </a:solidFill>
                        </a:ln>
                      </wps:spPr>
                      <wps:txbx>
                        <w:txbxContent>
                          <w:p w14:paraId="49E164BF" w14:textId="4A1C3AFF" w:rsidR="00D21DE7" w:rsidRDefault="00973FD5" w:rsidP="00D21DE7">
                            <w:pPr>
                              <w:jc w:val="right"/>
                            </w:pPr>
                            <w:proofErr w:type="spellStart"/>
                            <w:r>
                              <w:t>Varrella</w:t>
                            </w:r>
                            <w:proofErr w:type="spellEnd"/>
                            <w:r w:rsidR="00D21DE7">
                              <w:t xml:space="preserve"> (202</w:t>
                            </w:r>
                            <w:r>
                              <w:t>1</w:t>
                            </w:r>
                            <w:r w:rsidR="00D21DE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2BC36C" id="_x0000_t202" coordsize="21600,21600" o:spt="202" path="m,l,21600r21600,l21600,xe">
                <v:stroke joinstyle="miter"/>
                <v:path gradientshapeok="t" o:connecttype="rect"/>
              </v:shapetype>
              <v:shape id="Text Box 5" o:spid="_x0000_s1026" type="#_x0000_t202" style="position:absolute;left:0;text-align:left;margin-left:385.95pt;margin-top:231.65pt;width:90.35pt;height:2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" fillcolor="white [3201]" strokecolor="#cfcdcd [2894]" strokeweight=".5pt">
                <v:textbox>
                  <w:txbxContent>
                    <w:p w14:paraId="49E164BF" w14:textId="4A1C3AFF" w:rsidR="00D21DE7" w:rsidRDefault="00973FD5" w:rsidP="00D21DE7">
                      <w:pPr>
                        <w:jc w:val="right"/>
                      </w:pPr>
                      <w:proofErr w:type="spellStart"/>
                      <w:r>
                        <w:t>Varrella</w:t>
                      </w:r>
                      <w:proofErr w:type="spellEnd"/>
                      <w:r w:rsidR="00D21DE7">
                        <w:t xml:space="preserve"> (202</w:t>
                      </w:r>
                      <w:r>
                        <w:t>1</w:t>
                      </w:r>
                      <w:r w:rsidR="00D21DE7">
                        <w:t>)</w:t>
                      </w:r>
                    </w:p>
                  </w:txbxContent>
                </v:textbox>
              </v:shape>
            </w:pict>
          </mc:Fallback>
        </mc:AlternateContent>
      </w:r>
      <w:r w:rsidR="00280F1A">
        <w:rPr>
          <w:rFonts w:ascii="Arial" w:hAnsi="Arial" w:cs="Arial"/>
          <w:noProof/>
          <w:sz w:val="24"/>
          <w:szCs w:val="24"/>
        </w:rPr>
        <w:drawing>
          <wp:inline distT="0" distB="0" distL="0" distR="0" wp14:anchorId="7E1191A0" wp14:editId="1A75E82E">
            <wp:extent cx="6050584" cy="3200400"/>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6F82284" w14:textId="2423DD3A" w:rsidR="00D21DE7" w:rsidRPr="00D21DE7" w:rsidRDefault="00D21DE7" w:rsidP="00D21DE7">
      <w:pPr>
        <w:rPr>
          <w:rFonts w:ascii="Arial" w:hAnsi="Arial" w:cs="Arial"/>
          <w:sz w:val="24"/>
          <w:szCs w:val="24"/>
        </w:rPr>
      </w:pPr>
    </w:p>
    <w:p w14:paraId="2D1272FE" w14:textId="2B6DC594" w:rsidR="00934B3A" w:rsidRDefault="00D21DE7" w:rsidP="002910F2">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1FFB2F66" wp14:editId="668608EE">
                <wp:simplePos x="0" y="0"/>
                <wp:positionH relativeFrom="column">
                  <wp:posOffset>4423144</wp:posOffset>
                </wp:positionH>
                <wp:positionV relativeFrom="paragraph">
                  <wp:posOffset>2945219</wp:posOffset>
                </wp:positionV>
                <wp:extent cx="1062148" cy="255181"/>
                <wp:effectExtent l="0" t="0" r="24130" b="12065"/>
                <wp:wrapNone/>
                <wp:docPr id="6" name="Text Box 6"/>
                <wp:cNvGraphicFramePr/>
                <a:graphic xmlns:a="http://schemas.openxmlformats.org/drawingml/2006/main">
                  <a:graphicData uri="http://schemas.microsoft.com/office/word/2010/wordprocessingShape">
                    <wps:wsp>
                      <wps:cNvSpPr txBox="1"/>
                      <wps:spPr>
                        <a:xfrm>
                          <a:off x="0" y="0"/>
                          <a:ext cx="1062148" cy="255181"/>
                        </a:xfrm>
                        <a:prstGeom prst="rect">
                          <a:avLst/>
                        </a:prstGeom>
                        <a:solidFill>
                          <a:schemeClr val="lt1"/>
                        </a:solidFill>
                        <a:ln w="6350">
                          <a:solidFill>
                            <a:schemeClr val="bg2">
                              <a:lumMod val="90000"/>
                            </a:schemeClr>
                          </a:solidFill>
                        </a:ln>
                      </wps:spPr>
                      <wps:txbx>
                        <w:txbxContent>
                          <w:p w14:paraId="68D99199" w14:textId="40D11420" w:rsidR="00D21DE7" w:rsidRDefault="00973FD5" w:rsidP="00D21DE7">
                            <w:pPr>
                              <w:jc w:val="right"/>
                            </w:pPr>
                            <w:proofErr w:type="spellStart"/>
                            <w:r>
                              <w:t>Varrella</w:t>
                            </w:r>
                            <w:proofErr w:type="spellEnd"/>
                            <w:r w:rsidR="00D21DE7">
                              <w:t xml:space="preserve"> (202</w:t>
                            </w:r>
                            <w:r>
                              <w:t>1</w:t>
                            </w:r>
                            <w:r w:rsidR="00D21DE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B2F66" id="Text Box 6" o:spid="_x0000_s1027" type="#_x0000_t202" style="position:absolute;left:0;text-align:left;margin-left:348.3pt;margin-top:231.9pt;width:83.65pt;height:2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" fillcolor="white [3201]" strokecolor="#cfcdcd [2894]" strokeweight=".5pt">
                <v:textbox>
                  <w:txbxContent>
                    <w:p w14:paraId="68D99199" w14:textId="40D11420" w:rsidR="00D21DE7" w:rsidRDefault="00973FD5" w:rsidP="00D21DE7">
                      <w:pPr>
                        <w:jc w:val="right"/>
                      </w:pPr>
                      <w:proofErr w:type="spellStart"/>
                      <w:r>
                        <w:t>Varrella</w:t>
                      </w:r>
                      <w:proofErr w:type="spellEnd"/>
                      <w:r w:rsidR="00D21DE7">
                        <w:t xml:space="preserve"> (202</w:t>
                      </w:r>
                      <w:r>
                        <w:t>1</w:t>
                      </w:r>
                      <w:r w:rsidR="00D21DE7">
                        <w:t>)</w:t>
                      </w:r>
                    </w:p>
                  </w:txbxContent>
                </v:textbox>
              </v:shape>
            </w:pict>
          </mc:Fallback>
        </mc:AlternateContent>
      </w:r>
      <w:r w:rsidR="004E459C">
        <w:rPr>
          <w:rFonts w:ascii="Arial" w:hAnsi="Arial" w:cs="Arial"/>
          <w:noProof/>
          <w:sz w:val="24"/>
          <w:szCs w:val="24"/>
        </w:rPr>
        <w:drawing>
          <wp:inline distT="0" distB="0" distL="0" distR="0" wp14:anchorId="172CB64B" wp14:editId="25A439A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990DCA" w14:textId="7626DFA1" w:rsidR="00934B3A" w:rsidRDefault="003B57A3" w:rsidP="002910F2">
      <w:pPr>
        <w:spacing w:line="360" w:lineRule="auto"/>
        <w:jc w:val="both"/>
        <w:rPr>
          <w:rFonts w:ascii="Arial" w:hAnsi="Arial" w:cs="Arial"/>
          <w:sz w:val="24"/>
          <w:szCs w:val="24"/>
        </w:rPr>
      </w:pPr>
      <w:r>
        <w:rPr>
          <w:rFonts w:ascii="Arial" w:hAnsi="Arial" w:cs="Arial"/>
          <w:sz w:val="24"/>
          <w:szCs w:val="24"/>
        </w:rPr>
        <w:t xml:space="preserve">It is clear to see from the graphics above, that although the general population of Nigeria has increased greatly over the years, education enrolments have not </w:t>
      </w:r>
      <w:r>
        <w:rPr>
          <w:rFonts w:ascii="Arial" w:hAnsi="Arial" w:cs="Arial"/>
          <w:sz w:val="24"/>
          <w:szCs w:val="24"/>
        </w:rPr>
        <w:lastRenderedPageBreak/>
        <w:t xml:space="preserve">increased in comparison. What exactly are the barriers causing this, and how can they be overcome? </w:t>
      </w:r>
    </w:p>
    <w:p w14:paraId="4786085C" w14:textId="3BAC5251" w:rsidR="00F30FB7" w:rsidRDefault="003B57A3" w:rsidP="002910F2">
      <w:pPr>
        <w:spacing w:line="360" w:lineRule="auto"/>
        <w:jc w:val="both"/>
        <w:rPr>
          <w:rFonts w:ascii="Arial" w:hAnsi="Arial" w:cs="Arial"/>
          <w:sz w:val="24"/>
          <w:szCs w:val="24"/>
        </w:rPr>
      </w:pPr>
      <w:r>
        <w:rPr>
          <w:rFonts w:ascii="Arial" w:hAnsi="Arial" w:cs="Arial"/>
          <w:sz w:val="24"/>
          <w:szCs w:val="24"/>
        </w:rPr>
        <w:t xml:space="preserve">The rapidly expanding child population paired alongside limited resources can be seen as a dominant issue as to who gets educated in Nigeria. Other barriers identified (Nwogu, 2005) include: the problem of carrying capacity, quota system of admissions, unaffordable costs, armed conflicts/insurgency, selection methods, and </w:t>
      </w:r>
      <w:r w:rsidR="00F30FB7">
        <w:rPr>
          <w:rFonts w:ascii="Arial" w:hAnsi="Arial" w:cs="Arial"/>
          <w:sz w:val="24"/>
          <w:szCs w:val="24"/>
        </w:rPr>
        <w:t xml:space="preserve">perhaps the biggest barrier Nigeria face, gender equality and discrimination. </w:t>
      </w:r>
    </w:p>
    <w:p w14:paraId="5CDED2F4" w14:textId="5ABB21D7" w:rsidR="00526DCA" w:rsidRDefault="00526DCA" w:rsidP="002910F2">
      <w:pPr>
        <w:spacing w:line="360" w:lineRule="auto"/>
        <w:jc w:val="both"/>
        <w:rPr>
          <w:rFonts w:ascii="Arial" w:hAnsi="Arial" w:cs="Arial"/>
          <w:sz w:val="24"/>
          <w:szCs w:val="24"/>
        </w:rPr>
      </w:pPr>
      <w:r>
        <w:rPr>
          <w:rFonts w:ascii="Arial" w:hAnsi="Arial" w:cs="Arial"/>
          <w:sz w:val="24"/>
          <w:szCs w:val="24"/>
        </w:rPr>
        <w:t>As stated by the United Nations Children’s Fund UK (1989) in Article 28 of the United Nations Convention on the Rights of the Child (UNCRC), every child has a right to an education.</w:t>
      </w:r>
      <w:r w:rsidR="0050007C">
        <w:rPr>
          <w:rFonts w:ascii="Arial" w:hAnsi="Arial" w:cs="Arial"/>
          <w:sz w:val="24"/>
          <w:szCs w:val="24"/>
        </w:rPr>
        <w:t xml:space="preserve"> They do not state that </w:t>
      </w:r>
      <w:r w:rsidR="001A68C5">
        <w:rPr>
          <w:rFonts w:ascii="Arial" w:hAnsi="Arial" w:cs="Arial"/>
          <w:sz w:val="24"/>
          <w:szCs w:val="24"/>
        </w:rPr>
        <w:t xml:space="preserve">only males have a right to an education, nor do they state that only females have a right to an education. They clearly state that </w:t>
      </w:r>
      <w:r w:rsidR="001A68C5">
        <w:rPr>
          <w:rFonts w:ascii="Arial" w:hAnsi="Arial" w:cs="Arial"/>
          <w:b/>
          <w:bCs/>
          <w:sz w:val="24"/>
          <w:szCs w:val="24"/>
        </w:rPr>
        <w:t>every</w:t>
      </w:r>
      <w:r w:rsidR="001A68C5">
        <w:rPr>
          <w:rFonts w:ascii="Arial" w:hAnsi="Arial" w:cs="Arial"/>
          <w:sz w:val="24"/>
          <w:szCs w:val="24"/>
        </w:rPr>
        <w:t xml:space="preserve"> child has a right, so why is it that </w:t>
      </w:r>
      <w:r w:rsidR="009951BC">
        <w:rPr>
          <w:rFonts w:ascii="Arial" w:hAnsi="Arial" w:cs="Arial"/>
          <w:sz w:val="24"/>
          <w:szCs w:val="24"/>
        </w:rPr>
        <w:t>over 5.5 million girls are out-of-school in Nigeria (UNESCO, 2014), with 40% of women never having attended school, compared to 28% of men (NPC, 2009).</w:t>
      </w:r>
    </w:p>
    <w:p w14:paraId="4843C428" w14:textId="7EF68F91" w:rsidR="009951BC" w:rsidRPr="001A68C5" w:rsidRDefault="009951BC" w:rsidP="002910F2">
      <w:pPr>
        <w:spacing w:line="360" w:lineRule="auto"/>
        <w:jc w:val="both"/>
        <w:rPr>
          <w:rFonts w:ascii="Arial" w:hAnsi="Arial" w:cs="Arial"/>
          <w:sz w:val="24"/>
          <w:szCs w:val="24"/>
        </w:rPr>
      </w:pPr>
      <w:r>
        <w:rPr>
          <w:rFonts w:ascii="Arial" w:hAnsi="Arial" w:cs="Arial"/>
          <w:sz w:val="24"/>
          <w:szCs w:val="24"/>
        </w:rPr>
        <w:t xml:space="preserve">British Council (2014) has discovered that educated women are less likely to die in childbirth and are more likely to lead a healthy lifestyle, with well-nourished children compared to their non-educated counterparts. </w:t>
      </w:r>
    </w:p>
    <w:p w14:paraId="169B5C92" w14:textId="2B1A2968" w:rsidR="007A1599" w:rsidRDefault="007A1599" w:rsidP="002910F2">
      <w:pPr>
        <w:spacing w:line="360" w:lineRule="auto"/>
        <w:jc w:val="both"/>
        <w:rPr>
          <w:rFonts w:ascii="Arial" w:hAnsi="Arial" w:cs="Arial"/>
          <w:sz w:val="24"/>
          <w:szCs w:val="24"/>
        </w:rPr>
      </w:pPr>
      <w:r>
        <w:rPr>
          <w:rFonts w:ascii="Arial" w:hAnsi="Arial" w:cs="Arial"/>
          <w:sz w:val="24"/>
          <w:szCs w:val="24"/>
        </w:rPr>
        <w:t>Barriers to girls’ education in Nigeria can be broken down into 3 main sections:</w:t>
      </w:r>
    </w:p>
    <w:p w14:paraId="67ABD882" w14:textId="469DD083" w:rsidR="007A1599" w:rsidRPr="007A1599" w:rsidRDefault="007A1599" w:rsidP="007A1599">
      <w:pPr>
        <w:spacing w:line="360" w:lineRule="auto"/>
        <w:jc w:val="both"/>
        <w:rPr>
          <w:rFonts w:ascii="Arial" w:hAnsi="Arial" w:cs="Arial"/>
          <w:b/>
          <w:bCs/>
          <w:sz w:val="24"/>
          <w:szCs w:val="24"/>
          <w:u w:val="single"/>
        </w:rPr>
      </w:pPr>
      <w:r w:rsidRPr="007A1599">
        <w:rPr>
          <w:rFonts w:ascii="Arial" w:hAnsi="Arial" w:cs="Arial"/>
          <w:b/>
          <w:bCs/>
          <w:sz w:val="24"/>
          <w:szCs w:val="24"/>
          <w:u w:val="single"/>
        </w:rPr>
        <w:t>Educational</w:t>
      </w:r>
    </w:p>
    <w:p w14:paraId="451754B9" w14:textId="588CBE5D" w:rsidR="007A1599" w:rsidRDefault="00E264FB" w:rsidP="007A1599">
      <w:pPr>
        <w:spacing w:line="360" w:lineRule="auto"/>
        <w:jc w:val="both"/>
        <w:rPr>
          <w:rFonts w:ascii="Arial" w:hAnsi="Arial" w:cs="Arial"/>
          <w:sz w:val="24"/>
          <w:szCs w:val="24"/>
        </w:rPr>
      </w:pPr>
      <w:r>
        <w:rPr>
          <w:rFonts w:ascii="Arial" w:hAnsi="Arial" w:cs="Arial"/>
          <w:sz w:val="24"/>
          <w:szCs w:val="24"/>
        </w:rPr>
        <w:t>The poor accessibility of schools and education providers can cause students having to walk considerable distances to reach the nearest school. Majority of girls surveyed in a study (British Council, 2014) stated that they had to walk between 1-3 kilometres to school every day, with 14% of girls having to walk over 6 kilometres. TEGINT (2011) discovered that 21% of girls viewed inadequate walking distances to school were a considerable barrier to them achieving their chosen education.</w:t>
      </w:r>
      <w:r w:rsidR="00D55906">
        <w:rPr>
          <w:rFonts w:ascii="Arial" w:hAnsi="Arial" w:cs="Arial"/>
          <w:sz w:val="24"/>
          <w:szCs w:val="24"/>
        </w:rPr>
        <w:t xml:space="preserve"> Dependant on the location of schools, the distance </w:t>
      </w:r>
      <w:r w:rsidR="000C7777">
        <w:rPr>
          <w:rFonts w:ascii="Arial" w:hAnsi="Arial" w:cs="Arial"/>
          <w:sz w:val="24"/>
          <w:szCs w:val="24"/>
        </w:rPr>
        <w:t>travelled</w:t>
      </w:r>
      <w:r w:rsidR="00D55906">
        <w:rPr>
          <w:rFonts w:ascii="Arial" w:hAnsi="Arial" w:cs="Arial"/>
          <w:sz w:val="24"/>
          <w:szCs w:val="24"/>
        </w:rPr>
        <w:t xml:space="preserve"> by learners from home to school correlates positive with the academi</w:t>
      </w:r>
      <w:r w:rsidR="000C7777">
        <w:rPr>
          <w:rFonts w:ascii="Arial" w:hAnsi="Arial" w:cs="Arial"/>
          <w:sz w:val="24"/>
          <w:szCs w:val="24"/>
        </w:rPr>
        <w:t>c</w:t>
      </w:r>
      <w:r w:rsidR="00D55906">
        <w:rPr>
          <w:rFonts w:ascii="Arial" w:hAnsi="Arial" w:cs="Arial"/>
          <w:sz w:val="24"/>
          <w:szCs w:val="24"/>
        </w:rPr>
        <w:t xml:space="preserve"> performance of the students. Learners have been found to be affected by the distance which made them use most of their time travelling as opposed to learning (</w:t>
      </w:r>
      <w:proofErr w:type="spellStart"/>
      <w:r w:rsidR="00D55906">
        <w:rPr>
          <w:rFonts w:ascii="Arial" w:hAnsi="Arial" w:cs="Arial"/>
          <w:sz w:val="24"/>
          <w:szCs w:val="24"/>
        </w:rPr>
        <w:t>Ebinum</w:t>
      </w:r>
      <w:proofErr w:type="spellEnd"/>
      <w:r w:rsidR="00D55906">
        <w:rPr>
          <w:rFonts w:ascii="Arial" w:hAnsi="Arial" w:cs="Arial"/>
          <w:sz w:val="24"/>
          <w:szCs w:val="24"/>
        </w:rPr>
        <w:t xml:space="preserve"> </w:t>
      </w:r>
      <w:r w:rsidR="00D55906">
        <w:rPr>
          <w:rFonts w:ascii="Arial" w:hAnsi="Arial" w:cs="Arial"/>
          <w:i/>
          <w:iCs/>
          <w:sz w:val="24"/>
          <w:szCs w:val="24"/>
        </w:rPr>
        <w:t xml:space="preserve">et al. </w:t>
      </w:r>
      <w:r w:rsidR="00D55906">
        <w:rPr>
          <w:rFonts w:ascii="Arial" w:hAnsi="Arial" w:cs="Arial"/>
          <w:sz w:val="24"/>
          <w:szCs w:val="24"/>
        </w:rPr>
        <w:t>2017)</w:t>
      </w:r>
      <w:r w:rsidR="006D3244">
        <w:rPr>
          <w:rFonts w:ascii="Arial" w:hAnsi="Arial" w:cs="Arial"/>
          <w:sz w:val="24"/>
          <w:szCs w:val="24"/>
        </w:rPr>
        <w:t xml:space="preserve">. It has been recommended that local Governments as a matter of urgency, build more primary schools in various strategic locations in order to cover all catchment areas and to reduce the distance covered by </w:t>
      </w:r>
      <w:r w:rsidR="006D3244">
        <w:rPr>
          <w:rFonts w:ascii="Arial" w:hAnsi="Arial" w:cs="Arial"/>
          <w:sz w:val="24"/>
          <w:szCs w:val="24"/>
        </w:rPr>
        <w:lastRenderedPageBreak/>
        <w:t xml:space="preserve">pupils. As an alternative, busses should be made available to transport students safely to and from school, which will also overcome issues surrounding tiredness and help to enhance their academic achievement. </w:t>
      </w:r>
    </w:p>
    <w:p w14:paraId="71B686C0" w14:textId="56D77E63" w:rsidR="00C9252E" w:rsidRDefault="00435E17" w:rsidP="007A1599">
      <w:pPr>
        <w:spacing w:line="360" w:lineRule="auto"/>
        <w:jc w:val="both"/>
        <w:rPr>
          <w:rFonts w:ascii="Arial" w:hAnsi="Arial" w:cs="Arial"/>
          <w:sz w:val="24"/>
          <w:szCs w:val="24"/>
        </w:rPr>
      </w:pPr>
      <w:r>
        <w:rPr>
          <w:rFonts w:ascii="Arial" w:hAnsi="Arial" w:cs="Arial"/>
          <w:sz w:val="24"/>
          <w:szCs w:val="24"/>
        </w:rPr>
        <w:t>Qualified teachers who posses the skills to use appropriate teaching strategies and approaches are critical to improving a girl’s education and participation. Classroom design and set-up has been known to be poorly ventilated, have dirty floors and desks, and have broken or uncomfortable desks. Sexual harassment, psychological harassment, and physical punishments such as caning are used by male teachers within schools (ActionAid, 2011). There has been a significant increase in the total number of teachers in primary and secondary schools, with a total increase of 287,000 between 1999 and 2009, however, less than half of the primary and secondary teaching staff are female. This has proved to become a barrier to girls’ enrolment into education and retention (UNSECO, 2014)</w:t>
      </w:r>
      <w:r w:rsidR="00B37BDC">
        <w:rPr>
          <w:rFonts w:ascii="Arial" w:hAnsi="Arial" w:cs="Arial"/>
          <w:sz w:val="24"/>
          <w:szCs w:val="24"/>
        </w:rPr>
        <w:t>. UNICEF’s education programme has been designed to support the Nigerian Government to achieve the Sustainable Development Goal (SDG) 4 by 2030, by addressing some of the barriers and planning to implement an effective education strategy. UNICEF (No Date) strive to educate more teachers to have core knowledge and competencies to use proven teaching methodologies to deliver appropriate quality education. They prioritise and target children specifically who are least likely to receive an education.</w:t>
      </w:r>
    </w:p>
    <w:p w14:paraId="7DCCD43D" w14:textId="2E51C0D8" w:rsidR="00D373F0" w:rsidRDefault="008F77F5" w:rsidP="00D373F0">
      <w:pPr>
        <w:spacing w:line="360" w:lineRule="auto"/>
        <w:jc w:val="both"/>
        <w:rPr>
          <w:rFonts w:ascii="Arial" w:hAnsi="Arial" w:cs="Arial"/>
          <w:sz w:val="24"/>
          <w:szCs w:val="24"/>
        </w:rPr>
      </w:pPr>
      <w:r>
        <w:rPr>
          <w:rFonts w:ascii="Arial" w:hAnsi="Arial" w:cs="Arial"/>
          <w:sz w:val="24"/>
          <w:szCs w:val="24"/>
        </w:rPr>
        <w:t>Gender equity and equality policies are important documents within early childhood, which can help direct educators and organisations to deal with gender in settings, and to educate staff, families, and communities around significant issues (Robinson &amp; Diaz, 2006)</w:t>
      </w:r>
      <w:r w:rsidR="00A4454E">
        <w:rPr>
          <w:rFonts w:ascii="Arial" w:hAnsi="Arial" w:cs="Arial"/>
          <w:sz w:val="24"/>
          <w:szCs w:val="24"/>
        </w:rPr>
        <w:t xml:space="preserve">. </w:t>
      </w:r>
      <w:r w:rsidR="003B5CCC">
        <w:rPr>
          <w:rFonts w:ascii="Arial" w:hAnsi="Arial" w:cs="Arial"/>
          <w:sz w:val="24"/>
          <w:szCs w:val="24"/>
        </w:rPr>
        <w:t>The Nigerian National Gender Policy and its approval</w:t>
      </w:r>
      <w:r w:rsidR="00A4454E">
        <w:rPr>
          <w:rFonts w:ascii="Arial" w:hAnsi="Arial" w:cs="Arial"/>
          <w:sz w:val="24"/>
          <w:szCs w:val="24"/>
        </w:rPr>
        <w:t xml:space="preserve"> is the first step in achieving a change of social transformation (</w:t>
      </w:r>
      <w:r w:rsidR="00C21EB6">
        <w:rPr>
          <w:rFonts w:ascii="Arial" w:hAnsi="Arial" w:cs="Arial"/>
          <w:sz w:val="24"/>
          <w:szCs w:val="24"/>
        </w:rPr>
        <w:t>Federal Ministry of Women Affairs and Social Development Abuja, Federal Republic of Nigeria, 2006</w:t>
      </w:r>
      <w:r w:rsidR="00A4454E">
        <w:rPr>
          <w:rFonts w:ascii="Arial" w:hAnsi="Arial" w:cs="Arial"/>
          <w:sz w:val="24"/>
          <w:szCs w:val="24"/>
        </w:rPr>
        <w:t xml:space="preserve">). They seek to define broad operational policies, with regular reports which will guide intervention activities and programmes. </w:t>
      </w:r>
      <w:r w:rsidR="0050675A">
        <w:rPr>
          <w:rFonts w:ascii="Arial" w:hAnsi="Arial" w:cs="Arial"/>
          <w:sz w:val="24"/>
          <w:szCs w:val="24"/>
        </w:rPr>
        <w:t xml:space="preserve">On the contrary to this, the Nigerian Federal Ministry of Education webpage (No date), shows little effort to express any gratitude towards gender equality in education. </w:t>
      </w:r>
      <w:r w:rsidR="00D373F0">
        <w:rPr>
          <w:rFonts w:ascii="Arial" w:hAnsi="Arial" w:cs="Arial"/>
          <w:sz w:val="24"/>
          <w:szCs w:val="24"/>
        </w:rPr>
        <w:t>Instead,</w:t>
      </w:r>
      <w:r w:rsidR="0050675A">
        <w:rPr>
          <w:rFonts w:ascii="Arial" w:hAnsi="Arial" w:cs="Arial"/>
          <w:sz w:val="24"/>
          <w:szCs w:val="24"/>
        </w:rPr>
        <w:t xml:space="preserve"> it offers links to policies on safety, security and violent-free schools, scholarship exams, and other education sector achievements. They s</w:t>
      </w:r>
      <w:r w:rsidR="00D373F0">
        <w:rPr>
          <w:rFonts w:ascii="Arial" w:hAnsi="Arial" w:cs="Arial"/>
          <w:sz w:val="24"/>
          <w:szCs w:val="24"/>
        </w:rPr>
        <w:t>tate:</w:t>
      </w:r>
    </w:p>
    <w:p w14:paraId="05762631" w14:textId="203F4A0D" w:rsidR="00D373F0" w:rsidRDefault="00D373F0" w:rsidP="00D373F0">
      <w:pPr>
        <w:spacing w:line="360" w:lineRule="auto"/>
        <w:ind w:left="720"/>
        <w:jc w:val="both"/>
        <w:rPr>
          <w:rFonts w:ascii="Arial" w:eastAsia="Times New Roman" w:hAnsi="Arial" w:cs="Arial"/>
          <w:color w:val="000000"/>
          <w:sz w:val="24"/>
          <w:szCs w:val="24"/>
          <w:lang w:eastAsia="en-GB"/>
        </w:rPr>
      </w:pPr>
      <w:r w:rsidRPr="00D373F0">
        <w:rPr>
          <w:rFonts w:ascii="Arial" w:eastAsia="Times New Roman" w:hAnsi="Arial" w:cs="Arial"/>
          <w:color w:val="000000"/>
          <w:sz w:val="24"/>
          <w:szCs w:val="24"/>
          <w:lang w:eastAsia="en-GB"/>
        </w:rPr>
        <w:t xml:space="preserve">Our mission is to use education as a tool for fostering the development of all Nigerian citizens to their full potentials, in the promotion of a strong, democratic, </w:t>
      </w:r>
      <w:r w:rsidRPr="00D373F0">
        <w:rPr>
          <w:rFonts w:ascii="Arial" w:eastAsia="Times New Roman" w:hAnsi="Arial" w:cs="Arial"/>
          <w:color w:val="000000"/>
          <w:sz w:val="24"/>
          <w:szCs w:val="24"/>
          <w:lang w:eastAsia="en-GB"/>
        </w:rPr>
        <w:lastRenderedPageBreak/>
        <w:t xml:space="preserve">egalitarian, prosperous, </w:t>
      </w:r>
      <w:r w:rsidRPr="00D373F0">
        <w:rPr>
          <w:rFonts w:ascii="Arial" w:eastAsia="Times New Roman" w:hAnsi="Arial" w:cs="Arial"/>
          <w:color w:val="000000"/>
          <w:sz w:val="24"/>
          <w:szCs w:val="24"/>
          <w:lang w:eastAsia="en-GB"/>
        </w:rPr>
        <w:t>indivisible,</w:t>
      </w:r>
      <w:r w:rsidRPr="00D373F0">
        <w:rPr>
          <w:rFonts w:ascii="Arial" w:eastAsia="Times New Roman" w:hAnsi="Arial" w:cs="Arial"/>
          <w:color w:val="000000"/>
          <w:sz w:val="24"/>
          <w:szCs w:val="24"/>
          <w:lang w:eastAsia="en-GB"/>
        </w:rPr>
        <w:t xml:space="preserve"> and indissoluble sovereign nation under God</w:t>
      </w:r>
      <w:r>
        <w:rPr>
          <w:rFonts w:ascii="Arial" w:eastAsia="Times New Roman" w:hAnsi="Arial" w:cs="Arial"/>
          <w:color w:val="000000"/>
          <w:sz w:val="24"/>
          <w:szCs w:val="24"/>
          <w:lang w:eastAsia="en-GB"/>
        </w:rPr>
        <w:t xml:space="preserve"> (Federal Ministry of Education, No date).</w:t>
      </w:r>
    </w:p>
    <w:p w14:paraId="40EE5CFD" w14:textId="6AA67D33" w:rsidR="00D373F0" w:rsidRDefault="00D373F0" w:rsidP="007A1599">
      <w:pPr>
        <w:spacing w:line="360" w:lineRule="auto"/>
        <w:jc w:val="both"/>
        <w:rPr>
          <w:rFonts w:ascii="Arial" w:hAnsi="Arial" w:cs="Arial"/>
          <w:sz w:val="24"/>
          <w:szCs w:val="24"/>
        </w:rPr>
      </w:pPr>
      <w:r>
        <w:rPr>
          <w:rFonts w:ascii="Arial" w:hAnsi="Arial" w:cs="Arial"/>
          <w:sz w:val="24"/>
          <w:szCs w:val="24"/>
        </w:rPr>
        <w:t xml:space="preserve">It is said that the Gender Equality Department is solely responsible for the overall coordination of assessing the progress of the implementation of the National Gender Policy, however, it has been shown </w:t>
      </w:r>
      <w:r w:rsidR="00D55E2E">
        <w:rPr>
          <w:rFonts w:ascii="Arial" w:hAnsi="Arial" w:cs="Arial"/>
          <w:sz w:val="24"/>
          <w:szCs w:val="24"/>
        </w:rPr>
        <w:t>that developing community partnerships and working in collaboration, schools can be strengthened and can make a positive contribution to community life and developing community cohesion (Welsh Government, 2015).</w:t>
      </w:r>
    </w:p>
    <w:p w14:paraId="24053005" w14:textId="77777777" w:rsidR="00C9252E" w:rsidRDefault="00C9252E" w:rsidP="007A1599">
      <w:pPr>
        <w:spacing w:line="360" w:lineRule="auto"/>
        <w:jc w:val="both"/>
        <w:rPr>
          <w:rFonts w:ascii="Arial" w:hAnsi="Arial" w:cs="Arial"/>
          <w:sz w:val="24"/>
          <w:szCs w:val="24"/>
        </w:rPr>
      </w:pPr>
      <w:r>
        <w:rPr>
          <w:rFonts w:ascii="Arial" w:hAnsi="Arial" w:cs="Arial"/>
          <w:b/>
          <w:bCs/>
          <w:sz w:val="24"/>
          <w:szCs w:val="24"/>
          <w:u w:val="single"/>
        </w:rPr>
        <w:t>Socio-economic</w:t>
      </w:r>
    </w:p>
    <w:p w14:paraId="56F17994" w14:textId="77777777" w:rsidR="00163AA8" w:rsidRDefault="00C9252E" w:rsidP="007A1599">
      <w:pPr>
        <w:spacing w:line="360" w:lineRule="auto"/>
        <w:jc w:val="both"/>
        <w:rPr>
          <w:rFonts w:ascii="Arial" w:hAnsi="Arial" w:cs="Arial"/>
          <w:sz w:val="24"/>
          <w:szCs w:val="24"/>
        </w:rPr>
      </w:pPr>
      <w:r>
        <w:rPr>
          <w:rFonts w:ascii="Arial" w:hAnsi="Arial" w:cs="Arial"/>
          <w:sz w:val="24"/>
          <w:szCs w:val="24"/>
        </w:rPr>
        <w:t xml:space="preserve">The Nigerian Government set out national development plans in the 1970s, which are also a part of the National Policy on Education. Since its inception, Nigeria government has been making efforts to achieve these objectives such as the Universal Primary Education (UPE) scheme (Aja </w:t>
      </w:r>
      <w:r>
        <w:rPr>
          <w:rFonts w:ascii="Arial" w:hAnsi="Arial" w:cs="Arial"/>
          <w:i/>
          <w:iCs/>
          <w:sz w:val="24"/>
          <w:szCs w:val="24"/>
        </w:rPr>
        <w:t xml:space="preserve">et al., </w:t>
      </w:r>
      <w:r>
        <w:rPr>
          <w:rFonts w:ascii="Arial" w:hAnsi="Arial" w:cs="Arial"/>
          <w:sz w:val="24"/>
          <w:szCs w:val="24"/>
        </w:rPr>
        <w:t>2017).</w:t>
      </w:r>
      <w:r w:rsidR="00B37BDC">
        <w:rPr>
          <w:rFonts w:ascii="Arial" w:hAnsi="Arial" w:cs="Arial"/>
          <w:sz w:val="24"/>
          <w:szCs w:val="24"/>
        </w:rPr>
        <w:t xml:space="preserve"> </w:t>
      </w:r>
      <w:r w:rsidR="00DF223E">
        <w:rPr>
          <w:rFonts w:ascii="Arial" w:hAnsi="Arial" w:cs="Arial"/>
          <w:sz w:val="24"/>
          <w:szCs w:val="24"/>
        </w:rPr>
        <w:t>Despite the UBE policy there is still no evidence that shows an increase in enrolment figures in accordance with total population. As the UPE policy dates back to 1999, every different government which is in power within Nigeria, wants to be identified with new policies, thereby abandoning any existing ones. The formulation of existing policies falls responsible to political officer holders, who have been known to be inexperienced, thus making it difficult for them to monitor the implementation of these policies (Aja</w:t>
      </w:r>
      <w:r w:rsidR="00DF223E">
        <w:rPr>
          <w:rFonts w:ascii="Arial" w:hAnsi="Arial" w:cs="Arial"/>
          <w:i/>
          <w:iCs/>
          <w:sz w:val="24"/>
          <w:szCs w:val="24"/>
        </w:rPr>
        <w:t xml:space="preserve"> et al. </w:t>
      </w:r>
      <w:r w:rsidR="00DF223E">
        <w:rPr>
          <w:rFonts w:ascii="Arial" w:hAnsi="Arial" w:cs="Arial"/>
          <w:sz w:val="24"/>
          <w:szCs w:val="24"/>
        </w:rPr>
        <w:t>2017).</w:t>
      </w:r>
      <w:r w:rsidR="00951316">
        <w:rPr>
          <w:rFonts w:ascii="Arial" w:hAnsi="Arial" w:cs="Arial"/>
          <w:sz w:val="24"/>
          <w:szCs w:val="24"/>
        </w:rPr>
        <w:t xml:space="preserve"> </w:t>
      </w:r>
    </w:p>
    <w:p w14:paraId="2A6FD0E6" w14:textId="34379A5B" w:rsidR="00435E17" w:rsidRDefault="00951316" w:rsidP="007A1599">
      <w:pPr>
        <w:spacing w:line="360" w:lineRule="auto"/>
        <w:jc w:val="both"/>
        <w:rPr>
          <w:rFonts w:ascii="Arial" w:hAnsi="Arial" w:cs="Arial"/>
          <w:sz w:val="24"/>
          <w:szCs w:val="24"/>
        </w:rPr>
      </w:pPr>
      <w:r>
        <w:rPr>
          <w:rFonts w:ascii="Arial" w:hAnsi="Arial" w:cs="Arial"/>
          <w:sz w:val="24"/>
          <w:szCs w:val="24"/>
        </w:rPr>
        <w:t>Secondary schools and other education have a varying cost across Nigeria, and many primary schools will charge unofficial school fees, and if families fail to pay for the services the student may receive punishment. Not being able to sit exams, sending pupils home, and some girls will miss classes in order to earn money for the opportunity to be able to afford schooling</w:t>
      </w:r>
      <w:r w:rsidR="00703238">
        <w:rPr>
          <w:rFonts w:ascii="Arial" w:hAnsi="Arial" w:cs="Arial"/>
          <w:sz w:val="24"/>
          <w:szCs w:val="24"/>
        </w:rPr>
        <w:t>, and to provide for their families. Child labour is on the rise within Nigeria, with 43% of the total population of minors, it is the highest recorded rate of child labour in Western Africa (</w:t>
      </w:r>
      <w:r w:rsidR="004C5098">
        <w:rPr>
          <w:rFonts w:ascii="Arial" w:hAnsi="Arial" w:cs="Arial"/>
          <w:sz w:val="24"/>
          <w:szCs w:val="24"/>
        </w:rPr>
        <w:t>Decker</w:t>
      </w:r>
      <w:r w:rsidR="00703238">
        <w:rPr>
          <w:rFonts w:ascii="Arial" w:hAnsi="Arial" w:cs="Arial"/>
          <w:sz w:val="24"/>
          <w:szCs w:val="24"/>
        </w:rPr>
        <w:t xml:space="preserve">, </w:t>
      </w:r>
      <w:r w:rsidR="004C5098">
        <w:rPr>
          <w:rFonts w:ascii="Arial" w:hAnsi="Arial" w:cs="Arial"/>
          <w:sz w:val="24"/>
          <w:szCs w:val="24"/>
        </w:rPr>
        <w:t>2020</w:t>
      </w:r>
      <w:r w:rsidR="00703238">
        <w:rPr>
          <w:rFonts w:ascii="Arial" w:hAnsi="Arial" w:cs="Arial"/>
          <w:sz w:val="24"/>
          <w:szCs w:val="24"/>
        </w:rPr>
        <w:t xml:space="preserve">) with 27% of child labourers attending school in addition to work. There </w:t>
      </w:r>
      <w:r w:rsidR="00163AA8">
        <w:rPr>
          <w:rFonts w:ascii="Arial" w:hAnsi="Arial" w:cs="Arial"/>
          <w:sz w:val="24"/>
          <w:szCs w:val="24"/>
        </w:rPr>
        <w:t>have</w:t>
      </w:r>
      <w:r w:rsidR="00703238">
        <w:rPr>
          <w:rFonts w:ascii="Arial" w:hAnsi="Arial" w:cs="Arial"/>
          <w:sz w:val="24"/>
          <w:szCs w:val="24"/>
        </w:rPr>
        <w:t xml:space="preserve"> been further reports that suggest schools within rural areas exploit students and force them to work or beg during school hours to earn additional money for teachers. </w:t>
      </w:r>
      <w:r w:rsidR="00163AA8">
        <w:rPr>
          <w:rFonts w:ascii="Arial" w:hAnsi="Arial" w:cs="Arial"/>
          <w:sz w:val="24"/>
          <w:szCs w:val="24"/>
        </w:rPr>
        <w:t xml:space="preserve">Many children experience trafficking, with girls at a higher risk for sexual exploitation. Although in 2003 the Child Rights Act came into effect, the government response to this crucial document has been underwhelming. The Child Rights Act (2003), states that no child shall be </w:t>
      </w:r>
      <w:r w:rsidR="00163AA8">
        <w:rPr>
          <w:rFonts w:ascii="Arial" w:hAnsi="Arial" w:cs="Arial"/>
          <w:sz w:val="24"/>
          <w:szCs w:val="24"/>
        </w:rPr>
        <w:lastRenderedPageBreak/>
        <w:t xml:space="preserve">subjected to any forced or exploitative labour, nor should a child be used as a slave for practices similar to slavery such as sale of trafficking of the child, debit bondage, or serfdom and forced or compulsory labour. However, with the estimated figure of children used for human trafficking at 58% and the child labour figures stated previously, it is obvious that the government has put minimal effort into the ratification of these issues. </w:t>
      </w:r>
      <w:r w:rsidR="0006787C">
        <w:rPr>
          <w:rFonts w:ascii="Arial" w:hAnsi="Arial" w:cs="Arial"/>
          <w:sz w:val="24"/>
          <w:szCs w:val="24"/>
        </w:rPr>
        <w:t xml:space="preserve">These issues will continue to arise until further and stricter regulations are brought forward, with absolute enforcement as a paramount. </w:t>
      </w:r>
    </w:p>
    <w:p w14:paraId="54296EF9" w14:textId="32B57879" w:rsidR="00661A25" w:rsidRDefault="00661A25" w:rsidP="007A1599">
      <w:pPr>
        <w:spacing w:line="360" w:lineRule="auto"/>
        <w:jc w:val="both"/>
        <w:rPr>
          <w:rFonts w:ascii="Arial" w:hAnsi="Arial" w:cs="Arial"/>
          <w:sz w:val="24"/>
          <w:szCs w:val="24"/>
        </w:rPr>
      </w:pPr>
      <w:r>
        <w:rPr>
          <w:rFonts w:ascii="Arial" w:hAnsi="Arial" w:cs="Arial"/>
          <w:sz w:val="24"/>
          <w:szCs w:val="24"/>
        </w:rPr>
        <w:t>Many parents in Nigeria fear that education may be a waste of time, due to the lack of good employment opportunities</w:t>
      </w:r>
      <w:r w:rsidR="00BF4546">
        <w:rPr>
          <w:rFonts w:ascii="Arial" w:hAnsi="Arial" w:cs="Arial"/>
          <w:sz w:val="24"/>
          <w:szCs w:val="24"/>
        </w:rPr>
        <w:t>. 54% of young people in Nigeria are currently unemployed (British Council, 2012). In many areas of Nigeria, female unemployment rates are higher due to systematic discrimination in the labour market (NPC, 2009), with many females earning less than their male peers even though they have the same level of education. Nigeria have been engaged with globalisation and the implementation of integrated economies, removal of trade barriers, increased cross-border relations, and interdependence between nations. Other countries within the world have achieved these goals, however, Nigeria have felt the impact of globalisation has had negative implications on the Nigerian economy, and ultimately has affected the unemployment rates and process of national development (</w:t>
      </w:r>
      <w:proofErr w:type="spellStart"/>
      <w:r w:rsidR="00DB3FED">
        <w:rPr>
          <w:rFonts w:ascii="Arial" w:hAnsi="Arial" w:cs="Arial"/>
          <w:sz w:val="24"/>
          <w:szCs w:val="24"/>
        </w:rPr>
        <w:t>Nsehe</w:t>
      </w:r>
      <w:proofErr w:type="spellEnd"/>
      <w:r w:rsidR="00DB3FED">
        <w:rPr>
          <w:rFonts w:ascii="Arial" w:hAnsi="Arial" w:cs="Arial"/>
          <w:sz w:val="24"/>
          <w:szCs w:val="24"/>
        </w:rPr>
        <w:t>, 2017</w:t>
      </w:r>
      <w:r w:rsidR="00BF4546">
        <w:rPr>
          <w:rFonts w:ascii="Arial" w:hAnsi="Arial" w:cs="Arial"/>
          <w:sz w:val="24"/>
          <w:szCs w:val="24"/>
        </w:rPr>
        <w:t xml:space="preserve">). Nigeria can be seen as taking the </w:t>
      </w:r>
      <w:r w:rsidR="00BF4546">
        <w:rPr>
          <w:rFonts w:ascii="Arial" w:hAnsi="Arial" w:cs="Arial"/>
          <w:i/>
          <w:iCs/>
          <w:sz w:val="24"/>
          <w:szCs w:val="24"/>
        </w:rPr>
        <w:t>transformational approach</w:t>
      </w:r>
      <w:r w:rsidR="00BF4546">
        <w:t xml:space="preserve"> </w:t>
      </w:r>
      <w:r w:rsidR="00BF4546">
        <w:rPr>
          <w:rFonts w:ascii="Arial" w:hAnsi="Arial" w:cs="Arial"/>
          <w:sz w:val="24"/>
          <w:szCs w:val="24"/>
        </w:rPr>
        <w:t>to globalisation, where they promote economic, cultural, and political integration (</w:t>
      </w:r>
      <w:proofErr w:type="spellStart"/>
      <w:r w:rsidR="00194D12">
        <w:rPr>
          <w:rFonts w:ascii="Arial" w:hAnsi="Arial" w:cs="Arial"/>
          <w:sz w:val="24"/>
          <w:szCs w:val="24"/>
        </w:rPr>
        <w:t>Parjanadze</w:t>
      </w:r>
      <w:proofErr w:type="spellEnd"/>
      <w:r w:rsidR="00194D12">
        <w:rPr>
          <w:rFonts w:ascii="Arial" w:hAnsi="Arial" w:cs="Arial"/>
          <w:sz w:val="24"/>
          <w:szCs w:val="24"/>
        </w:rPr>
        <w:t>, 2009</w:t>
      </w:r>
      <w:r w:rsidR="00BF4546">
        <w:rPr>
          <w:rFonts w:ascii="Arial" w:hAnsi="Arial" w:cs="Arial"/>
          <w:sz w:val="24"/>
          <w:szCs w:val="24"/>
        </w:rPr>
        <w:t xml:space="preserve">). They experience the contradictions of globalisation and inconsistency of global division of labour, where individuals from particular wealthy communities will transition or </w:t>
      </w:r>
      <w:r w:rsidR="004A2FAA">
        <w:rPr>
          <w:rFonts w:ascii="Arial" w:hAnsi="Arial" w:cs="Arial"/>
          <w:sz w:val="24"/>
          <w:szCs w:val="24"/>
        </w:rPr>
        <w:t>develop and</w:t>
      </w:r>
      <w:r w:rsidR="00BF4546">
        <w:rPr>
          <w:rFonts w:ascii="Arial" w:hAnsi="Arial" w:cs="Arial"/>
          <w:sz w:val="24"/>
          <w:szCs w:val="24"/>
        </w:rPr>
        <w:t xml:space="preserve"> are represented in the core of the global economy, whereas </w:t>
      </w:r>
      <w:r w:rsidR="00194D12">
        <w:rPr>
          <w:rFonts w:ascii="Arial" w:hAnsi="Arial" w:cs="Arial"/>
          <w:sz w:val="24"/>
          <w:szCs w:val="24"/>
        </w:rPr>
        <w:t xml:space="preserve">in the industrial communities or those facing poverty, face many disadvantages. </w:t>
      </w:r>
    </w:p>
    <w:p w14:paraId="76DB90F2" w14:textId="2A7AC385" w:rsidR="00273D09" w:rsidRDefault="00273D09" w:rsidP="007A1599">
      <w:pPr>
        <w:spacing w:line="360" w:lineRule="auto"/>
        <w:jc w:val="both"/>
        <w:rPr>
          <w:rFonts w:ascii="Arial" w:hAnsi="Arial" w:cs="Arial"/>
          <w:sz w:val="24"/>
          <w:szCs w:val="24"/>
        </w:rPr>
      </w:pPr>
      <w:r>
        <w:rPr>
          <w:rFonts w:ascii="Arial" w:hAnsi="Arial" w:cs="Arial"/>
          <w:b/>
          <w:bCs/>
          <w:sz w:val="24"/>
          <w:szCs w:val="24"/>
          <w:u w:val="single"/>
        </w:rPr>
        <w:t>Traditional/Socio-Cultural</w:t>
      </w:r>
    </w:p>
    <w:p w14:paraId="42AB88FA" w14:textId="62BAC4A7" w:rsidR="00273D09" w:rsidRDefault="00185A6A" w:rsidP="007A1599">
      <w:pPr>
        <w:spacing w:line="360" w:lineRule="auto"/>
        <w:jc w:val="both"/>
        <w:rPr>
          <w:rFonts w:ascii="Arial" w:hAnsi="Arial" w:cs="Arial"/>
          <w:sz w:val="24"/>
          <w:szCs w:val="24"/>
        </w:rPr>
      </w:pPr>
      <w:r>
        <w:rPr>
          <w:rFonts w:ascii="Arial" w:hAnsi="Arial" w:cs="Arial"/>
          <w:sz w:val="24"/>
          <w:szCs w:val="24"/>
        </w:rPr>
        <w:t>Many traditional barriers set by parents and families influence educational development. The stereotypes and culture of Nigeria can often exclude women in many decision-making processes, community participation, and even life-choices. Mahdi (2011) expressed that some families prioritise the males in their families to be educated, as they are the only ones who inherit and continue the family name in their bloodline.</w:t>
      </w:r>
      <w:r w:rsidR="00550334">
        <w:rPr>
          <w:rFonts w:ascii="Arial" w:hAnsi="Arial" w:cs="Arial"/>
          <w:sz w:val="24"/>
          <w:szCs w:val="24"/>
        </w:rPr>
        <w:t xml:space="preserve"> The overall cost </w:t>
      </w:r>
      <w:r w:rsidR="00392D49">
        <w:rPr>
          <w:rFonts w:ascii="Arial" w:hAnsi="Arial" w:cs="Arial"/>
          <w:sz w:val="24"/>
          <w:szCs w:val="24"/>
        </w:rPr>
        <w:t xml:space="preserve">and safety of school can have an effect on education enrolment in accordance with marriage. The cost of marriage, and importance of </w:t>
      </w:r>
      <w:r w:rsidR="00392D49">
        <w:rPr>
          <w:rFonts w:ascii="Arial" w:hAnsi="Arial" w:cs="Arial"/>
          <w:sz w:val="24"/>
          <w:szCs w:val="24"/>
        </w:rPr>
        <w:lastRenderedPageBreak/>
        <w:t xml:space="preserve">females serving their purpose within the Nigerian culture as wives and mothers, override the necessity to adequate education. As a knock-on effect of insufficient knowledge surrounding pregnancy and sexual-health, marriage can be viewed as a protective mechanism, to prevent shame or embarrassment of an unwanted or early pregnancy out of wedlock. Under the Child Rights Act (2003), marriage is forbidden under the age of 18, however, a study in 2009 found 28% of women aged 15-19 were already married, with 12% of these women married by 15 years of age, and 26% already being in a polygamous union with one or more co-wife. </w:t>
      </w:r>
    </w:p>
    <w:p w14:paraId="32172717" w14:textId="70E7DE0B" w:rsidR="00C47449" w:rsidRDefault="009B4510" w:rsidP="007A1599">
      <w:pPr>
        <w:spacing w:line="360" w:lineRule="auto"/>
        <w:jc w:val="both"/>
        <w:rPr>
          <w:rFonts w:ascii="Arial" w:hAnsi="Arial" w:cs="Arial"/>
          <w:sz w:val="24"/>
          <w:szCs w:val="24"/>
        </w:rPr>
      </w:pPr>
      <w:r>
        <w:rPr>
          <w:rFonts w:ascii="Arial" w:hAnsi="Arial" w:cs="Arial"/>
          <w:sz w:val="24"/>
          <w:szCs w:val="24"/>
        </w:rPr>
        <w:t>There are many lessons to be learned surrounding girls’ education within Nigeria, and a definitive need for interventions and policies to take precedent. Many programmes have been developed and are in continuous development to address the barriers and obstacles within the education sector. UNICEF have supported the Federal Ministry of Education in order to develop the Strategy for the Acceleration of Girls’ Education in Nigeria (SAGEN) in 2003. They address the need to focus on girls’ educational achievement and career aspirations which will allow society to ensure women economic security with more career choices and a better quality of life</w:t>
      </w:r>
      <w:r w:rsidR="00451E31">
        <w:rPr>
          <w:rFonts w:ascii="Arial" w:hAnsi="Arial" w:cs="Arial"/>
          <w:sz w:val="24"/>
          <w:szCs w:val="24"/>
        </w:rPr>
        <w:t xml:space="preserve"> (Adamu, 2003). UNICEF have also focused on helping the government and schools eliminate gender gaps in education, by focusing on teacher training and removing gender stereotypes from learning materials (Dowdy, 2021).</w:t>
      </w:r>
      <w:r w:rsidR="005F53ED">
        <w:rPr>
          <w:rFonts w:ascii="Arial" w:hAnsi="Arial" w:cs="Arial"/>
          <w:sz w:val="24"/>
          <w:szCs w:val="24"/>
        </w:rPr>
        <w:t xml:space="preserve"> SAGEN has inspired many other educational policies, such as the Girls’ Education Programme (2004), which has seen £26 million funding to boost girls’ educational participation. The Girls’ Education Programme strives to collaborate with government and other organisations to review teaching materials for gender sensitivity, and to promote synergy between girls’ education and poverty alleviation programmes. </w:t>
      </w:r>
      <w:r w:rsidR="006F070B">
        <w:rPr>
          <w:rFonts w:ascii="Arial" w:hAnsi="Arial" w:cs="Arial"/>
          <w:sz w:val="24"/>
          <w:szCs w:val="24"/>
        </w:rPr>
        <w:t xml:space="preserve">The Bixby </w:t>
      </w:r>
      <w:proofErr w:type="spellStart"/>
      <w:r w:rsidR="006F070B">
        <w:rPr>
          <w:rFonts w:ascii="Arial" w:hAnsi="Arial" w:cs="Arial"/>
          <w:sz w:val="24"/>
          <w:szCs w:val="24"/>
        </w:rPr>
        <w:t>Center</w:t>
      </w:r>
      <w:proofErr w:type="spellEnd"/>
      <w:r w:rsidR="006F070B">
        <w:rPr>
          <w:rFonts w:ascii="Arial" w:hAnsi="Arial" w:cs="Arial"/>
          <w:sz w:val="24"/>
          <w:szCs w:val="24"/>
        </w:rPr>
        <w:t xml:space="preserve"> (2014) use incentives in order to increase girls’ enrolment and retention in education. They aim to delay the age at which females get married and begin bearing children, to increase their livelihoods and health outcomes. The scheme has provided uniforms and books free of charge for all girls registered and attending primary school. To ensure the retention of students, if they can achieve and maintain a 90% attendance rate, they will receive books and uniform free of charge until the student completes primary school. </w:t>
      </w:r>
    </w:p>
    <w:p w14:paraId="0A3E3E57" w14:textId="41F13578" w:rsidR="006E2E5D" w:rsidRPr="00273D09" w:rsidRDefault="006E2E5D" w:rsidP="007A1599">
      <w:pPr>
        <w:spacing w:line="360" w:lineRule="auto"/>
        <w:jc w:val="both"/>
        <w:rPr>
          <w:rFonts w:ascii="Arial" w:hAnsi="Arial" w:cs="Arial"/>
          <w:sz w:val="24"/>
          <w:szCs w:val="24"/>
        </w:rPr>
      </w:pPr>
      <w:r>
        <w:rPr>
          <w:rFonts w:ascii="Arial" w:hAnsi="Arial" w:cs="Arial"/>
          <w:sz w:val="24"/>
          <w:szCs w:val="24"/>
        </w:rPr>
        <w:t xml:space="preserve">This essay has discovered that barriers for education go far beyond the simplistic views of poverty, and attainment. Instead, the obstacles and barriers are an extensive list as a result of poor practice, globalisation, cultural norms, and gender stereotypes. </w:t>
      </w:r>
      <w:r>
        <w:rPr>
          <w:rFonts w:ascii="Arial" w:hAnsi="Arial" w:cs="Arial"/>
          <w:sz w:val="24"/>
          <w:szCs w:val="24"/>
        </w:rPr>
        <w:lastRenderedPageBreak/>
        <w:t xml:space="preserve">The right to an education is something that UNICEF has stated should be for every child, and not just the few. Girls’ education is an effective means of achieving a wide variety of other sustainable development goals. Through research, it is found that there are many schemes, interventions, and policies in place to combat the issues surround education. On the contrary to this, the figures and statistics </w:t>
      </w:r>
      <w:r w:rsidR="00C31B44">
        <w:rPr>
          <w:rFonts w:ascii="Arial" w:hAnsi="Arial" w:cs="Arial"/>
          <w:sz w:val="24"/>
          <w:szCs w:val="24"/>
        </w:rPr>
        <w:t xml:space="preserve">about children who are educated </w:t>
      </w:r>
      <w:r>
        <w:rPr>
          <w:rFonts w:ascii="Arial" w:hAnsi="Arial" w:cs="Arial"/>
          <w:sz w:val="24"/>
          <w:szCs w:val="24"/>
        </w:rPr>
        <w:t>found throughout this research</w:t>
      </w:r>
      <w:r w:rsidR="00C31B44">
        <w:rPr>
          <w:rFonts w:ascii="Arial" w:hAnsi="Arial" w:cs="Arial"/>
          <w:sz w:val="24"/>
          <w:szCs w:val="24"/>
        </w:rPr>
        <w:t>,</w:t>
      </w:r>
      <w:r>
        <w:rPr>
          <w:rFonts w:ascii="Arial" w:hAnsi="Arial" w:cs="Arial"/>
          <w:sz w:val="24"/>
          <w:szCs w:val="24"/>
        </w:rPr>
        <w:t xml:space="preserve"> do not correlate with the amount of funding and provision that is being put into place. Incompetent and wrongly prioritised governments can be seen as a logistical failure in the implementation of the Childs Rights Act, 2003, where girls’ well-being, livelihood, and education are being forsaken for cultural norms bound by tradition.</w:t>
      </w:r>
      <w:r w:rsidR="00C31B44">
        <w:rPr>
          <w:rFonts w:ascii="Arial" w:hAnsi="Arial" w:cs="Arial"/>
          <w:sz w:val="24"/>
          <w:szCs w:val="24"/>
        </w:rPr>
        <w:t xml:space="preserve"> Educating children, families, schools, and communities around the discourses of gender is important for providing them with greater flexibility and opportunities in the lives of themselves, and those who they care for.</w:t>
      </w:r>
    </w:p>
    <w:p w14:paraId="45C33518" w14:textId="77777777" w:rsidR="007A1599" w:rsidRPr="007A1599" w:rsidRDefault="007A1599" w:rsidP="007A1599">
      <w:pPr>
        <w:spacing w:line="360" w:lineRule="auto"/>
        <w:jc w:val="both"/>
        <w:rPr>
          <w:rFonts w:ascii="Arial" w:hAnsi="Arial" w:cs="Arial"/>
          <w:sz w:val="24"/>
          <w:szCs w:val="24"/>
        </w:rPr>
      </w:pPr>
    </w:p>
    <w:p w14:paraId="0ED34D41" w14:textId="77777777" w:rsidR="007A1599" w:rsidRPr="007A1599" w:rsidRDefault="007A1599" w:rsidP="007A1599">
      <w:pPr>
        <w:spacing w:line="360" w:lineRule="auto"/>
        <w:jc w:val="both"/>
        <w:rPr>
          <w:rFonts w:ascii="Arial" w:hAnsi="Arial" w:cs="Arial"/>
          <w:sz w:val="24"/>
          <w:szCs w:val="24"/>
        </w:rPr>
      </w:pPr>
    </w:p>
    <w:p w14:paraId="68124541" w14:textId="77777777" w:rsidR="00D64285" w:rsidRDefault="00D64285" w:rsidP="002910F2">
      <w:pPr>
        <w:spacing w:line="360" w:lineRule="auto"/>
        <w:jc w:val="both"/>
        <w:rPr>
          <w:rFonts w:ascii="Arial" w:hAnsi="Arial" w:cs="Arial"/>
          <w:b/>
          <w:sz w:val="24"/>
          <w:szCs w:val="24"/>
          <w:u w:val="single"/>
        </w:rPr>
      </w:pPr>
    </w:p>
    <w:p w14:paraId="7E1138C3" w14:textId="77777777" w:rsidR="00D64285" w:rsidRDefault="00D64285" w:rsidP="002910F2">
      <w:pPr>
        <w:spacing w:line="360" w:lineRule="auto"/>
        <w:jc w:val="both"/>
        <w:rPr>
          <w:rFonts w:ascii="Arial" w:hAnsi="Arial" w:cs="Arial"/>
          <w:b/>
          <w:sz w:val="24"/>
          <w:szCs w:val="24"/>
          <w:u w:val="single"/>
        </w:rPr>
      </w:pPr>
    </w:p>
    <w:p w14:paraId="37030CD1" w14:textId="77777777" w:rsidR="00D64285" w:rsidRDefault="00D64285" w:rsidP="002910F2">
      <w:pPr>
        <w:spacing w:line="360" w:lineRule="auto"/>
        <w:jc w:val="both"/>
        <w:rPr>
          <w:rFonts w:ascii="Arial" w:hAnsi="Arial" w:cs="Arial"/>
          <w:b/>
          <w:sz w:val="24"/>
          <w:szCs w:val="24"/>
          <w:u w:val="single"/>
        </w:rPr>
      </w:pPr>
    </w:p>
    <w:p w14:paraId="6C73CBE9" w14:textId="77777777" w:rsidR="00D64285" w:rsidRDefault="00D64285" w:rsidP="002910F2">
      <w:pPr>
        <w:spacing w:line="360" w:lineRule="auto"/>
        <w:jc w:val="both"/>
        <w:rPr>
          <w:rFonts w:ascii="Arial" w:hAnsi="Arial" w:cs="Arial"/>
          <w:b/>
          <w:sz w:val="24"/>
          <w:szCs w:val="24"/>
          <w:u w:val="single"/>
        </w:rPr>
      </w:pPr>
    </w:p>
    <w:p w14:paraId="2D21295D" w14:textId="77777777" w:rsidR="00D64285" w:rsidRDefault="00D64285" w:rsidP="002910F2">
      <w:pPr>
        <w:spacing w:line="360" w:lineRule="auto"/>
        <w:jc w:val="both"/>
        <w:rPr>
          <w:rFonts w:ascii="Arial" w:hAnsi="Arial" w:cs="Arial"/>
          <w:b/>
          <w:sz w:val="24"/>
          <w:szCs w:val="24"/>
          <w:u w:val="single"/>
        </w:rPr>
      </w:pPr>
    </w:p>
    <w:p w14:paraId="6A6696F3" w14:textId="77777777" w:rsidR="00D64285" w:rsidRDefault="00D64285" w:rsidP="002910F2">
      <w:pPr>
        <w:spacing w:line="360" w:lineRule="auto"/>
        <w:jc w:val="both"/>
        <w:rPr>
          <w:rFonts w:ascii="Arial" w:hAnsi="Arial" w:cs="Arial"/>
          <w:b/>
          <w:sz w:val="24"/>
          <w:szCs w:val="24"/>
          <w:u w:val="single"/>
        </w:rPr>
      </w:pPr>
    </w:p>
    <w:p w14:paraId="7E27C141" w14:textId="77777777" w:rsidR="00D64285" w:rsidRDefault="00D64285" w:rsidP="002910F2">
      <w:pPr>
        <w:spacing w:line="360" w:lineRule="auto"/>
        <w:jc w:val="both"/>
        <w:rPr>
          <w:rFonts w:ascii="Arial" w:hAnsi="Arial" w:cs="Arial"/>
          <w:b/>
          <w:sz w:val="24"/>
          <w:szCs w:val="24"/>
          <w:u w:val="single"/>
        </w:rPr>
      </w:pPr>
    </w:p>
    <w:p w14:paraId="39ABC49A" w14:textId="77777777" w:rsidR="00D64285" w:rsidRDefault="00D64285" w:rsidP="002910F2">
      <w:pPr>
        <w:spacing w:line="360" w:lineRule="auto"/>
        <w:jc w:val="both"/>
        <w:rPr>
          <w:rFonts w:ascii="Arial" w:hAnsi="Arial" w:cs="Arial"/>
          <w:b/>
          <w:sz w:val="24"/>
          <w:szCs w:val="24"/>
          <w:u w:val="single"/>
        </w:rPr>
      </w:pPr>
    </w:p>
    <w:p w14:paraId="1FE88E57" w14:textId="77777777" w:rsidR="00D64285" w:rsidRDefault="00D64285" w:rsidP="002910F2">
      <w:pPr>
        <w:spacing w:line="360" w:lineRule="auto"/>
        <w:jc w:val="both"/>
        <w:rPr>
          <w:rFonts w:ascii="Arial" w:hAnsi="Arial" w:cs="Arial"/>
          <w:b/>
          <w:sz w:val="24"/>
          <w:szCs w:val="24"/>
          <w:u w:val="single"/>
        </w:rPr>
      </w:pPr>
    </w:p>
    <w:p w14:paraId="78EA5B82" w14:textId="77777777" w:rsidR="00D64285" w:rsidRDefault="00D64285" w:rsidP="002910F2">
      <w:pPr>
        <w:spacing w:line="360" w:lineRule="auto"/>
        <w:jc w:val="both"/>
        <w:rPr>
          <w:rFonts w:ascii="Arial" w:hAnsi="Arial" w:cs="Arial"/>
          <w:b/>
          <w:sz w:val="24"/>
          <w:szCs w:val="24"/>
          <w:u w:val="single"/>
        </w:rPr>
      </w:pPr>
    </w:p>
    <w:p w14:paraId="22E389B5" w14:textId="77777777" w:rsidR="00D64285" w:rsidRDefault="00D64285" w:rsidP="002910F2">
      <w:pPr>
        <w:spacing w:line="360" w:lineRule="auto"/>
        <w:jc w:val="both"/>
        <w:rPr>
          <w:rFonts w:ascii="Arial" w:hAnsi="Arial" w:cs="Arial"/>
          <w:b/>
          <w:sz w:val="24"/>
          <w:szCs w:val="24"/>
          <w:u w:val="single"/>
        </w:rPr>
      </w:pPr>
    </w:p>
    <w:p w14:paraId="7B686D0E" w14:textId="77777777" w:rsidR="00D64285" w:rsidRDefault="00D64285" w:rsidP="002910F2">
      <w:pPr>
        <w:spacing w:line="360" w:lineRule="auto"/>
        <w:jc w:val="both"/>
        <w:rPr>
          <w:rFonts w:ascii="Arial" w:hAnsi="Arial" w:cs="Arial"/>
          <w:b/>
          <w:sz w:val="24"/>
          <w:szCs w:val="24"/>
          <w:u w:val="single"/>
        </w:rPr>
      </w:pPr>
    </w:p>
    <w:p w14:paraId="7FB1DC2D" w14:textId="77777777" w:rsidR="00D64285" w:rsidRDefault="00D64285" w:rsidP="002910F2">
      <w:pPr>
        <w:spacing w:line="360" w:lineRule="auto"/>
        <w:jc w:val="both"/>
        <w:rPr>
          <w:rFonts w:ascii="Arial" w:hAnsi="Arial" w:cs="Arial"/>
          <w:b/>
          <w:sz w:val="24"/>
          <w:szCs w:val="24"/>
          <w:u w:val="single"/>
        </w:rPr>
      </w:pPr>
    </w:p>
    <w:p w14:paraId="6E128067" w14:textId="702CBF40" w:rsidR="00934B3A" w:rsidRPr="00934B3A" w:rsidRDefault="00934B3A" w:rsidP="002910F2">
      <w:pPr>
        <w:spacing w:line="360" w:lineRule="auto"/>
        <w:jc w:val="both"/>
        <w:rPr>
          <w:rFonts w:ascii="Arial" w:hAnsi="Arial" w:cs="Arial"/>
          <w:b/>
          <w:sz w:val="24"/>
          <w:szCs w:val="24"/>
          <w:u w:val="single"/>
        </w:rPr>
      </w:pPr>
      <w:r w:rsidRPr="00934B3A">
        <w:rPr>
          <w:rFonts w:ascii="Arial" w:hAnsi="Arial" w:cs="Arial"/>
          <w:b/>
          <w:sz w:val="24"/>
          <w:szCs w:val="24"/>
          <w:u w:val="single"/>
        </w:rPr>
        <w:lastRenderedPageBreak/>
        <w:t>References</w:t>
      </w:r>
    </w:p>
    <w:p w14:paraId="18D2012C"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ACTIONAID. (2011) </w:t>
      </w:r>
      <w:r w:rsidRPr="00D64285">
        <w:rPr>
          <w:rFonts w:ascii="Arial" w:hAnsi="Arial" w:cs="Arial"/>
          <w:i/>
          <w:iCs/>
          <w:sz w:val="24"/>
          <w:szCs w:val="24"/>
        </w:rPr>
        <w:t>Transforming education for girls in Nigeria and Tanzania: a cross-country analysis of baseline research.</w:t>
      </w:r>
      <w:r w:rsidRPr="00D64285">
        <w:rPr>
          <w:rFonts w:ascii="Arial" w:hAnsi="Arial" w:cs="Arial"/>
          <w:sz w:val="24"/>
          <w:szCs w:val="24"/>
        </w:rPr>
        <w:t xml:space="preserve"> ActionAid: London</w:t>
      </w:r>
    </w:p>
    <w:p w14:paraId="4B83C1A3"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ADAMU, U, A. (2003) </w:t>
      </w:r>
      <w:r w:rsidRPr="00D64285">
        <w:rPr>
          <w:rFonts w:ascii="Arial" w:hAnsi="Arial" w:cs="Arial"/>
          <w:i/>
          <w:iCs/>
          <w:sz w:val="24"/>
          <w:szCs w:val="24"/>
        </w:rPr>
        <w:t>Strategies for Acceleration of the Girl-Child Education in Northern Nigeria</w:t>
      </w:r>
      <w:r w:rsidRPr="00D64285">
        <w:rPr>
          <w:rFonts w:ascii="Arial" w:hAnsi="Arial" w:cs="Arial"/>
          <w:sz w:val="24"/>
          <w:szCs w:val="24"/>
        </w:rPr>
        <w:t xml:space="preserve">. </w:t>
      </w:r>
      <w:proofErr w:type="spellStart"/>
      <w:r w:rsidRPr="00D64285">
        <w:rPr>
          <w:rFonts w:ascii="Arial" w:hAnsi="Arial" w:cs="Arial"/>
          <w:sz w:val="24"/>
          <w:szCs w:val="24"/>
        </w:rPr>
        <w:t>Bayero</w:t>
      </w:r>
      <w:proofErr w:type="spellEnd"/>
      <w:r w:rsidRPr="00D64285">
        <w:rPr>
          <w:rFonts w:ascii="Arial" w:hAnsi="Arial" w:cs="Arial"/>
          <w:sz w:val="24"/>
          <w:szCs w:val="24"/>
        </w:rPr>
        <w:t xml:space="preserve"> University: Kano</w:t>
      </w:r>
    </w:p>
    <w:p w14:paraId="18A85D17"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AJA, S, N. </w:t>
      </w:r>
      <w:r w:rsidRPr="00D64285">
        <w:rPr>
          <w:rFonts w:ascii="Arial" w:hAnsi="Arial" w:cs="Arial"/>
          <w:i/>
          <w:iCs/>
          <w:sz w:val="24"/>
          <w:szCs w:val="24"/>
        </w:rPr>
        <w:t xml:space="preserve">et al. </w:t>
      </w:r>
      <w:r w:rsidRPr="00D64285">
        <w:rPr>
          <w:rFonts w:ascii="Arial" w:hAnsi="Arial" w:cs="Arial"/>
          <w:sz w:val="24"/>
          <w:szCs w:val="24"/>
        </w:rPr>
        <w:t xml:space="preserve">(2017) </w:t>
      </w:r>
      <w:r w:rsidRPr="00D64285">
        <w:rPr>
          <w:rFonts w:ascii="Arial" w:hAnsi="Arial" w:cs="Arial"/>
          <w:i/>
          <w:iCs/>
          <w:sz w:val="24"/>
          <w:szCs w:val="24"/>
        </w:rPr>
        <w:t xml:space="preserve">Universal basic education (UBE) policy implementation challenges: The dilemma of junior secondary </w:t>
      </w:r>
      <w:proofErr w:type="gramStart"/>
      <w:r w:rsidRPr="00D64285">
        <w:rPr>
          <w:rFonts w:ascii="Arial" w:hAnsi="Arial" w:cs="Arial"/>
          <w:i/>
          <w:iCs/>
          <w:sz w:val="24"/>
          <w:szCs w:val="24"/>
        </w:rPr>
        <w:t>schools</w:t>
      </w:r>
      <w:proofErr w:type="gramEnd"/>
      <w:r w:rsidRPr="00D64285">
        <w:rPr>
          <w:rFonts w:ascii="Arial" w:hAnsi="Arial" w:cs="Arial"/>
          <w:i/>
          <w:iCs/>
          <w:sz w:val="24"/>
          <w:szCs w:val="24"/>
        </w:rPr>
        <w:t xml:space="preserve"> administrators in Nigeria</w:t>
      </w:r>
      <w:r w:rsidRPr="00D64285">
        <w:rPr>
          <w:rFonts w:ascii="Arial" w:hAnsi="Arial" w:cs="Arial"/>
          <w:sz w:val="24"/>
          <w:szCs w:val="24"/>
        </w:rPr>
        <w:t xml:space="preserve">. ‘International Journal of Educational Administration and Policy Studies’, 10(7), pp. 83-90. </w:t>
      </w:r>
    </w:p>
    <w:p w14:paraId="0E07EACA"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BIXBY CENTER. (No date) </w:t>
      </w:r>
      <w:r w:rsidRPr="00D64285">
        <w:rPr>
          <w:rFonts w:ascii="Arial" w:hAnsi="Arial" w:cs="Arial"/>
          <w:i/>
          <w:iCs/>
          <w:sz w:val="24"/>
          <w:szCs w:val="24"/>
        </w:rPr>
        <w:t>Incentives to promote girls’ education in Northern Nigeria</w:t>
      </w:r>
      <w:r w:rsidRPr="00D64285">
        <w:rPr>
          <w:rFonts w:ascii="Arial" w:hAnsi="Arial" w:cs="Arial"/>
          <w:sz w:val="24"/>
          <w:szCs w:val="24"/>
        </w:rPr>
        <w:t xml:space="preserve">. </w:t>
      </w:r>
    </w:p>
    <w:p w14:paraId="60C6FA08"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BRITISH COUNCIL. (2012) </w:t>
      </w:r>
      <w:r w:rsidRPr="00D64285">
        <w:rPr>
          <w:rFonts w:ascii="Arial" w:hAnsi="Arial" w:cs="Arial"/>
          <w:i/>
          <w:iCs/>
          <w:sz w:val="24"/>
          <w:szCs w:val="24"/>
        </w:rPr>
        <w:t xml:space="preserve">Gender Equality in Nigeria Report. </w:t>
      </w:r>
      <w:r w:rsidRPr="00D64285">
        <w:rPr>
          <w:rFonts w:ascii="Arial" w:hAnsi="Arial" w:cs="Arial"/>
          <w:sz w:val="24"/>
          <w:szCs w:val="24"/>
        </w:rPr>
        <w:t>British Council: Abuja.</w:t>
      </w:r>
    </w:p>
    <w:p w14:paraId="4C72FD04"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BRITISH COUNCIL. (2014) </w:t>
      </w:r>
      <w:r w:rsidRPr="00D64285">
        <w:rPr>
          <w:rFonts w:ascii="Arial" w:hAnsi="Arial" w:cs="Arial"/>
          <w:i/>
          <w:iCs/>
          <w:sz w:val="24"/>
          <w:szCs w:val="24"/>
        </w:rPr>
        <w:t>Girls’ Education in Nigeria. Report 2014: Issues, Influencers and Actions</w:t>
      </w:r>
      <w:r w:rsidRPr="00D64285">
        <w:rPr>
          <w:rFonts w:ascii="Arial" w:hAnsi="Arial" w:cs="Arial"/>
          <w:sz w:val="24"/>
          <w:szCs w:val="24"/>
        </w:rPr>
        <w:t>.</w:t>
      </w:r>
    </w:p>
    <w:p w14:paraId="726162CF"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CHILD FUND. (No Date) </w:t>
      </w:r>
      <w:r w:rsidRPr="00D64285">
        <w:rPr>
          <w:rFonts w:ascii="Arial" w:hAnsi="Arial" w:cs="Arial"/>
          <w:i/>
          <w:iCs/>
          <w:sz w:val="24"/>
          <w:szCs w:val="24"/>
        </w:rPr>
        <w:t>Poverty and Education</w:t>
      </w:r>
      <w:r w:rsidRPr="00D64285">
        <w:rPr>
          <w:rFonts w:ascii="Arial" w:hAnsi="Arial" w:cs="Arial"/>
          <w:sz w:val="24"/>
          <w:szCs w:val="24"/>
        </w:rPr>
        <w:t xml:space="preserve">. Available at: </w:t>
      </w:r>
      <w:hyperlink r:id="rId9" w:history="1">
        <w:r w:rsidRPr="00D64285">
          <w:rPr>
            <w:rStyle w:val="Hyperlink"/>
            <w:rFonts w:ascii="Arial" w:hAnsi="Arial" w:cs="Arial"/>
            <w:sz w:val="24"/>
            <w:szCs w:val="24"/>
          </w:rPr>
          <w:t>https://www.childfund.org/poverty-and-education/</w:t>
        </w:r>
      </w:hyperlink>
      <w:r w:rsidRPr="00D64285">
        <w:rPr>
          <w:rFonts w:ascii="Arial" w:hAnsi="Arial" w:cs="Arial"/>
          <w:sz w:val="24"/>
          <w:szCs w:val="24"/>
        </w:rPr>
        <w:t xml:space="preserve"> (Accessed 15</w:t>
      </w:r>
      <w:r w:rsidRPr="00D64285">
        <w:rPr>
          <w:rFonts w:ascii="Arial" w:hAnsi="Arial" w:cs="Arial"/>
          <w:sz w:val="24"/>
          <w:szCs w:val="24"/>
          <w:vertAlign w:val="superscript"/>
        </w:rPr>
        <w:t>th</w:t>
      </w:r>
      <w:r w:rsidRPr="00D64285">
        <w:rPr>
          <w:rFonts w:ascii="Arial" w:hAnsi="Arial" w:cs="Arial"/>
          <w:sz w:val="24"/>
          <w:szCs w:val="24"/>
        </w:rPr>
        <w:t xml:space="preserve"> February 2022)</w:t>
      </w:r>
    </w:p>
    <w:p w14:paraId="1D188FAB"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DECKER, S. (2020) </w:t>
      </w:r>
      <w:r w:rsidRPr="00D64285">
        <w:rPr>
          <w:rFonts w:ascii="Arial" w:hAnsi="Arial" w:cs="Arial"/>
          <w:i/>
          <w:iCs/>
          <w:sz w:val="24"/>
          <w:szCs w:val="24"/>
        </w:rPr>
        <w:t xml:space="preserve">10 Facts About Child </w:t>
      </w:r>
      <w:proofErr w:type="spellStart"/>
      <w:r w:rsidRPr="00D64285">
        <w:rPr>
          <w:rFonts w:ascii="Arial" w:hAnsi="Arial" w:cs="Arial"/>
          <w:i/>
          <w:iCs/>
          <w:sz w:val="24"/>
          <w:szCs w:val="24"/>
        </w:rPr>
        <w:t>Labor</w:t>
      </w:r>
      <w:proofErr w:type="spellEnd"/>
      <w:r w:rsidRPr="00D64285">
        <w:rPr>
          <w:rFonts w:ascii="Arial" w:hAnsi="Arial" w:cs="Arial"/>
          <w:i/>
          <w:iCs/>
          <w:sz w:val="24"/>
          <w:szCs w:val="24"/>
        </w:rPr>
        <w:t xml:space="preserve"> in Nigeria</w:t>
      </w:r>
      <w:r w:rsidRPr="00D64285">
        <w:rPr>
          <w:rFonts w:ascii="Arial" w:hAnsi="Arial" w:cs="Arial"/>
          <w:sz w:val="24"/>
          <w:szCs w:val="24"/>
        </w:rPr>
        <w:t xml:space="preserve">. Available at: </w:t>
      </w:r>
      <w:hyperlink r:id="rId10" w:history="1">
        <w:r w:rsidRPr="00D64285">
          <w:rPr>
            <w:rStyle w:val="Hyperlink"/>
            <w:rFonts w:ascii="Arial" w:hAnsi="Arial" w:cs="Arial"/>
            <w:sz w:val="24"/>
            <w:szCs w:val="24"/>
          </w:rPr>
          <w:t>https://borgenproject.org/child-labor-in-nigeria/</w:t>
        </w:r>
      </w:hyperlink>
      <w:r w:rsidRPr="00D64285">
        <w:rPr>
          <w:rFonts w:ascii="Arial" w:hAnsi="Arial" w:cs="Arial"/>
          <w:sz w:val="24"/>
          <w:szCs w:val="24"/>
        </w:rPr>
        <w:t xml:space="preserve"> (Accessed 22</w:t>
      </w:r>
      <w:r w:rsidRPr="00D64285">
        <w:rPr>
          <w:rFonts w:ascii="Arial" w:hAnsi="Arial" w:cs="Arial"/>
          <w:sz w:val="24"/>
          <w:szCs w:val="24"/>
          <w:vertAlign w:val="superscript"/>
        </w:rPr>
        <w:t>nd</w:t>
      </w:r>
      <w:r w:rsidRPr="00D64285">
        <w:rPr>
          <w:rFonts w:ascii="Arial" w:hAnsi="Arial" w:cs="Arial"/>
          <w:sz w:val="24"/>
          <w:szCs w:val="24"/>
        </w:rPr>
        <w:t xml:space="preserve"> February 2022). </w:t>
      </w:r>
    </w:p>
    <w:p w14:paraId="524C5F53"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 DOWDY, A. (2021) </w:t>
      </w:r>
      <w:r w:rsidRPr="00D64285">
        <w:rPr>
          <w:rFonts w:ascii="Arial" w:hAnsi="Arial" w:cs="Arial"/>
          <w:i/>
          <w:iCs/>
          <w:sz w:val="24"/>
          <w:szCs w:val="24"/>
        </w:rPr>
        <w:t>The Fight to Improve Girls’ Education in Nigeria</w:t>
      </w:r>
      <w:r w:rsidRPr="00D64285">
        <w:rPr>
          <w:rFonts w:ascii="Arial" w:hAnsi="Arial" w:cs="Arial"/>
          <w:sz w:val="24"/>
          <w:szCs w:val="24"/>
        </w:rPr>
        <w:t xml:space="preserve">. Available at: </w:t>
      </w:r>
      <w:hyperlink r:id="rId11" w:history="1">
        <w:r w:rsidRPr="00D64285">
          <w:rPr>
            <w:rStyle w:val="Hyperlink"/>
            <w:rFonts w:ascii="Arial" w:hAnsi="Arial" w:cs="Arial"/>
            <w:sz w:val="24"/>
            <w:szCs w:val="24"/>
          </w:rPr>
          <w:t>https://borgenproject.org/improve-girls-education-in-nigeria/</w:t>
        </w:r>
      </w:hyperlink>
      <w:r w:rsidRPr="00D64285">
        <w:rPr>
          <w:rFonts w:ascii="Arial" w:hAnsi="Arial" w:cs="Arial"/>
          <w:sz w:val="24"/>
          <w:szCs w:val="24"/>
        </w:rPr>
        <w:t xml:space="preserve"> (Accessed 22</w:t>
      </w:r>
      <w:r w:rsidRPr="00D64285">
        <w:rPr>
          <w:rFonts w:ascii="Arial" w:hAnsi="Arial" w:cs="Arial"/>
          <w:sz w:val="24"/>
          <w:szCs w:val="24"/>
          <w:vertAlign w:val="superscript"/>
        </w:rPr>
        <w:t>nd</w:t>
      </w:r>
      <w:r w:rsidRPr="00D64285">
        <w:rPr>
          <w:rFonts w:ascii="Arial" w:hAnsi="Arial" w:cs="Arial"/>
          <w:sz w:val="24"/>
          <w:szCs w:val="24"/>
        </w:rPr>
        <w:t xml:space="preserve"> February 2022). </w:t>
      </w:r>
    </w:p>
    <w:p w14:paraId="56F1C293"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EBINUM, </w:t>
      </w:r>
      <w:proofErr w:type="gramStart"/>
      <w:r w:rsidRPr="00D64285">
        <w:rPr>
          <w:rFonts w:ascii="Arial" w:hAnsi="Arial" w:cs="Arial"/>
          <w:sz w:val="24"/>
          <w:szCs w:val="24"/>
        </w:rPr>
        <w:t>U,S.</w:t>
      </w:r>
      <w:proofErr w:type="gramEnd"/>
      <w:r w:rsidRPr="00D64285">
        <w:rPr>
          <w:rFonts w:ascii="Arial" w:hAnsi="Arial" w:cs="Arial"/>
          <w:sz w:val="24"/>
          <w:szCs w:val="24"/>
        </w:rPr>
        <w:t xml:space="preserve"> (2017) ‘The Relationship Between School Distance And Academic Achievement Of Primary School Pupils In </w:t>
      </w:r>
      <w:proofErr w:type="spellStart"/>
      <w:r w:rsidRPr="00D64285">
        <w:rPr>
          <w:rFonts w:ascii="Arial" w:hAnsi="Arial" w:cs="Arial"/>
          <w:sz w:val="24"/>
          <w:szCs w:val="24"/>
        </w:rPr>
        <w:t>Ovia</w:t>
      </w:r>
      <w:proofErr w:type="spellEnd"/>
      <w:r w:rsidRPr="00D64285">
        <w:rPr>
          <w:rFonts w:ascii="Arial" w:hAnsi="Arial" w:cs="Arial"/>
          <w:sz w:val="24"/>
          <w:szCs w:val="24"/>
        </w:rPr>
        <w:t xml:space="preserve"> North-East </w:t>
      </w:r>
      <w:proofErr w:type="spellStart"/>
      <w:r w:rsidRPr="00D64285">
        <w:rPr>
          <w:rFonts w:ascii="Arial" w:hAnsi="Arial" w:cs="Arial"/>
          <w:sz w:val="24"/>
          <w:szCs w:val="24"/>
        </w:rPr>
        <w:t>Lga</w:t>
      </w:r>
      <w:proofErr w:type="spellEnd"/>
      <w:r w:rsidRPr="00D64285">
        <w:rPr>
          <w:rFonts w:ascii="Arial" w:hAnsi="Arial" w:cs="Arial"/>
          <w:sz w:val="24"/>
          <w:szCs w:val="24"/>
        </w:rPr>
        <w:t xml:space="preserve">, Edo State, Nigeria’. </w:t>
      </w:r>
      <w:r w:rsidRPr="00D64285">
        <w:rPr>
          <w:rFonts w:ascii="Arial" w:hAnsi="Arial" w:cs="Arial"/>
          <w:i/>
          <w:iCs/>
          <w:sz w:val="24"/>
          <w:szCs w:val="24"/>
        </w:rPr>
        <w:t>International Journal of Advanced Research and Publications</w:t>
      </w:r>
      <w:r w:rsidRPr="00D64285">
        <w:rPr>
          <w:rFonts w:ascii="Arial" w:hAnsi="Arial" w:cs="Arial"/>
          <w:sz w:val="24"/>
          <w:szCs w:val="24"/>
        </w:rPr>
        <w:t>. 1(5), pp. 427-435.</w:t>
      </w:r>
    </w:p>
    <w:p w14:paraId="13C26FED"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EUROSTAT. (2021) </w:t>
      </w:r>
      <w:r w:rsidRPr="00D64285">
        <w:rPr>
          <w:rFonts w:ascii="Arial" w:hAnsi="Arial" w:cs="Arial"/>
          <w:i/>
          <w:iCs/>
          <w:sz w:val="24"/>
          <w:szCs w:val="24"/>
        </w:rPr>
        <w:t>Educational Attainment Statistics</w:t>
      </w:r>
      <w:r w:rsidRPr="00D64285">
        <w:rPr>
          <w:rFonts w:ascii="Arial" w:hAnsi="Arial" w:cs="Arial"/>
          <w:sz w:val="24"/>
          <w:szCs w:val="24"/>
        </w:rPr>
        <w:t xml:space="preserve">. Available at: </w:t>
      </w:r>
      <w:hyperlink r:id="rId12" w:anchor=":~:text=In%202020%2C%2081.4%20%25%20of%20people,of%20those%20aged%2055%E2%80%9374.&amp;text=In%202019%2C%2040.3%20%25%20of%20the,time%20(see%20Figure%201)" w:history="1">
        <w:r w:rsidRPr="00D64285">
          <w:rPr>
            <w:rStyle w:val="Hyperlink"/>
            <w:rFonts w:ascii="Arial" w:hAnsi="Arial" w:cs="Arial"/>
            <w:sz w:val="24"/>
            <w:szCs w:val="24"/>
          </w:rPr>
          <w:t>https://ec.europa.eu/eurostat/statistics-explained/index.php?title=Educational_attainment_statistics#:~:text=In%202020%2C%2081.4%20%25%20of%20people,of%20those%20aged%2055%E2%80%</w:t>
        </w:r>
        <w:r w:rsidRPr="00D64285">
          <w:rPr>
            <w:rStyle w:val="Hyperlink"/>
            <w:rFonts w:ascii="Arial" w:hAnsi="Arial" w:cs="Arial"/>
            <w:sz w:val="24"/>
            <w:szCs w:val="24"/>
          </w:rPr>
          <w:lastRenderedPageBreak/>
          <w:t>9374.&amp;text=In%202019%2C%2040.3%20%25%20of%20the,time%20(see%20Figure%201)</w:t>
        </w:r>
      </w:hyperlink>
      <w:r w:rsidRPr="00D64285">
        <w:rPr>
          <w:rFonts w:ascii="Arial" w:hAnsi="Arial" w:cs="Arial"/>
          <w:sz w:val="24"/>
          <w:szCs w:val="24"/>
        </w:rPr>
        <w:t>. (Accessed 15</w:t>
      </w:r>
      <w:r w:rsidRPr="00D64285">
        <w:rPr>
          <w:rFonts w:ascii="Arial" w:hAnsi="Arial" w:cs="Arial"/>
          <w:sz w:val="24"/>
          <w:szCs w:val="24"/>
          <w:vertAlign w:val="superscript"/>
        </w:rPr>
        <w:t>th</w:t>
      </w:r>
      <w:r w:rsidRPr="00D64285">
        <w:rPr>
          <w:rFonts w:ascii="Arial" w:hAnsi="Arial" w:cs="Arial"/>
          <w:sz w:val="24"/>
          <w:szCs w:val="24"/>
        </w:rPr>
        <w:t xml:space="preserve"> February 2022). </w:t>
      </w:r>
    </w:p>
    <w:p w14:paraId="254C8781"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FEDERAL MINISTRY OF EDUCATION. (No date) </w:t>
      </w:r>
      <w:r w:rsidRPr="00D64285">
        <w:rPr>
          <w:rFonts w:ascii="Arial" w:hAnsi="Arial" w:cs="Arial"/>
          <w:i/>
          <w:iCs/>
          <w:sz w:val="24"/>
          <w:szCs w:val="24"/>
        </w:rPr>
        <w:t>Home</w:t>
      </w:r>
      <w:r w:rsidRPr="00D64285">
        <w:rPr>
          <w:rFonts w:ascii="Arial" w:hAnsi="Arial" w:cs="Arial"/>
          <w:sz w:val="24"/>
          <w:szCs w:val="24"/>
        </w:rPr>
        <w:t xml:space="preserve">. Available at: </w:t>
      </w:r>
      <w:hyperlink r:id="rId13" w:history="1">
        <w:r w:rsidRPr="00D64285">
          <w:rPr>
            <w:rStyle w:val="Hyperlink"/>
            <w:rFonts w:ascii="Arial" w:hAnsi="Arial" w:cs="Arial"/>
            <w:sz w:val="24"/>
            <w:szCs w:val="24"/>
          </w:rPr>
          <w:t>https://education.gov.ng/</w:t>
        </w:r>
      </w:hyperlink>
      <w:r w:rsidRPr="00D64285">
        <w:rPr>
          <w:rFonts w:ascii="Arial" w:hAnsi="Arial" w:cs="Arial"/>
          <w:sz w:val="24"/>
          <w:szCs w:val="24"/>
        </w:rPr>
        <w:t xml:space="preserve"> (Accessed 22</w:t>
      </w:r>
      <w:r w:rsidRPr="00D64285">
        <w:rPr>
          <w:rFonts w:ascii="Arial" w:hAnsi="Arial" w:cs="Arial"/>
          <w:sz w:val="24"/>
          <w:szCs w:val="24"/>
          <w:vertAlign w:val="superscript"/>
        </w:rPr>
        <w:t>nd</w:t>
      </w:r>
      <w:r w:rsidRPr="00D64285">
        <w:rPr>
          <w:rFonts w:ascii="Arial" w:hAnsi="Arial" w:cs="Arial"/>
          <w:sz w:val="24"/>
          <w:szCs w:val="24"/>
        </w:rPr>
        <w:t xml:space="preserve"> February 2022).</w:t>
      </w:r>
    </w:p>
    <w:p w14:paraId="03F72061"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FEDERAL MINISTRY OF WOMEN AFFAIRS AND SOCIAL DEVELOPMENT ABUJA, FEDERAL REPUBLIC OF NIGERIA. (2006) </w:t>
      </w:r>
      <w:r w:rsidRPr="00D64285">
        <w:rPr>
          <w:rFonts w:ascii="Arial" w:hAnsi="Arial" w:cs="Arial"/>
          <w:i/>
          <w:iCs/>
          <w:sz w:val="24"/>
          <w:szCs w:val="24"/>
        </w:rPr>
        <w:t>National Gender Policy</w:t>
      </w:r>
      <w:r w:rsidRPr="00D64285">
        <w:rPr>
          <w:rFonts w:ascii="Arial" w:hAnsi="Arial" w:cs="Arial"/>
          <w:sz w:val="24"/>
          <w:szCs w:val="24"/>
        </w:rPr>
        <w:t xml:space="preserve">. </w:t>
      </w:r>
    </w:p>
    <w:p w14:paraId="3AA1EBC6"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FEDERAL REPUBLIC OF NIGERIA. (2003) </w:t>
      </w:r>
      <w:r w:rsidRPr="00D64285">
        <w:rPr>
          <w:rFonts w:ascii="Arial" w:hAnsi="Arial" w:cs="Arial"/>
          <w:i/>
          <w:iCs/>
          <w:sz w:val="24"/>
          <w:szCs w:val="24"/>
        </w:rPr>
        <w:t>Childs Rights Act 2003</w:t>
      </w:r>
      <w:r w:rsidRPr="00D64285">
        <w:rPr>
          <w:rFonts w:ascii="Arial" w:hAnsi="Arial" w:cs="Arial"/>
          <w:sz w:val="24"/>
          <w:szCs w:val="24"/>
        </w:rPr>
        <w:t xml:space="preserve">. </w:t>
      </w:r>
    </w:p>
    <w:p w14:paraId="70DEF028"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GIDDENS, A., DIAMOND, P., LIDDLE, R. (2006) </w:t>
      </w:r>
      <w:r w:rsidRPr="00D64285">
        <w:rPr>
          <w:rFonts w:ascii="Arial" w:hAnsi="Arial" w:cs="Arial"/>
          <w:i/>
          <w:iCs/>
          <w:sz w:val="24"/>
          <w:szCs w:val="24"/>
        </w:rPr>
        <w:t>Global Europe, Social Europe</w:t>
      </w:r>
      <w:r w:rsidRPr="00D64285">
        <w:rPr>
          <w:rFonts w:ascii="Arial" w:hAnsi="Arial" w:cs="Arial"/>
          <w:sz w:val="24"/>
          <w:szCs w:val="24"/>
        </w:rPr>
        <w:t>. Polity Press: Cambridge.</w:t>
      </w:r>
    </w:p>
    <w:p w14:paraId="33B01795"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HILLMAN, L, A., JENKNER, E. (2004) Educating Children in Poor Countries. </w:t>
      </w:r>
    </w:p>
    <w:p w14:paraId="05857C16"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HISTORY OF EDUCATION. (2012) </w:t>
      </w:r>
      <w:r w:rsidRPr="00D64285">
        <w:rPr>
          <w:rFonts w:ascii="Arial" w:hAnsi="Arial" w:cs="Arial"/>
          <w:i/>
          <w:iCs/>
          <w:sz w:val="24"/>
          <w:szCs w:val="24"/>
        </w:rPr>
        <w:t>Brief History of Education in Nigeria.</w:t>
      </w:r>
      <w:r w:rsidRPr="00D64285">
        <w:rPr>
          <w:rFonts w:ascii="Arial" w:hAnsi="Arial" w:cs="Arial"/>
          <w:sz w:val="24"/>
          <w:szCs w:val="24"/>
        </w:rPr>
        <w:t xml:space="preserve"> Available at: </w:t>
      </w:r>
      <w:hyperlink r:id="rId14" w:history="1">
        <w:r w:rsidRPr="00D64285">
          <w:rPr>
            <w:rStyle w:val="Hyperlink"/>
            <w:rFonts w:ascii="Arial" w:hAnsi="Arial" w:cs="Arial"/>
            <w:sz w:val="24"/>
            <w:szCs w:val="24"/>
          </w:rPr>
          <w:t>http://blitzlondon.blogspot.com/2012/10/brief-history-of-education-in-nigeria.html</w:t>
        </w:r>
      </w:hyperlink>
      <w:r w:rsidRPr="00D64285">
        <w:rPr>
          <w:rFonts w:ascii="Arial" w:hAnsi="Arial" w:cs="Arial"/>
          <w:sz w:val="24"/>
          <w:szCs w:val="24"/>
        </w:rPr>
        <w:t xml:space="preserve"> (Accessed 15th February 2022).</w:t>
      </w:r>
    </w:p>
    <w:p w14:paraId="6CF5FA02"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NATIONAL POPULATION COMMISSION NIGERIA AND ICF MACRO. (2009) </w:t>
      </w:r>
      <w:r w:rsidRPr="00D64285">
        <w:rPr>
          <w:rFonts w:ascii="Arial" w:hAnsi="Arial" w:cs="Arial"/>
          <w:i/>
          <w:iCs/>
          <w:sz w:val="24"/>
          <w:szCs w:val="24"/>
        </w:rPr>
        <w:t>Nigeria Demographic and Health Survey 2008</w:t>
      </w:r>
      <w:r w:rsidRPr="00D64285">
        <w:rPr>
          <w:rFonts w:ascii="Arial" w:hAnsi="Arial" w:cs="Arial"/>
          <w:sz w:val="24"/>
          <w:szCs w:val="24"/>
        </w:rPr>
        <w:t>. Abuja, Nigeria: National Population Commission and ICF Macro.</w:t>
      </w:r>
    </w:p>
    <w:p w14:paraId="33850A66"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NSEHE, U, O. (2017) </w:t>
      </w:r>
      <w:r w:rsidRPr="00D64285">
        <w:rPr>
          <w:rFonts w:ascii="Arial" w:hAnsi="Arial" w:cs="Arial"/>
          <w:i/>
          <w:iCs/>
          <w:sz w:val="24"/>
          <w:szCs w:val="24"/>
        </w:rPr>
        <w:t xml:space="preserve">Globalisation: Its Impact on Nigeria’s Economy and Implication on National Development. </w:t>
      </w:r>
    </w:p>
    <w:p w14:paraId="11ECC5A5"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NWOGU, </w:t>
      </w:r>
      <w:proofErr w:type="gramStart"/>
      <w:r w:rsidRPr="00D64285">
        <w:rPr>
          <w:rFonts w:ascii="Arial" w:hAnsi="Arial" w:cs="Arial"/>
          <w:sz w:val="24"/>
          <w:szCs w:val="24"/>
        </w:rPr>
        <w:t>G,A</w:t>
      </w:r>
      <w:proofErr w:type="gramEnd"/>
      <w:r w:rsidRPr="00D64285">
        <w:rPr>
          <w:rFonts w:ascii="Arial" w:hAnsi="Arial" w:cs="Arial"/>
          <w:sz w:val="24"/>
          <w:szCs w:val="24"/>
        </w:rPr>
        <w:t xml:space="preserve">,I. (2005) ‘Barriers to Equality of Access to Educational Opportunity in Nigeria: A Philosophical Perspective’, </w:t>
      </w:r>
      <w:r w:rsidRPr="00D64285">
        <w:rPr>
          <w:rFonts w:ascii="Arial" w:hAnsi="Arial" w:cs="Arial"/>
          <w:i/>
          <w:iCs/>
          <w:sz w:val="24"/>
          <w:szCs w:val="24"/>
        </w:rPr>
        <w:t>Journal of Education and Practice</w:t>
      </w:r>
      <w:r w:rsidRPr="00D64285">
        <w:rPr>
          <w:rFonts w:ascii="Arial" w:hAnsi="Arial" w:cs="Arial"/>
          <w:sz w:val="24"/>
          <w:szCs w:val="24"/>
        </w:rPr>
        <w:t>, 6(4), pp. 148-152.</w:t>
      </w:r>
    </w:p>
    <w:p w14:paraId="43671592"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PARJANADZE, N. (2009) ‘Globalisation Theories and Their Effect on Education’, </w:t>
      </w:r>
      <w:r w:rsidRPr="00D64285">
        <w:rPr>
          <w:rFonts w:ascii="Arial" w:hAnsi="Arial" w:cs="Arial"/>
          <w:i/>
          <w:iCs/>
          <w:sz w:val="24"/>
          <w:szCs w:val="24"/>
        </w:rPr>
        <w:t>IBSU Scientific Journal</w:t>
      </w:r>
      <w:r w:rsidRPr="00D64285">
        <w:rPr>
          <w:rFonts w:ascii="Arial" w:hAnsi="Arial" w:cs="Arial"/>
          <w:sz w:val="24"/>
          <w:szCs w:val="24"/>
        </w:rPr>
        <w:t xml:space="preserve">, 2(3), pp. 77-88. </w:t>
      </w:r>
    </w:p>
    <w:p w14:paraId="64B35894"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ROBINSON, K., DIAZ, J, C. (2006) </w:t>
      </w:r>
      <w:r w:rsidRPr="00D64285">
        <w:rPr>
          <w:rFonts w:ascii="Arial" w:hAnsi="Arial" w:cs="Arial"/>
          <w:i/>
          <w:iCs/>
          <w:sz w:val="24"/>
          <w:szCs w:val="24"/>
        </w:rPr>
        <w:t xml:space="preserve">Diversity and Difference in Early Childhood Education. </w:t>
      </w:r>
      <w:r w:rsidRPr="00D64285">
        <w:rPr>
          <w:rFonts w:ascii="Arial" w:hAnsi="Arial" w:cs="Arial"/>
          <w:sz w:val="24"/>
          <w:szCs w:val="24"/>
        </w:rPr>
        <w:t>Open University Press: England.</w:t>
      </w:r>
    </w:p>
    <w:p w14:paraId="4F5A1E1A"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THE WORLD BANK. (2016) </w:t>
      </w:r>
      <w:r w:rsidRPr="00D64285">
        <w:rPr>
          <w:rFonts w:ascii="Arial" w:hAnsi="Arial" w:cs="Arial"/>
          <w:i/>
          <w:iCs/>
          <w:sz w:val="24"/>
          <w:szCs w:val="24"/>
        </w:rPr>
        <w:t>Quality Education</w:t>
      </w:r>
      <w:r w:rsidRPr="00D64285">
        <w:rPr>
          <w:rFonts w:ascii="Arial" w:hAnsi="Arial" w:cs="Arial"/>
          <w:sz w:val="24"/>
          <w:szCs w:val="24"/>
        </w:rPr>
        <w:t xml:space="preserve">. Available at: </w:t>
      </w:r>
      <w:hyperlink r:id="rId15" w:history="1">
        <w:r w:rsidRPr="00D64285">
          <w:rPr>
            <w:rStyle w:val="Hyperlink"/>
            <w:rFonts w:ascii="Arial" w:hAnsi="Arial" w:cs="Arial"/>
            <w:sz w:val="24"/>
            <w:szCs w:val="24"/>
          </w:rPr>
          <w:t>https://datatopics.worldbank.org/sdgatlas/archive/2017/SDG-04-quality-education.html</w:t>
        </w:r>
      </w:hyperlink>
      <w:r w:rsidRPr="00D64285">
        <w:rPr>
          <w:rFonts w:ascii="Arial" w:hAnsi="Arial" w:cs="Arial"/>
          <w:sz w:val="24"/>
          <w:szCs w:val="24"/>
        </w:rPr>
        <w:t xml:space="preserve"> (Accessed 15th February 2022).</w:t>
      </w:r>
    </w:p>
    <w:p w14:paraId="4F419A58"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lastRenderedPageBreak/>
        <w:t xml:space="preserve">UNESCO. (2014) </w:t>
      </w:r>
      <w:r w:rsidRPr="00D64285">
        <w:rPr>
          <w:rFonts w:ascii="Arial" w:hAnsi="Arial" w:cs="Arial"/>
          <w:i/>
          <w:iCs/>
          <w:sz w:val="24"/>
          <w:szCs w:val="24"/>
        </w:rPr>
        <w:t xml:space="preserve">Education </w:t>
      </w:r>
      <w:proofErr w:type="gramStart"/>
      <w:r w:rsidRPr="00D64285">
        <w:rPr>
          <w:rFonts w:ascii="Arial" w:hAnsi="Arial" w:cs="Arial"/>
          <w:i/>
          <w:iCs/>
          <w:sz w:val="24"/>
          <w:szCs w:val="24"/>
        </w:rPr>
        <w:t>For</w:t>
      </w:r>
      <w:proofErr w:type="gramEnd"/>
      <w:r w:rsidRPr="00D64285">
        <w:rPr>
          <w:rFonts w:ascii="Arial" w:hAnsi="Arial" w:cs="Arial"/>
          <w:i/>
          <w:iCs/>
          <w:sz w:val="24"/>
          <w:szCs w:val="24"/>
        </w:rPr>
        <w:t xml:space="preserve"> All: Global Monitoring Report</w:t>
      </w:r>
      <w:r w:rsidRPr="00D64285">
        <w:rPr>
          <w:rFonts w:ascii="Arial" w:hAnsi="Arial" w:cs="Arial"/>
          <w:sz w:val="24"/>
          <w:szCs w:val="24"/>
        </w:rPr>
        <w:t xml:space="preserve">. </w:t>
      </w:r>
      <w:r w:rsidRPr="00D64285">
        <w:rPr>
          <w:rFonts w:ascii="Arial" w:hAnsi="Arial" w:cs="Arial"/>
          <w:i/>
          <w:iCs/>
          <w:sz w:val="24"/>
          <w:szCs w:val="24"/>
        </w:rPr>
        <w:t>Teaching and Learning for All.</w:t>
      </w:r>
      <w:r w:rsidRPr="00D64285">
        <w:rPr>
          <w:rFonts w:ascii="Arial" w:hAnsi="Arial" w:cs="Arial"/>
          <w:sz w:val="24"/>
          <w:szCs w:val="24"/>
        </w:rPr>
        <w:t xml:space="preserve"> UNESCO: Paris.</w:t>
      </w:r>
    </w:p>
    <w:p w14:paraId="22CB0613"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UNICEF (No Date) </w:t>
      </w:r>
      <w:r w:rsidRPr="00D64285">
        <w:rPr>
          <w:rFonts w:ascii="Arial" w:hAnsi="Arial" w:cs="Arial"/>
          <w:i/>
          <w:iCs/>
          <w:sz w:val="24"/>
          <w:szCs w:val="24"/>
        </w:rPr>
        <w:t>Nigeria Education</w:t>
      </w:r>
      <w:r w:rsidRPr="00D64285">
        <w:rPr>
          <w:rFonts w:ascii="Arial" w:hAnsi="Arial" w:cs="Arial"/>
          <w:sz w:val="24"/>
          <w:szCs w:val="24"/>
        </w:rPr>
        <w:t xml:space="preserve">. Available at: </w:t>
      </w:r>
      <w:hyperlink r:id="rId16" w:history="1">
        <w:r w:rsidRPr="00D64285">
          <w:rPr>
            <w:rStyle w:val="Hyperlink"/>
            <w:rFonts w:ascii="Arial" w:hAnsi="Arial" w:cs="Arial"/>
            <w:sz w:val="24"/>
            <w:szCs w:val="24"/>
          </w:rPr>
          <w:t>https://www.unicef.org/nigeria/education</w:t>
        </w:r>
      </w:hyperlink>
      <w:r w:rsidRPr="00D64285">
        <w:rPr>
          <w:rFonts w:ascii="Arial" w:hAnsi="Arial" w:cs="Arial"/>
          <w:sz w:val="24"/>
          <w:szCs w:val="24"/>
        </w:rPr>
        <w:t xml:space="preserve"> (Accessed 18th February 2022).</w:t>
      </w:r>
    </w:p>
    <w:p w14:paraId="61B4D427"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UNITED NATION. (2015) </w:t>
      </w:r>
      <w:r w:rsidRPr="00D64285">
        <w:rPr>
          <w:rFonts w:ascii="Arial" w:hAnsi="Arial" w:cs="Arial"/>
          <w:i/>
          <w:iCs/>
          <w:sz w:val="24"/>
          <w:szCs w:val="24"/>
        </w:rPr>
        <w:t xml:space="preserve">Transforming our World: The 2030 </w:t>
      </w:r>
      <w:proofErr w:type="spellStart"/>
      <w:r w:rsidRPr="00D64285">
        <w:rPr>
          <w:rFonts w:ascii="Arial" w:hAnsi="Arial" w:cs="Arial"/>
          <w:i/>
          <w:iCs/>
          <w:sz w:val="24"/>
          <w:szCs w:val="24"/>
        </w:rPr>
        <w:t>Agneda</w:t>
      </w:r>
      <w:proofErr w:type="spellEnd"/>
      <w:r w:rsidRPr="00D64285">
        <w:rPr>
          <w:rFonts w:ascii="Arial" w:hAnsi="Arial" w:cs="Arial"/>
          <w:i/>
          <w:iCs/>
          <w:sz w:val="24"/>
          <w:szCs w:val="24"/>
        </w:rPr>
        <w:t xml:space="preserve"> for Sustainable Development</w:t>
      </w:r>
      <w:r w:rsidRPr="00D64285">
        <w:rPr>
          <w:rFonts w:ascii="Arial" w:hAnsi="Arial" w:cs="Arial"/>
          <w:sz w:val="24"/>
          <w:szCs w:val="24"/>
        </w:rPr>
        <w:t xml:space="preserve">. Available at: </w:t>
      </w:r>
      <w:hyperlink r:id="rId17" w:history="1">
        <w:r w:rsidRPr="00D64285">
          <w:rPr>
            <w:rStyle w:val="Hyperlink"/>
            <w:rFonts w:ascii="Arial" w:hAnsi="Arial" w:cs="Arial"/>
            <w:sz w:val="24"/>
            <w:szCs w:val="24"/>
          </w:rPr>
          <w:t>https://sdgs.un.org/publications/transforming-our-world-2030-agenda-sustainable-development-17981</w:t>
        </w:r>
      </w:hyperlink>
      <w:r w:rsidRPr="00D64285">
        <w:rPr>
          <w:rFonts w:ascii="Arial" w:hAnsi="Arial" w:cs="Arial"/>
          <w:sz w:val="24"/>
          <w:szCs w:val="24"/>
        </w:rPr>
        <w:t xml:space="preserve"> (Accessed 18th February 2022).</w:t>
      </w:r>
    </w:p>
    <w:p w14:paraId="713BC06B"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UNITED NATIONS CHILDREN’S FUND UK. (1989) </w:t>
      </w:r>
      <w:r w:rsidRPr="00D64285">
        <w:rPr>
          <w:rFonts w:ascii="Arial" w:hAnsi="Arial" w:cs="Arial"/>
          <w:i/>
          <w:iCs/>
          <w:sz w:val="24"/>
          <w:szCs w:val="24"/>
        </w:rPr>
        <w:t>The United Nations Convention on the Rights of the Child</w:t>
      </w:r>
      <w:r w:rsidRPr="00D64285">
        <w:rPr>
          <w:rFonts w:ascii="Arial" w:hAnsi="Arial" w:cs="Arial"/>
          <w:sz w:val="24"/>
          <w:szCs w:val="24"/>
        </w:rPr>
        <w:t xml:space="preserve">. </w:t>
      </w:r>
    </w:p>
    <w:p w14:paraId="1C51CA6D"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VARRELLA, S. (2021) Education in Nigeria – Statistics &amp; Facts.</w:t>
      </w:r>
    </w:p>
    <w:p w14:paraId="08CF6D53" w14:textId="77777777" w:rsidR="00D64285" w:rsidRPr="00D64285" w:rsidRDefault="00D64285" w:rsidP="00D64285">
      <w:pPr>
        <w:spacing w:line="360" w:lineRule="auto"/>
        <w:ind w:left="360"/>
        <w:jc w:val="both"/>
        <w:rPr>
          <w:rFonts w:ascii="Arial" w:hAnsi="Arial" w:cs="Arial"/>
          <w:sz w:val="24"/>
          <w:szCs w:val="24"/>
        </w:rPr>
      </w:pPr>
      <w:r w:rsidRPr="00D64285">
        <w:rPr>
          <w:rFonts w:ascii="Arial" w:hAnsi="Arial" w:cs="Arial"/>
          <w:sz w:val="24"/>
          <w:szCs w:val="24"/>
        </w:rPr>
        <w:t xml:space="preserve">WELSH GOVERNMENT. (2015) </w:t>
      </w:r>
      <w:r w:rsidRPr="00D64285">
        <w:rPr>
          <w:rFonts w:ascii="Arial" w:hAnsi="Arial" w:cs="Arial"/>
          <w:i/>
          <w:iCs/>
          <w:sz w:val="24"/>
          <w:szCs w:val="24"/>
        </w:rPr>
        <w:t>Theme 5: Developing Community Partnerships and Multi-Agency Working</w:t>
      </w:r>
      <w:r w:rsidRPr="00D64285">
        <w:rPr>
          <w:rFonts w:ascii="Arial" w:hAnsi="Arial" w:cs="Arial"/>
          <w:sz w:val="24"/>
          <w:szCs w:val="24"/>
        </w:rPr>
        <w:t xml:space="preserve">. </w:t>
      </w:r>
    </w:p>
    <w:p w14:paraId="563AB40F" w14:textId="77777777" w:rsidR="00031D9E" w:rsidRPr="00D64285" w:rsidRDefault="00031D9E" w:rsidP="00D64285">
      <w:pPr>
        <w:spacing w:line="360" w:lineRule="auto"/>
        <w:jc w:val="both"/>
        <w:rPr>
          <w:rFonts w:ascii="Arial" w:hAnsi="Arial" w:cs="Arial"/>
          <w:sz w:val="24"/>
          <w:szCs w:val="24"/>
        </w:rPr>
      </w:pPr>
    </w:p>
    <w:p w14:paraId="35228362" w14:textId="77777777" w:rsidR="00D55906" w:rsidRPr="00D55906" w:rsidRDefault="00D55906" w:rsidP="002910F2">
      <w:pPr>
        <w:spacing w:line="360" w:lineRule="auto"/>
        <w:jc w:val="both"/>
        <w:rPr>
          <w:rFonts w:ascii="Arial" w:hAnsi="Arial" w:cs="Arial"/>
          <w:sz w:val="24"/>
          <w:szCs w:val="24"/>
        </w:rPr>
      </w:pPr>
    </w:p>
    <w:p w14:paraId="14A4AEDB" w14:textId="77777777" w:rsidR="009951BC" w:rsidRPr="009951BC" w:rsidRDefault="009951BC" w:rsidP="002910F2">
      <w:pPr>
        <w:spacing w:line="360" w:lineRule="auto"/>
        <w:jc w:val="both"/>
        <w:rPr>
          <w:rFonts w:ascii="Arial" w:hAnsi="Arial" w:cs="Arial"/>
          <w:sz w:val="24"/>
          <w:szCs w:val="24"/>
        </w:rPr>
      </w:pPr>
    </w:p>
    <w:p w14:paraId="50D2DEA3" w14:textId="77777777" w:rsidR="00112527" w:rsidRPr="00112527" w:rsidRDefault="00112527" w:rsidP="002910F2">
      <w:pPr>
        <w:spacing w:line="360" w:lineRule="auto"/>
        <w:jc w:val="both"/>
        <w:rPr>
          <w:rFonts w:ascii="Arial" w:hAnsi="Arial" w:cs="Arial"/>
          <w:sz w:val="24"/>
          <w:szCs w:val="24"/>
        </w:rPr>
      </w:pPr>
    </w:p>
    <w:p w14:paraId="262B37D1" w14:textId="77777777" w:rsidR="0046463E" w:rsidRPr="0046463E" w:rsidRDefault="0046463E" w:rsidP="002910F2">
      <w:pPr>
        <w:spacing w:line="360" w:lineRule="auto"/>
        <w:jc w:val="both"/>
        <w:rPr>
          <w:rFonts w:ascii="Arial" w:hAnsi="Arial" w:cs="Arial"/>
          <w:sz w:val="24"/>
          <w:szCs w:val="24"/>
        </w:rPr>
      </w:pPr>
    </w:p>
    <w:p w14:paraId="35B672BE" w14:textId="77777777" w:rsidR="00077A5D" w:rsidRPr="00077A5D" w:rsidRDefault="00077A5D" w:rsidP="002910F2">
      <w:pPr>
        <w:spacing w:line="360" w:lineRule="auto"/>
        <w:jc w:val="both"/>
        <w:rPr>
          <w:rFonts w:ascii="Arial" w:hAnsi="Arial" w:cs="Arial"/>
          <w:sz w:val="24"/>
          <w:szCs w:val="24"/>
        </w:rPr>
      </w:pPr>
    </w:p>
    <w:p w14:paraId="0DCA4534" w14:textId="77777777" w:rsidR="00CC5CD5" w:rsidRPr="00CC5CD5" w:rsidRDefault="00CC5CD5" w:rsidP="002910F2">
      <w:pPr>
        <w:spacing w:line="360" w:lineRule="auto"/>
        <w:jc w:val="both"/>
        <w:rPr>
          <w:rFonts w:ascii="Arial" w:hAnsi="Arial" w:cs="Arial"/>
          <w:sz w:val="24"/>
          <w:szCs w:val="24"/>
        </w:rPr>
      </w:pPr>
    </w:p>
    <w:p w14:paraId="30025297" w14:textId="1898E93D" w:rsidR="002910F2" w:rsidRPr="002910F2" w:rsidRDefault="002910F2"/>
    <w:sectPr w:rsidR="002910F2" w:rsidRPr="002910F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3922D" w14:textId="77777777" w:rsidR="001432E4" w:rsidRDefault="001432E4" w:rsidP="002910F2">
      <w:pPr>
        <w:spacing w:after="0" w:line="240" w:lineRule="auto"/>
      </w:pPr>
      <w:r>
        <w:separator/>
      </w:r>
    </w:p>
  </w:endnote>
  <w:endnote w:type="continuationSeparator" w:id="0">
    <w:p w14:paraId="37BE84E3" w14:textId="77777777" w:rsidR="001432E4" w:rsidRDefault="001432E4" w:rsidP="00291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650387"/>
      <w:docPartObj>
        <w:docPartGallery w:val="Page Numbers (Bottom of Page)"/>
        <w:docPartUnique/>
      </w:docPartObj>
    </w:sdtPr>
    <w:sdtEndPr>
      <w:rPr>
        <w:noProof/>
      </w:rPr>
    </w:sdtEndPr>
    <w:sdtContent>
      <w:p w14:paraId="1C1B6376" w14:textId="2312BF6C" w:rsidR="00220806" w:rsidRDefault="00220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0C744D" w14:textId="77777777" w:rsidR="00220806" w:rsidRDefault="002208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9FDCC" w14:textId="77777777" w:rsidR="001432E4" w:rsidRDefault="001432E4" w:rsidP="002910F2">
      <w:pPr>
        <w:spacing w:after="0" w:line="240" w:lineRule="auto"/>
      </w:pPr>
      <w:r>
        <w:separator/>
      </w:r>
    </w:p>
  </w:footnote>
  <w:footnote w:type="continuationSeparator" w:id="0">
    <w:p w14:paraId="7DD783B6" w14:textId="77777777" w:rsidR="001432E4" w:rsidRDefault="001432E4" w:rsidP="002910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4567D" w14:textId="5B49235E" w:rsidR="002910F2" w:rsidRDefault="002910F2">
    <w:pPr>
      <w:pStyle w:val="Header"/>
    </w:pPr>
    <w:r>
      <w:t>Global Perspectives in Education ECIE6004</w:t>
    </w:r>
  </w:p>
  <w:p w14:paraId="7203BCB7" w14:textId="67D4CAFA" w:rsidR="002910F2" w:rsidRDefault="002910F2">
    <w:pPr>
      <w:pStyle w:val="Header"/>
    </w:pPr>
    <w:r>
      <w:t>Connor Planner: 1805800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40E52"/>
    <w:multiLevelType w:val="hybridMultilevel"/>
    <w:tmpl w:val="C448B6DE"/>
    <w:lvl w:ilvl="0" w:tplc="FDECD4B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06B62"/>
    <w:multiLevelType w:val="hybridMultilevel"/>
    <w:tmpl w:val="C4020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0F2"/>
    <w:rsid w:val="00031D9E"/>
    <w:rsid w:val="00036E47"/>
    <w:rsid w:val="0006787C"/>
    <w:rsid w:val="00077A5D"/>
    <w:rsid w:val="000B2642"/>
    <w:rsid w:val="000C7777"/>
    <w:rsid w:val="00112527"/>
    <w:rsid w:val="001432E4"/>
    <w:rsid w:val="001548D6"/>
    <w:rsid w:val="00163AA8"/>
    <w:rsid w:val="00185A6A"/>
    <w:rsid w:val="00194D12"/>
    <w:rsid w:val="001A4D5E"/>
    <w:rsid w:val="001A68C5"/>
    <w:rsid w:val="00220806"/>
    <w:rsid w:val="00263BFD"/>
    <w:rsid w:val="00273D09"/>
    <w:rsid w:val="00280F1A"/>
    <w:rsid w:val="002910F2"/>
    <w:rsid w:val="002A0779"/>
    <w:rsid w:val="002A416C"/>
    <w:rsid w:val="003519CC"/>
    <w:rsid w:val="00392D49"/>
    <w:rsid w:val="003B57A3"/>
    <w:rsid w:val="003B5CCC"/>
    <w:rsid w:val="00435E17"/>
    <w:rsid w:val="00451E31"/>
    <w:rsid w:val="00460F99"/>
    <w:rsid w:val="0046463E"/>
    <w:rsid w:val="0046486F"/>
    <w:rsid w:val="004A2FAA"/>
    <w:rsid w:val="004C5098"/>
    <w:rsid w:val="004E459C"/>
    <w:rsid w:val="0050007C"/>
    <w:rsid w:val="0050675A"/>
    <w:rsid w:val="00526DCA"/>
    <w:rsid w:val="005442F2"/>
    <w:rsid w:val="00550334"/>
    <w:rsid w:val="00584171"/>
    <w:rsid w:val="005F53ED"/>
    <w:rsid w:val="00661A25"/>
    <w:rsid w:val="006A60AE"/>
    <w:rsid w:val="006B5FDD"/>
    <w:rsid w:val="006D3244"/>
    <w:rsid w:val="006E2E5D"/>
    <w:rsid w:val="006E44D8"/>
    <w:rsid w:val="006F070B"/>
    <w:rsid w:val="00703238"/>
    <w:rsid w:val="00753F51"/>
    <w:rsid w:val="007A1599"/>
    <w:rsid w:val="007C193C"/>
    <w:rsid w:val="007E583E"/>
    <w:rsid w:val="00855344"/>
    <w:rsid w:val="008949F7"/>
    <w:rsid w:val="008A6123"/>
    <w:rsid w:val="008F77F5"/>
    <w:rsid w:val="00934B3A"/>
    <w:rsid w:val="00951316"/>
    <w:rsid w:val="00973FD5"/>
    <w:rsid w:val="009951BC"/>
    <w:rsid w:val="009B4510"/>
    <w:rsid w:val="00A4454E"/>
    <w:rsid w:val="00A55E32"/>
    <w:rsid w:val="00B00B96"/>
    <w:rsid w:val="00B3657F"/>
    <w:rsid w:val="00B37BDC"/>
    <w:rsid w:val="00BE11A9"/>
    <w:rsid w:val="00BF4546"/>
    <w:rsid w:val="00BF6072"/>
    <w:rsid w:val="00C050BB"/>
    <w:rsid w:val="00C21EB6"/>
    <w:rsid w:val="00C31B44"/>
    <w:rsid w:val="00C36EEB"/>
    <w:rsid w:val="00C401F0"/>
    <w:rsid w:val="00C47449"/>
    <w:rsid w:val="00C9252E"/>
    <w:rsid w:val="00CC5CD5"/>
    <w:rsid w:val="00D14547"/>
    <w:rsid w:val="00D21DE7"/>
    <w:rsid w:val="00D373F0"/>
    <w:rsid w:val="00D41B6D"/>
    <w:rsid w:val="00D55906"/>
    <w:rsid w:val="00D55DB9"/>
    <w:rsid w:val="00D55E2E"/>
    <w:rsid w:val="00D56256"/>
    <w:rsid w:val="00D64285"/>
    <w:rsid w:val="00DA0301"/>
    <w:rsid w:val="00DB3FED"/>
    <w:rsid w:val="00DF223E"/>
    <w:rsid w:val="00E264FB"/>
    <w:rsid w:val="00EA6B67"/>
    <w:rsid w:val="00F30FB7"/>
    <w:rsid w:val="00FA56A8"/>
    <w:rsid w:val="00FA7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796ED"/>
  <w15:chartTrackingRefBased/>
  <w15:docId w15:val="{B4524699-36D1-47C8-A428-6D35A127C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373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1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0F2"/>
  </w:style>
  <w:style w:type="paragraph" w:styleId="Footer">
    <w:name w:val="footer"/>
    <w:basedOn w:val="Normal"/>
    <w:link w:val="FooterChar"/>
    <w:uiPriority w:val="99"/>
    <w:unhideWhenUsed/>
    <w:rsid w:val="00291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0F2"/>
  </w:style>
  <w:style w:type="character" w:styleId="Hyperlink">
    <w:name w:val="Hyperlink"/>
    <w:basedOn w:val="DefaultParagraphFont"/>
    <w:uiPriority w:val="99"/>
    <w:unhideWhenUsed/>
    <w:rsid w:val="00CC5CD5"/>
    <w:rPr>
      <w:color w:val="0563C1" w:themeColor="hyperlink"/>
      <w:u w:val="single"/>
    </w:rPr>
  </w:style>
  <w:style w:type="character" w:styleId="UnresolvedMention">
    <w:name w:val="Unresolved Mention"/>
    <w:basedOn w:val="DefaultParagraphFont"/>
    <w:uiPriority w:val="99"/>
    <w:semiHidden/>
    <w:unhideWhenUsed/>
    <w:rsid w:val="00CC5CD5"/>
    <w:rPr>
      <w:color w:val="605E5C"/>
      <w:shd w:val="clear" w:color="auto" w:fill="E1DFDD"/>
    </w:rPr>
  </w:style>
  <w:style w:type="paragraph" w:styleId="ListParagraph">
    <w:name w:val="List Paragraph"/>
    <w:basedOn w:val="Normal"/>
    <w:uiPriority w:val="34"/>
    <w:qFormat/>
    <w:rsid w:val="0046463E"/>
    <w:pPr>
      <w:ind w:left="720"/>
      <w:contextualSpacing/>
    </w:pPr>
  </w:style>
  <w:style w:type="character" w:customStyle="1" w:styleId="Heading3Char">
    <w:name w:val="Heading 3 Char"/>
    <w:basedOn w:val="DefaultParagraphFont"/>
    <w:link w:val="Heading3"/>
    <w:uiPriority w:val="9"/>
    <w:rsid w:val="00D373F0"/>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85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education.gov.n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hyperlink" Target="https://ec.europa.eu/eurostat/statistics-explained/index.php?title=Educational_attainment_statistics" TargetMode="External"/><Relationship Id="rId17" Type="http://schemas.openxmlformats.org/officeDocument/2006/relationships/hyperlink" Target="https://sdgs.un.org/publications/transforming-our-world-2030-agenda-sustainable-development-17981" TargetMode="External"/><Relationship Id="rId2" Type="http://schemas.openxmlformats.org/officeDocument/2006/relationships/styles" Target="styles.xml"/><Relationship Id="rId16" Type="http://schemas.openxmlformats.org/officeDocument/2006/relationships/hyperlink" Target="https://www.unicef.org/nigeria/educ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rgenproject.org/improve-girls-education-in-nigeria/" TargetMode="External"/><Relationship Id="rId5" Type="http://schemas.openxmlformats.org/officeDocument/2006/relationships/footnotes" Target="footnotes.xml"/><Relationship Id="rId15" Type="http://schemas.openxmlformats.org/officeDocument/2006/relationships/hyperlink" Target="https://datatopics.worldbank.org/sdgatlas/archive/2017/SDG-04-quality-education.html" TargetMode="External"/><Relationship Id="rId10" Type="http://schemas.openxmlformats.org/officeDocument/2006/relationships/hyperlink" Target="https://borgenproject.org/child-labor-in-nigeria/"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hildfund.org/poverty-and-education/" TargetMode="External"/><Relationship Id="rId14" Type="http://schemas.openxmlformats.org/officeDocument/2006/relationships/hyperlink" Target="http://blitzlondon.blogspot.com/2012/10/brief-history-of-education-in-nigeria.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Number</a:t>
            </a:r>
            <a:r>
              <a:rPr lang="en-GB" baseline="0"/>
              <a:t> of Students Enrolled into Education Providers in Nigeria</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Primary Education</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Sheet1!$A$2:$A$5</c:f>
              <c:strCache>
                <c:ptCount val="2"/>
                <c:pt idx="0">
                  <c:v>1980</c:v>
                </c:pt>
                <c:pt idx="1">
                  <c:v>2018/2019</c:v>
                </c:pt>
              </c:strCache>
            </c:strRef>
          </c:cat>
          <c:val>
            <c:numRef>
              <c:f>Sheet1!$B$2:$B$5</c:f>
              <c:numCache>
                <c:formatCode>#,##0</c:formatCode>
                <c:ptCount val="4"/>
                <c:pt idx="0">
                  <c:v>12000000</c:v>
                </c:pt>
                <c:pt idx="1">
                  <c:v>22700000</c:v>
                </c:pt>
              </c:numCache>
            </c:numRef>
          </c:val>
          <c:extLst>
            <c:ext xmlns:c16="http://schemas.microsoft.com/office/drawing/2014/chart" uri="{C3380CC4-5D6E-409C-BE32-E72D297353CC}">
              <c16:uniqueId val="{00000000-148E-4BD6-8CC8-30DB25184CD3}"/>
            </c:ext>
          </c:extLst>
        </c:ser>
        <c:ser>
          <c:idx val="1"/>
          <c:order val="1"/>
          <c:tx>
            <c:strRef>
              <c:f>Sheet1!$C$1</c:f>
              <c:strCache>
                <c:ptCount val="1"/>
                <c:pt idx="0">
                  <c:v>Secondary Education</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Sheet1!$A$2:$A$5</c:f>
              <c:strCache>
                <c:ptCount val="2"/>
                <c:pt idx="0">
                  <c:v>1980</c:v>
                </c:pt>
                <c:pt idx="1">
                  <c:v>2018/2019</c:v>
                </c:pt>
              </c:strCache>
            </c:strRef>
          </c:cat>
          <c:val>
            <c:numRef>
              <c:f>Sheet1!$C$2:$C$5</c:f>
              <c:numCache>
                <c:formatCode>#,##0</c:formatCode>
                <c:ptCount val="4"/>
                <c:pt idx="0">
                  <c:v>1200000</c:v>
                </c:pt>
                <c:pt idx="1">
                  <c:v>7400000</c:v>
                </c:pt>
              </c:numCache>
            </c:numRef>
          </c:val>
          <c:extLst>
            <c:ext xmlns:c16="http://schemas.microsoft.com/office/drawing/2014/chart" uri="{C3380CC4-5D6E-409C-BE32-E72D297353CC}">
              <c16:uniqueId val="{00000001-148E-4BD6-8CC8-30DB25184CD3}"/>
            </c:ext>
          </c:extLst>
        </c:ser>
        <c:ser>
          <c:idx val="2"/>
          <c:order val="2"/>
          <c:tx>
            <c:strRef>
              <c:f>Sheet1!$D$1</c:f>
              <c:strCache>
                <c:ptCount val="1"/>
                <c:pt idx="0">
                  <c:v>Universities</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Sheet1!$A$2:$A$5</c:f>
              <c:strCache>
                <c:ptCount val="2"/>
                <c:pt idx="0">
                  <c:v>1980</c:v>
                </c:pt>
                <c:pt idx="1">
                  <c:v>2018/2019</c:v>
                </c:pt>
              </c:strCache>
            </c:strRef>
          </c:cat>
          <c:val>
            <c:numRef>
              <c:f>Sheet1!$D$2:$D$5</c:f>
              <c:numCache>
                <c:formatCode>#,##0</c:formatCode>
                <c:ptCount val="4"/>
                <c:pt idx="0">
                  <c:v>75000</c:v>
                </c:pt>
                <c:pt idx="1">
                  <c:v>1800000</c:v>
                </c:pt>
              </c:numCache>
            </c:numRef>
          </c:val>
          <c:extLst>
            <c:ext xmlns:c16="http://schemas.microsoft.com/office/drawing/2014/chart" uri="{C3380CC4-5D6E-409C-BE32-E72D297353CC}">
              <c16:uniqueId val="{00000002-148E-4BD6-8CC8-30DB25184CD3}"/>
            </c:ext>
          </c:extLst>
        </c:ser>
        <c:dLbls>
          <c:showLegendKey val="0"/>
          <c:showVal val="0"/>
          <c:showCatName val="0"/>
          <c:showSerName val="0"/>
          <c:showPercent val="0"/>
          <c:showBubbleSize val="0"/>
        </c:dLbls>
        <c:gapWidth val="100"/>
        <c:overlap val="-24"/>
        <c:axId val="1678599583"/>
        <c:axId val="1678597919"/>
      </c:barChart>
      <c:catAx>
        <c:axId val="1678599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78597919"/>
        <c:crosses val="autoZero"/>
        <c:auto val="1"/>
        <c:lblAlgn val="ctr"/>
        <c:lblOffset val="100"/>
        <c:noMultiLvlLbl val="0"/>
      </c:catAx>
      <c:valAx>
        <c:axId val="16785979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78599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Total Puplation vs Total Number of Enrolled Students in All Education Proviers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Population</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Sheet1!$A$2:$A$5</c:f>
              <c:strCache>
                <c:ptCount val="2"/>
                <c:pt idx="0">
                  <c:v>Population 1980</c:v>
                </c:pt>
                <c:pt idx="1">
                  <c:v>Population 2018</c:v>
                </c:pt>
              </c:strCache>
            </c:strRef>
          </c:cat>
          <c:val>
            <c:numRef>
              <c:f>Sheet1!$B$2:$B$5</c:f>
              <c:numCache>
                <c:formatCode>#,##0</c:formatCode>
                <c:ptCount val="4"/>
                <c:pt idx="0">
                  <c:v>73420000</c:v>
                </c:pt>
                <c:pt idx="1">
                  <c:v>195000000</c:v>
                </c:pt>
              </c:numCache>
            </c:numRef>
          </c:val>
          <c:extLst>
            <c:ext xmlns:c16="http://schemas.microsoft.com/office/drawing/2014/chart" uri="{C3380CC4-5D6E-409C-BE32-E72D297353CC}">
              <c16:uniqueId val="{00000000-C397-47D5-8343-04AF417078C4}"/>
            </c:ext>
          </c:extLst>
        </c:ser>
        <c:dLbls>
          <c:showLegendKey val="0"/>
          <c:showVal val="0"/>
          <c:showCatName val="0"/>
          <c:showSerName val="0"/>
          <c:showPercent val="0"/>
          <c:showBubbleSize val="0"/>
        </c:dLbls>
        <c:gapWidth val="219"/>
        <c:overlap val="-27"/>
        <c:axId val="1738188239"/>
        <c:axId val="1738186159"/>
      </c:barChart>
      <c:lineChart>
        <c:grouping val="standard"/>
        <c:varyColors val="0"/>
        <c:ser>
          <c:idx val="1"/>
          <c:order val="1"/>
          <c:tx>
            <c:strRef>
              <c:f>Sheet1!$C$1</c:f>
              <c:strCache>
                <c:ptCount val="1"/>
                <c:pt idx="0">
                  <c:v>Total Students Enrolled In All Education Providers 1980</c:v>
                </c:pt>
              </c:strCache>
            </c:strRef>
          </c:tx>
          <c:spPr>
            <a:ln w="15875" cap="rnd">
              <a:solidFill>
                <a:schemeClr val="accent2"/>
              </a:solidFill>
              <a:round/>
            </a:ln>
            <a:effectLst/>
          </c:spPr>
          <c:marker>
            <c:symbol val="none"/>
          </c:marker>
          <c:cat>
            <c:strRef>
              <c:f>Sheet1!$A$2:$A$5</c:f>
              <c:strCache>
                <c:ptCount val="2"/>
                <c:pt idx="0">
                  <c:v>Population 1980</c:v>
                </c:pt>
                <c:pt idx="1">
                  <c:v>Population 2018</c:v>
                </c:pt>
              </c:strCache>
            </c:strRef>
          </c:cat>
          <c:val>
            <c:numRef>
              <c:f>Sheet1!$C$2:$C$5</c:f>
              <c:numCache>
                <c:formatCode>#,##0</c:formatCode>
                <c:ptCount val="4"/>
                <c:pt idx="0">
                  <c:v>13440000</c:v>
                </c:pt>
                <c:pt idx="1">
                  <c:v>31900000</c:v>
                </c:pt>
              </c:numCache>
            </c:numRef>
          </c:val>
          <c:smooth val="0"/>
          <c:extLst>
            <c:ext xmlns:c16="http://schemas.microsoft.com/office/drawing/2014/chart" uri="{C3380CC4-5D6E-409C-BE32-E72D297353CC}">
              <c16:uniqueId val="{00000001-C397-47D5-8343-04AF417078C4}"/>
            </c:ext>
          </c:extLst>
        </c:ser>
        <c:ser>
          <c:idx val="2"/>
          <c:order val="2"/>
          <c:tx>
            <c:strRef>
              <c:f>Sheet1!$D$1</c:f>
              <c:strCache>
                <c:ptCount val="1"/>
                <c:pt idx="0">
                  <c:v>Total Students Enrolled In All Education Providers 2018</c:v>
                </c:pt>
              </c:strCache>
            </c:strRef>
          </c:tx>
          <c:spPr>
            <a:ln w="15875" cap="rnd">
              <a:solidFill>
                <a:schemeClr val="accent3"/>
              </a:solidFill>
              <a:round/>
            </a:ln>
            <a:effectLst/>
          </c:spPr>
          <c:marker>
            <c:symbol val="none"/>
          </c:marker>
          <c:cat>
            <c:strRef>
              <c:f>Sheet1!$A$2:$A$5</c:f>
              <c:strCache>
                <c:ptCount val="2"/>
                <c:pt idx="0">
                  <c:v>Population 1980</c:v>
                </c:pt>
                <c:pt idx="1">
                  <c:v>Population 2018</c:v>
                </c:pt>
              </c:strCache>
            </c:strRef>
          </c:cat>
          <c:val>
            <c:numRef>
              <c:f>Sheet1!$D$2:$D$5</c:f>
              <c:numCache>
                <c:formatCode>General</c:formatCode>
                <c:ptCount val="4"/>
              </c:numCache>
            </c:numRef>
          </c:val>
          <c:smooth val="0"/>
          <c:extLst>
            <c:ext xmlns:c16="http://schemas.microsoft.com/office/drawing/2014/chart" uri="{C3380CC4-5D6E-409C-BE32-E72D297353CC}">
              <c16:uniqueId val="{00000002-C397-47D5-8343-04AF417078C4}"/>
            </c:ext>
          </c:extLst>
        </c:ser>
        <c:dLbls>
          <c:showLegendKey val="0"/>
          <c:showVal val="0"/>
          <c:showCatName val="0"/>
          <c:showSerName val="0"/>
          <c:showPercent val="0"/>
          <c:showBubbleSize val="0"/>
        </c:dLbls>
        <c:marker val="1"/>
        <c:smooth val="0"/>
        <c:axId val="1738188239"/>
        <c:axId val="1738186159"/>
      </c:lineChart>
      <c:catAx>
        <c:axId val="1738188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38186159"/>
        <c:crosses val="autoZero"/>
        <c:auto val="1"/>
        <c:lblAlgn val="ctr"/>
        <c:lblOffset val="100"/>
        <c:noMultiLvlLbl val="0"/>
      </c:catAx>
      <c:valAx>
        <c:axId val="17381861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38188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1795</TotalTime>
  <Pages>12</Pages>
  <Words>3568</Words>
  <Characters>20341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Planner</dc:creator>
  <cp:keywords/>
  <dc:description/>
  <cp:lastModifiedBy>Connor Planner</cp:lastModifiedBy>
  <cp:revision>87</cp:revision>
  <dcterms:created xsi:type="dcterms:W3CDTF">2022-02-18T09:02:00Z</dcterms:created>
  <dcterms:modified xsi:type="dcterms:W3CDTF">2022-02-22T10:41:00Z</dcterms:modified>
</cp:coreProperties>
</file>