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E09" w:rsidRDefault="0001156C" w:rsidP="0001156C">
      <w:pPr>
        <w:jc w:val="center"/>
        <w:rPr>
          <w:b/>
          <w:sz w:val="36"/>
        </w:rPr>
      </w:pPr>
      <w:r w:rsidRPr="0001156C">
        <w:rPr>
          <w:b/>
          <w:sz w:val="36"/>
        </w:rPr>
        <w:t>‘Portfolio’</w:t>
      </w:r>
    </w:p>
    <w:p w:rsidR="0001156C" w:rsidRDefault="0001156C" w:rsidP="0001156C">
      <w:pPr>
        <w:jc w:val="center"/>
        <w:rPr>
          <w:b/>
          <w:sz w:val="36"/>
        </w:rPr>
      </w:pPr>
    </w:p>
    <w:p w:rsidR="00AC6B9C" w:rsidRPr="00FC6D6E" w:rsidRDefault="0001156C" w:rsidP="00C403F7">
      <w:pPr>
        <w:spacing w:line="360" w:lineRule="auto"/>
        <w:ind w:firstLine="720"/>
        <w:jc w:val="both"/>
        <w:rPr>
          <w:rFonts w:eastAsia="Calibri" w:cstheme="minorHAnsi"/>
          <w:shd w:val="clear" w:color="auto" w:fill="FFFFFF"/>
        </w:rPr>
      </w:pPr>
      <w:r w:rsidRPr="00FC6D6E">
        <w:rPr>
          <w:rFonts w:cstheme="minorHAnsi"/>
        </w:rPr>
        <w:t xml:space="preserve">The purpose of this portfolio is to reflect back and evaluate on one’s time in higher education. This portfolio will aim to provide a reflective summary of the factors in which one believes were most beneficial in developing one’s </w:t>
      </w:r>
      <w:r w:rsidR="00E55C1C">
        <w:rPr>
          <w:rFonts w:cstheme="minorHAnsi"/>
        </w:rPr>
        <w:t xml:space="preserve">academic </w:t>
      </w:r>
      <w:r w:rsidRPr="00FC6D6E">
        <w:rPr>
          <w:rFonts w:cstheme="minorHAnsi"/>
        </w:rPr>
        <w:t xml:space="preserve">learning and skills while studying at university. Portfolios are considered as a way in which a student will reflect on their learning. Reflective learning and reflective practice have become a popular form of assessment in higher education since the 1980s. Motivated by Dewey’s (1933) theories in regards to reflective thinking along with other relevant researchers such as </w:t>
      </w:r>
      <w:proofErr w:type="spellStart"/>
      <w:r w:rsidRPr="00FC6D6E">
        <w:rPr>
          <w:rFonts w:cstheme="minorHAnsi"/>
        </w:rPr>
        <w:t>Schon</w:t>
      </w:r>
      <w:proofErr w:type="spellEnd"/>
      <w:r w:rsidRPr="00FC6D6E">
        <w:rPr>
          <w:rFonts w:cstheme="minorHAnsi"/>
        </w:rPr>
        <w:t xml:space="preserve"> (1983), profuse reporters have analysed these theories in more intensity, prompting a rethink of primary and repeated instruction for professionals, which as a consequence has resulted in solid applications when constructing the reflective movement to the development of learning (</w:t>
      </w:r>
      <w:proofErr w:type="spellStart"/>
      <w:r w:rsidRPr="00FC6D6E">
        <w:rPr>
          <w:rFonts w:cstheme="minorHAnsi"/>
          <w:shd w:val="clear" w:color="auto" w:fill="FFFFFF"/>
        </w:rPr>
        <w:t>Fullana</w:t>
      </w:r>
      <w:proofErr w:type="spellEnd"/>
      <w:r w:rsidRPr="00FC6D6E">
        <w:rPr>
          <w:rFonts w:cstheme="minorHAnsi"/>
          <w:shd w:val="clear" w:color="auto" w:fill="FFFFFF"/>
        </w:rPr>
        <w:t xml:space="preserve">, </w:t>
      </w:r>
      <w:proofErr w:type="spellStart"/>
      <w:r w:rsidRPr="00FC6D6E">
        <w:rPr>
          <w:rFonts w:cstheme="minorHAnsi"/>
          <w:shd w:val="clear" w:color="auto" w:fill="FFFFFF"/>
        </w:rPr>
        <w:t>Pallisera</w:t>
      </w:r>
      <w:proofErr w:type="spellEnd"/>
      <w:r w:rsidRPr="00FC6D6E">
        <w:rPr>
          <w:rFonts w:cstheme="minorHAnsi"/>
          <w:shd w:val="clear" w:color="auto" w:fill="FFFFFF"/>
        </w:rPr>
        <w:t xml:space="preserve">, </w:t>
      </w:r>
      <w:proofErr w:type="spellStart"/>
      <w:r w:rsidRPr="00FC6D6E">
        <w:rPr>
          <w:rFonts w:cstheme="minorHAnsi"/>
          <w:shd w:val="clear" w:color="auto" w:fill="FFFFFF"/>
        </w:rPr>
        <w:t>Colomer</w:t>
      </w:r>
      <w:proofErr w:type="spellEnd"/>
      <w:r w:rsidRPr="00FC6D6E">
        <w:rPr>
          <w:rFonts w:cstheme="minorHAnsi"/>
          <w:shd w:val="clear" w:color="auto" w:fill="FFFFFF"/>
        </w:rPr>
        <w:t xml:space="preserve">, </w:t>
      </w:r>
      <w:proofErr w:type="spellStart"/>
      <w:r w:rsidRPr="00FC6D6E">
        <w:rPr>
          <w:rFonts w:cstheme="minorHAnsi"/>
          <w:shd w:val="clear" w:color="auto" w:fill="FFFFFF"/>
        </w:rPr>
        <w:t>Fernández</w:t>
      </w:r>
      <w:proofErr w:type="spellEnd"/>
      <w:r w:rsidRPr="00FC6D6E">
        <w:rPr>
          <w:rFonts w:cstheme="minorHAnsi"/>
          <w:shd w:val="clear" w:color="auto" w:fill="FFFFFF"/>
        </w:rPr>
        <w:t xml:space="preserve"> Peña, and Pérez-</w:t>
      </w:r>
      <w:proofErr w:type="spellStart"/>
      <w:r w:rsidRPr="00FC6D6E">
        <w:rPr>
          <w:rFonts w:cstheme="minorHAnsi"/>
          <w:shd w:val="clear" w:color="auto" w:fill="FFFFFF"/>
        </w:rPr>
        <w:t>Burriel</w:t>
      </w:r>
      <w:proofErr w:type="spellEnd"/>
      <w:r w:rsidRPr="00FC6D6E">
        <w:rPr>
          <w:rFonts w:cstheme="minorHAnsi"/>
          <w:shd w:val="clear" w:color="auto" w:fill="FFFFFF"/>
        </w:rPr>
        <w:t xml:space="preserve">, 2016). </w:t>
      </w:r>
      <w:r w:rsidR="00AC6B9C" w:rsidRPr="00FC6D6E">
        <w:rPr>
          <w:rFonts w:cstheme="minorHAnsi"/>
          <w:shd w:val="clear" w:color="auto" w:fill="FFFFFF"/>
        </w:rPr>
        <w:t xml:space="preserve">As mentioned, </w:t>
      </w:r>
      <w:r w:rsidR="00AC6B9C" w:rsidRPr="00FC6D6E">
        <w:rPr>
          <w:rFonts w:eastAsia="Calibri" w:cstheme="minorHAnsi"/>
          <w:shd w:val="clear" w:color="auto" w:fill="FFFFFF"/>
        </w:rPr>
        <w:t xml:space="preserve">I will discuss the factors I believe have been beneficial to ones leaning while at university, they are group work: group presentations and experimental group work; essay writing: feedback, critical thinking and the use of evidence; peer-assessment: reflective logs and peer-assessing essays. </w:t>
      </w:r>
    </w:p>
    <w:p w:rsidR="00C403F7" w:rsidRPr="00FC6D6E" w:rsidRDefault="00C403F7" w:rsidP="00C403F7">
      <w:pPr>
        <w:spacing w:line="360" w:lineRule="auto"/>
        <w:ind w:firstLine="720"/>
        <w:jc w:val="both"/>
        <w:rPr>
          <w:rFonts w:eastAsia="Calibri" w:cstheme="minorHAnsi"/>
          <w:b/>
          <w:shd w:val="clear" w:color="auto" w:fill="FFFFFF"/>
        </w:rPr>
      </w:pPr>
      <w:r w:rsidRPr="00FC6D6E">
        <w:rPr>
          <w:rFonts w:eastAsia="Calibri" w:cstheme="minorHAnsi"/>
          <w:b/>
          <w:shd w:val="clear" w:color="auto" w:fill="FFFFFF"/>
        </w:rPr>
        <w:t>Group work:</w:t>
      </w:r>
    </w:p>
    <w:p w:rsidR="00727BD3" w:rsidRPr="00FC6D6E" w:rsidRDefault="00C403F7" w:rsidP="00727BD3">
      <w:pPr>
        <w:spacing w:line="360" w:lineRule="auto"/>
        <w:ind w:firstLine="720"/>
        <w:jc w:val="both"/>
        <w:rPr>
          <w:rFonts w:eastAsia="Calibri" w:cstheme="minorHAnsi"/>
        </w:rPr>
      </w:pPr>
      <w:r w:rsidRPr="00FC6D6E">
        <w:rPr>
          <w:rFonts w:eastAsia="Calibri" w:cstheme="minorHAnsi"/>
          <w:shd w:val="clear" w:color="auto" w:fill="FFFFFF"/>
        </w:rPr>
        <w:t xml:space="preserve">Working as a group requires different skills compared to working on your own. These may include teamwork, scheduling, communication, dealing with conflicts and so forth </w:t>
      </w:r>
      <w:r w:rsidRPr="00FC6D6E">
        <w:rPr>
          <w:rFonts w:cstheme="minorHAnsi"/>
        </w:rPr>
        <w:t xml:space="preserve">(University of South Wales, 2015). While at university, one has had to take part in a number </w:t>
      </w:r>
      <w:r w:rsidR="00243B5C" w:rsidRPr="00FC6D6E">
        <w:rPr>
          <w:rFonts w:cstheme="minorHAnsi"/>
        </w:rPr>
        <w:t xml:space="preserve">of group work based tasks and assignments. The points raised above are particularly important in group presentations. </w:t>
      </w:r>
      <w:r w:rsidR="00F94FFA" w:rsidRPr="00FC6D6E">
        <w:rPr>
          <w:rFonts w:cstheme="minorHAnsi"/>
        </w:rPr>
        <w:t>Group work has become increasingly advantageous (</w:t>
      </w:r>
      <w:proofErr w:type="spellStart"/>
      <w:r w:rsidR="00F94FFA" w:rsidRPr="00FC6D6E">
        <w:rPr>
          <w:rFonts w:cstheme="minorHAnsi"/>
        </w:rPr>
        <w:t>Lavy</w:t>
      </w:r>
      <w:proofErr w:type="spellEnd"/>
      <w:r w:rsidR="00F94FFA" w:rsidRPr="00FC6D6E">
        <w:rPr>
          <w:rFonts w:cstheme="minorHAnsi"/>
        </w:rPr>
        <w:t>, 2017). In the line-up with its growth in the workplace, it has also proceeded to prosper in educational settings such as university (</w:t>
      </w:r>
      <w:proofErr w:type="spellStart"/>
      <w:r w:rsidR="00F94FFA" w:rsidRPr="00FC6D6E">
        <w:rPr>
          <w:rFonts w:cstheme="minorHAnsi"/>
        </w:rPr>
        <w:t>Boud</w:t>
      </w:r>
      <w:proofErr w:type="spellEnd"/>
      <w:r w:rsidR="00F94FFA" w:rsidRPr="00FC6D6E">
        <w:rPr>
          <w:rFonts w:cstheme="minorHAnsi"/>
        </w:rPr>
        <w:t xml:space="preserve">, 2014). It had been suggested that there are a number of advantages that come with group-work. Exposing university students to group-work </w:t>
      </w:r>
      <w:r w:rsidR="00A94BAF">
        <w:rPr>
          <w:rFonts w:cstheme="minorHAnsi"/>
        </w:rPr>
        <w:t>has been known to improve learning as well as</w:t>
      </w:r>
      <w:r w:rsidR="00F94FFA" w:rsidRPr="00FC6D6E">
        <w:rPr>
          <w:rFonts w:cstheme="minorHAnsi"/>
        </w:rPr>
        <w:t xml:space="preserve"> </w:t>
      </w:r>
      <w:r w:rsidR="00A94BAF">
        <w:rPr>
          <w:rFonts w:cstheme="minorHAnsi"/>
        </w:rPr>
        <w:t xml:space="preserve">equip </w:t>
      </w:r>
      <w:r w:rsidR="00F94FFA" w:rsidRPr="00FC6D6E">
        <w:rPr>
          <w:rFonts w:cstheme="minorHAnsi"/>
        </w:rPr>
        <w:t>them for life experiences post university (Taylor, 2014). Throughout my university experience over the past three years, I have had to endure working with fellow students on both sides of the joint honours course. Evidence has shown that students who engage in group-work, or cooperative learning, display individual achievement in comparison to students who are not required to work with other individuals. For example, Johnson and colleagues (2014), persisted that students who learn in collaborative circumstances possessed greater knowledge acquisition, retention of material and so forth compared to those who work alone (Johnson, Johnson and Smith, 2014).</w:t>
      </w:r>
      <w:r w:rsidR="00727BD3" w:rsidRPr="00FC6D6E">
        <w:rPr>
          <w:rFonts w:cstheme="minorHAnsi"/>
        </w:rPr>
        <w:t xml:space="preserve"> </w:t>
      </w:r>
      <w:r w:rsidR="00727BD3" w:rsidRPr="00FC6D6E">
        <w:rPr>
          <w:rFonts w:eastAsia="Calibri" w:cstheme="minorHAnsi"/>
        </w:rPr>
        <w:t xml:space="preserve">There have been a number of times where one has had to work within a group and other members of the class, examples of these are group presentations, experimental work. </w:t>
      </w:r>
    </w:p>
    <w:p w:rsidR="00C403F7" w:rsidRPr="00FC6D6E" w:rsidRDefault="00727BD3" w:rsidP="00C30159">
      <w:pPr>
        <w:spacing w:line="360" w:lineRule="auto"/>
        <w:ind w:firstLine="720"/>
        <w:jc w:val="both"/>
        <w:rPr>
          <w:rFonts w:cstheme="minorHAnsi"/>
        </w:rPr>
      </w:pPr>
      <w:r w:rsidRPr="00FC6D6E">
        <w:rPr>
          <w:rFonts w:cstheme="minorHAnsi"/>
        </w:rPr>
        <w:lastRenderedPageBreak/>
        <w:t>As mentioned above, working on a group presentation requires skills that may not be required when working on an individual presentation. The skill to communicate is considered one of the most significant objectives in which communitive language desires to attain (</w:t>
      </w:r>
      <w:proofErr w:type="spellStart"/>
      <w:r w:rsidRPr="00FC6D6E">
        <w:rPr>
          <w:rFonts w:cstheme="minorHAnsi"/>
        </w:rPr>
        <w:t>Živković</w:t>
      </w:r>
      <w:proofErr w:type="spellEnd"/>
      <w:r w:rsidRPr="00FC6D6E">
        <w:rPr>
          <w:rFonts w:cstheme="minorHAnsi"/>
        </w:rPr>
        <w:t>, 2014).</w:t>
      </w:r>
      <w:r w:rsidR="00BE793D" w:rsidRPr="00FC6D6E">
        <w:rPr>
          <w:rFonts w:cstheme="minorHAnsi"/>
        </w:rPr>
        <w:t xml:space="preserve"> When working on a group presentation, it became apparent that in order to create a successful presentation with others, communication is key which therefore resolves and misunderstandings that </w:t>
      </w:r>
      <w:r w:rsidR="00C30159" w:rsidRPr="00FC6D6E">
        <w:rPr>
          <w:rFonts w:cstheme="minorHAnsi"/>
        </w:rPr>
        <w:t xml:space="preserve">may have occurred. Communication serves as a significant practice which appears as an action among individuals, where all members in the group are frequently and simultaneously receiving and sending material in order to establish a feel of mutual understanding (Harris and </w:t>
      </w:r>
      <w:proofErr w:type="spellStart"/>
      <w:r w:rsidR="00C30159" w:rsidRPr="00FC6D6E">
        <w:rPr>
          <w:rFonts w:cstheme="minorHAnsi"/>
        </w:rPr>
        <w:t>Sherblom</w:t>
      </w:r>
      <w:proofErr w:type="spellEnd"/>
      <w:r w:rsidR="00C30159" w:rsidRPr="00FC6D6E">
        <w:rPr>
          <w:rFonts w:cstheme="minorHAnsi"/>
        </w:rPr>
        <w:t>, 2018).</w:t>
      </w:r>
      <w:r w:rsidR="00502F82" w:rsidRPr="00FC6D6E">
        <w:rPr>
          <w:rFonts w:cstheme="minorHAnsi"/>
        </w:rPr>
        <w:t xml:space="preserve"> During my time at university, I have completed two group presentations. For the first presentation it would be fair to admit that all members especially one’s self did not take into account the amount of communication needed in order to create a sufficient presentation and present confidently. Reflecting back, I believe that if all members had communicated with one another a lot more, then the presentation would have been completed days before the due date. Scheduling a time to get together would have been easier, and would have also allowed time for rehearsal and make any changes if need be. </w:t>
      </w:r>
    </w:p>
    <w:p w:rsidR="003C22BD" w:rsidRPr="00FC6D6E" w:rsidRDefault="008E1E46" w:rsidP="008E1E46">
      <w:pPr>
        <w:suppressAutoHyphens/>
        <w:autoSpaceDN w:val="0"/>
        <w:spacing w:line="360" w:lineRule="auto"/>
        <w:ind w:firstLine="720"/>
        <w:jc w:val="both"/>
        <w:textAlignment w:val="baseline"/>
        <w:rPr>
          <w:rFonts w:eastAsia="Calibri" w:cstheme="minorHAnsi"/>
        </w:rPr>
      </w:pPr>
      <w:r w:rsidRPr="00FC6D6E">
        <w:rPr>
          <w:rFonts w:eastAsia="Calibri" w:cstheme="minorHAnsi"/>
        </w:rPr>
        <w:t>Compared to the first group presentation, the second was proven to be a lot better. The reasons for this may be down to the fact that all group members communicated with one another efficiently, allowing for the completion of the presentation to be completed in a timely manner. All members of the group encouraged each other to do the best of their ability, allowing all members to feel comfortable and reassured that all would put in the same amount of effort needed to present a successful presentation. This had clearly been shown as all group members received high grades, in comparison to the first group-presentation. Group presentations in higher education promote team work skills which is currently an essential employability requirement (</w:t>
      </w:r>
      <w:proofErr w:type="spellStart"/>
      <w:r w:rsidRPr="00FC6D6E">
        <w:rPr>
          <w:rFonts w:eastAsia="Calibri" w:cstheme="minorHAnsi"/>
        </w:rPr>
        <w:t>Hassanien</w:t>
      </w:r>
      <w:proofErr w:type="spellEnd"/>
      <w:r w:rsidRPr="00FC6D6E">
        <w:rPr>
          <w:rFonts w:eastAsia="Calibri" w:cstheme="minorHAnsi"/>
        </w:rPr>
        <w:t xml:space="preserve">, 2007). </w:t>
      </w:r>
      <w:r w:rsidR="003C22BD" w:rsidRPr="00FC6D6E">
        <w:rPr>
          <w:rFonts w:eastAsia="Calibri" w:cstheme="minorHAnsi"/>
        </w:rPr>
        <w:t xml:space="preserve">Before my time in university, I had little experience with others for an assessed piece of work. Due to the experience gained from group presentation I feel that I would now be more confident to work in a team with other individuals on an employability level, and I have benefited greatly and gained the skills required from this assessment activity style. </w:t>
      </w:r>
    </w:p>
    <w:p w:rsidR="005021D7" w:rsidRPr="00FC6D6E" w:rsidRDefault="00D368C0" w:rsidP="005E2A4D">
      <w:pPr>
        <w:suppressAutoHyphens/>
        <w:autoSpaceDN w:val="0"/>
        <w:spacing w:line="360" w:lineRule="auto"/>
        <w:ind w:firstLine="720"/>
        <w:jc w:val="both"/>
        <w:textAlignment w:val="baseline"/>
        <w:rPr>
          <w:rFonts w:cstheme="minorHAnsi"/>
        </w:rPr>
      </w:pPr>
      <w:r w:rsidRPr="00FC6D6E">
        <w:rPr>
          <w:rFonts w:eastAsia="Calibri" w:cstheme="minorHAnsi"/>
        </w:rPr>
        <w:t xml:space="preserve">In the second year of university as part of assessment criteria in a research methods module, students had been required to work in a group and create a psychology study looking at attention and memory. In order to create an efficient study and analyse results post study, all group members were required to attend an SPSS workshop. This allowed all students to get to grips with the software </w:t>
      </w:r>
      <w:r w:rsidR="001121A7" w:rsidRPr="00FC6D6E">
        <w:rPr>
          <w:rFonts w:eastAsia="Calibri" w:cstheme="minorHAnsi"/>
        </w:rPr>
        <w:t xml:space="preserve">for the assignment, and also prepare students for their dissertations. This assignment proved difficult as not all group members were willing to put the same effort into the task. However, this had been shortly resolved through communication. This assignment allowed students including one’s self to </w:t>
      </w:r>
      <w:r w:rsidR="001121A7" w:rsidRPr="00FC6D6E">
        <w:rPr>
          <w:rFonts w:eastAsia="Calibri" w:cstheme="minorHAnsi"/>
        </w:rPr>
        <w:lastRenderedPageBreak/>
        <w:t xml:space="preserve">gain experience in a laboratory setting. I found </w:t>
      </w:r>
      <w:r w:rsidR="001121A7" w:rsidRPr="00FC6D6E">
        <w:rPr>
          <w:rFonts w:cstheme="minorHAnsi"/>
        </w:rPr>
        <w:t>it allowed one’s self to self-assess and evaluate one’s ability to communicate with others outside of the group (i.e. participants).</w:t>
      </w:r>
      <w:r w:rsidR="005E2A4D" w:rsidRPr="00FC6D6E">
        <w:rPr>
          <w:rFonts w:cstheme="minorHAnsi"/>
        </w:rPr>
        <w:t xml:space="preserve"> According to </w:t>
      </w:r>
      <w:proofErr w:type="spellStart"/>
      <w:r w:rsidR="005E2A4D" w:rsidRPr="00FC6D6E">
        <w:rPr>
          <w:rFonts w:cstheme="minorHAnsi"/>
        </w:rPr>
        <w:t>Boud</w:t>
      </w:r>
      <w:proofErr w:type="spellEnd"/>
      <w:r w:rsidR="005E2A4D" w:rsidRPr="00FC6D6E">
        <w:rPr>
          <w:rFonts w:cstheme="minorHAnsi"/>
        </w:rPr>
        <w:t xml:space="preserve"> (1995), there has been an increased enthusiasm regarding self-assessment in higher education (Nicol and Macfarlane-Dick, 2006). Student self-assessment, has been largely and boldly supported as a useful way for students to be involved in formative assessment (Black and </w:t>
      </w:r>
      <w:proofErr w:type="spellStart"/>
      <w:r w:rsidR="005E2A4D" w:rsidRPr="00FC6D6E">
        <w:rPr>
          <w:rFonts w:cstheme="minorHAnsi"/>
        </w:rPr>
        <w:t>Wiliam</w:t>
      </w:r>
      <w:proofErr w:type="spellEnd"/>
      <w:r w:rsidR="005E2A4D" w:rsidRPr="00FC6D6E">
        <w:rPr>
          <w:rFonts w:cstheme="minorHAnsi"/>
        </w:rPr>
        <w:t>, 1998). Although this form of group work had not been formally assessed or graded, it had proven to be of use for one’s self, as one’s dissertation study had been based in a laboratory setting, and included working with individuals (participants) and other researchers.</w:t>
      </w:r>
      <w:r w:rsidR="00E11125" w:rsidRPr="00FC6D6E">
        <w:rPr>
          <w:rFonts w:cstheme="minorHAnsi"/>
        </w:rPr>
        <w:t xml:space="preserve"> I feel this activity benefited my understanding of lab and research etiquette to fully engage appropriately with other researchers and participants. Reflecting back on my time as a researcher conducting my dissertation study, I believe I had carried myself well as a researcher and was professional at all times especially when studies were been carried out by others due to the experience previously obtained the year before from the experimental group research activity. </w:t>
      </w:r>
    </w:p>
    <w:p w:rsidR="005021D7" w:rsidRPr="00FC6D6E" w:rsidRDefault="005021D7" w:rsidP="005E2A4D">
      <w:pPr>
        <w:suppressAutoHyphens/>
        <w:autoSpaceDN w:val="0"/>
        <w:spacing w:line="360" w:lineRule="auto"/>
        <w:ind w:firstLine="720"/>
        <w:jc w:val="both"/>
        <w:textAlignment w:val="baseline"/>
        <w:rPr>
          <w:rFonts w:cstheme="minorHAnsi"/>
          <w:b/>
        </w:rPr>
      </w:pPr>
      <w:r w:rsidRPr="00FC6D6E">
        <w:rPr>
          <w:rFonts w:cstheme="minorHAnsi"/>
          <w:b/>
        </w:rPr>
        <w:t>Essay writing:</w:t>
      </w:r>
    </w:p>
    <w:p w:rsidR="0024263A" w:rsidRPr="00FC6D6E" w:rsidRDefault="00F80775" w:rsidP="0081705D">
      <w:pPr>
        <w:suppressAutoHyphens/>
        <w:autoSpaceDN w:val="0"/>
        <w:spacing w:line="360" w:lineRule="auto"/>
        <w:ind w:firstLine="720"/>
        <w:jc w:val="both"/>
        <w:textAlignment w:val="baseline"/>
        <w:rPr>
          <w:rFonts w:cstheme="minorHAnsi"/>
        </w:rPr>
      </w:pPr>
      <w:r w:rsidRPr="00FC6D6E">
        <w:rPr>
          <w:rFonts w:cstheme="minorHAnsi"/>
        </w:rPr>
        <w:t>Throughout one’s time in university, essay writing has been the main type of assignment I have had to complete. After completing each essay, one has received feedback along with a grade</w:t>
      </w:r>
      <w:r w:rsidR="0081705D" w:rsidRPr="00FC6D6E">
        <w:rPr>
          <w:rFonts w:cstheme="minorHAnsi"/>
        </w:rPr>
        <w:t xml:space="preserve"> on the work submitted. In educational frameworks feedback is more often than not looked at as providing both ‘educative’ and ‘evaluative’ objectives, according to </w:t>
      </w:r>
      <w:proofErr w:type="spellStart"/>
      <w:r w:rsidR="0081705D" w:rsidRPr="00FC6D6E">
        <w:rPr>
          <w:rFonts w:cstheme="minorHAnsi"/>
        </w:rPr>
        <w:t>Dochy</w:t>
      </w:r>
      <w:proofErr w:type="spellEnd"/>
      <w:r w:rsidR="0081705D" w:rsidRPr="00FC6D6E">
        <w:rPr>
          <w:rFonts w:cstheme="minorHAnsi"/>
        </w:rPr>
        <w:t xml:space="preserve"> and McDowell (1997). When it comes to evaluation, feedback presents students with a small report on his or her work. From an educational viewpoint, feedback promotes students’ progress and development of tasks (Hester, 2001). It has been noted by Hyland (2000) that students in higher education advocate feedback on assignment essays as being a significant factor in recognising their strengths and weaknesses, raising ambition as well as developing their grades for future assignments (</w:t>
      </w:r>
      <w:proofErr w:type="spellStart"/>
      <w:r w:rsidR="0081705D" w:rsidRPr="00FC6D6E">
        <w:rPr>
          <w:rFonts w:cstheme="minorHAnsi"/>
        </w:rPr>
        <w:t>Lizzo</w:t>
      </w:r>
      <w:proofErr w:type="spellEnd"/>
      <w:r w:rsidR="0081705D" w:rsidRPr="00FC6D6E">
        <w:rPr>
          <w:rFonts w:cstheme="minorHAnsi"/>
        </w:rPr>
        <w:t xml:space="preserve"> and Wilson, 2008).</w:t>
      </w:r>
      <w:r w:rsidR="009A56D4" w:rsidRPr="00FC6D6E">
        <w:rPr>
          <w:rFonts w:cstheme="minorHAnsi"/>
        </w:rPr>
        <w:t xml:space="preserve"> The feedback I have received from lecturers has had an impact on how one writes. During my time in first year I will admit I did not take much notice of the feedback, however, in second year I did and it has proven to improve the way I write. I understand the feedback I have been provided and know what needs to be done in order to improve future assignment submissions. Deliberate practice demands that students are to be provided with information on the results they had achieved on their work. Such feedback is considered as an effective learning tool (Metcalfe and </w:t>
      </w:r>
      <w:proofErr w:type="spellStart"/>
      <w:r w:rsidR="009A56D4" w:rsidRPr="00FC6D6E">
        <w:rPr>
          <w:rFonts w:cstheme="minorHAnsi"/>
        </w:rPr>
        <w:t>Kornell</w:t>
      </w:r>
      <w:proofErr w:type="spellEnd"/>
      <w:r w:rsidR="009A56D4" w:rsidRPr="00FC6D6E">
        <w:rPr>
          <w:rFonts w:cstheme="minorHAnsi"/>
        </w:rPr>
        <w:t xml:space="preserve">, 2007).  </w:t>
      </w:r>
      <w:r w:rsidR="00B71091" w:rsidRPr="00FC6D6E">
        <w:rPr>
          <w:rFonts w:cstheme="minorHAnsi"/>
        </w:rPr>
        <w:t xml:space="preserve">In much of the feedback provided, there was also mention of the lack of structure in one’s work, however, I believe this has improved over the years but there is still some room for improvement and this is something I will work on for the upcoming final assignments. </w:t>
      </w:r>
    </w:p>
    <w:p w:rsidR="008E1E46" w:rsidRPr="00FC6D6E" w:rsidRDefault="00E11125" w:rsidP="003F049D">
      <w:pPr>
        <w:suppressAutoHyphens/>
        <w:autoSpaceDN w:val="0"/>
        <w:spacing w:line="360" w:lineRule="auto"/>
        <w:ind w:firstLine="720"/>
        <w:jc w:val="both"/>
        <w:textAlignment w:val="baseline"/>
        <w:rPr>
          <w:rFonts w:eastAsia="Calibri" w:cstheme="minorHAnsi"/>
          <w:shd w:val="clear" w:color="auto" w:fill="FFFFFF"/>
        </w:rPr>
      </w:pPr>
      <w:r w:rsidRPr="00FC6D6E">
        <w:rPr>
          <w:rFonts w:cstheme="minorHAnsi"/>
        </w:rPr>
        <w:lastRenderedPageBreak/>
        <w:t xml:space="preserve"> </w:t>
      </w:r>
      <w:r w:rsidR="00E072DB" w:rsidRPr="00FC6D6E">
        <w:rPr>
          <w:rFonts w:cstheme="minorHAnsi"/>
        </w:rPr>
        <w:t>It is expected for students in higher educational settings to prosper into efficient academic writers during their time at university (</w:t>
      </w:r>
      <w:proofErr w:type="spellStart"/>
      <w:r w:rsidR="00E072DB" w:rsidRPr="00FC6D6E">
        <w:rPr>
          <w:rFonts w:cstheme="minorHAnsi"/>
        </w:rPr>
        <w:t>Ofte</w:t>
      </w:r>
      <w:proofErr w:type="spellEnd"/>
      <w:r w:rsidR="00E072DB" w:rsidRPr="00FC6D6E">
        <w:rPr>
          <w:rFonts w:cstheme="minorHAnsi"/>
        </w:rPr>
        <w:t>, 2014). When it comes to essay writing, critical thinking becomes important. It is considered important for each individual student as it instructs them to analyse arguments from all perspectives (</w:t>
      </w:r>
      <w:proofErr w:type="spellStart"/>
      <w:r w:rsidR="00E072DB" w:rsidRPr="00FC6D6E">
        <w:rPr>
          <w:rFonts w:cstheme="minorHAnsi"/>
        </w:rPr>
        <w:t>Tavano</w:t>
      </w:r>
      <w:proofErr w:type="spellEnd"/>
      <w:r w:rsidR="00E072DB" w:rsidRPr="00FC6D6E">
        <w:rPr>
          <w:rFonts w:cstheme="minorHAnsi"/>
        </w:rPr>
        <w:t>, 2017). Recent research has confirmed</w:t>
      </w:r>
      <w:r w:rsidR="00A94BAF">
        <w:rPr>
          <w:rFonts w:cstheme="minorHAnsi"/>
        </w:rPr>
        <w:t xml:space="preserve"> that metacognitive skills, for instance, </w:t>
      </w:r>
      <w:r w:rsidR="00E072DB" w:rsidRPr="00FC6D6E">
        <w:rPr>
          <w:rFonts w:cstheme="minorHAnsi"/>
        </w:rPr>
        <w:t xml:space="preserve">abstract reflection and critical thinking are significant to </w:t>
      </w:r>
      <w:r w:rsidR="00A94BAF">
        <w:rPr>
          <w:rFonts w:cstheme="minorHAnsi"/>
        </w:rPr>
        <w:t>advance</w:t>
      </w:r>
      <w:r w:rsidR="00E072DB" w:rsidRPr="00FC6D6E">
        <w:rPr>
          <w:rFonts w:cstheme="minorHAnsi"/>
        </w:rPr>
        <w:t xml:space="preserve"> the highe</w:t>
      </w:r>
      <w:r w:rsidR="00A94BAF">
        <w:rPr>
          <w:rFonts w:cstheme="minorHAnsi"/>
        </w:rPr>
        <w:t>r order thinking skills needed</w:t>
      </w:r>
      <w:r w:rsidR="00E072DB" w:rsidRPr="00FC6D6E">
        <w:rPr>
          <w:rFonts w:cstheme="minorHAnsi"/>
        </w:rPr>
        <w:t xml:space="preserve"> and </w:t>
      </w:r>
      <w:r w:rsidR="00A94BAF">
        <w:rPr>
          <w:rFonts w:cstheme="minorHAnsi"/>
        </w:rPr>
        <w:t>anticipated</w:t>
      </w:r>
      <w:r w:rsidR="00E072DB" w:rsidRPr="00FC6D6E">
        <w:rPr>
          <w:rFonts w:cstheme="minorHAnsi"/>
        </w:rPr>
        <w:t xml:space="preserve"> within higher education (Granville and </w:t>
      </w:r>
      <w:proofErr w:type="spellStart"/>
      <w:r w:rsidR="00E072DB" w:rsidRPr="00FC6D6E">
        <w:rPr>
          <w:rFonts w:cstheme="minorHAnsi"/>
        </w:rPr>
        <w:t>Dison</w:t>
      </w:r>
      <w:proofErr w:type="spellEnd"/>
      <w:r w:rsidR="00E072DB" w:rsidRPr="00FC6D6E">
        <w:rPr>
          <w:rFonts w:cstheme="minorHAnsi"/>
        </w:rPr>
        <w:t xml:space="preserve">, 2005; </w:t>
      </w:r>
      <w:proofErr w:type="spellStart"/>
      <w:r w:rsidR="00E072DB" w:rsidRPr="00FC6D6E">
        <w:rPr>
          <w:rFonts w:cstheme="minorHAnsi"/>
        </w:rPr>
        <w:t>Negretti</w:t>
      </w:r>
      <w:proofErr w:type="spellEnd"/>
      <w:r w:rsidR="00E072DB" w:rsidRPr="00FC6D6E">
        <w:rPr>
          <w:rFonts w:cstheme="minorHAnsi"/>
        </w:rPr>
        <w:t>, 2012).</w:t>
      </w:r>
      <w:r w:rsidR="005F3AD4" w:rsidRPr="00FC6D6E">
        <w:rPr>
          <w:rFonts w:cstheme="minorHAnsi"/>
        </w:rPr>
        <w:t xml:space="preserve"> Critical writing and thinking has been a constant requirement throughout my time in university, especially when writing essays. Due to the level of critical thinking one has developed, I would feel confident going on to do a post graduate level course and further develop this skill to the best of my ability. I also believe that acquiring critical thinking skills has helped one to achieve the level that I am currently at. Critical thinking will be especially beneficial to one’s self when completing the final larger assignments (i.e. dissertation and independent project).</w:t>
      </w:r>
      <w:r w:rsidR="003F049D" w:rsidRPr="00FC6D6E">
        <w:rPr>
          <w:rFonts w:cstheme="minorHAnsi"/>
        </w:rPr>
        <w:t xml:space="preserve"> Reflective and critical thinking have been considered as crucial aspects of education as they egotistically influence an extensive cluster of educational occurrences along with learning frameworks (</w:t>
      </w:r>
      <w:proofErr w:type="spellStart"/>
      <w:r w:rsidR="003F049D" w:rsidRPr="00FC6D6E">
        <w:rPr>
          <w:rFonts w:cstheme="minorHAnsi"/>
        </w:rPr>
        <w:t>Petkus</w:t>
      </w:r>
      <w:proofErr w:type="spellEnd"/>
      <w:r w:rsidR="003F049D" w:rsidRPr="00FC6D6E">
        <w:rPr>
          <w:rFonts w:cstheme="minorHAnsi"/>
        </w:rPr>
        <w:t>, 2010).</w:t>
      </w:r>
    </w:p>
    <w:p w:rsidR="007C7193" w:rsidRPr="00FC6D6E" w:rsidRDefault="00196E1E" w:rsidP="007C7193">
      <w:pPr>
        <w:spacing w:line="360" w:lineRule="auto"/>
        <w:ind w:firstLine="720"/>
        <w:jc w:val="both"/>
        <w:rPr>
          <w:rFonts w:eastAsia="Calibri" w:cstheme="minorHAnsi"/>
        </w:rPr>
      </w:pPr>
      <w:r w:rsidRPr="00FC6D6E">
        <w:rPr>
          <w:rFonts w:cstheme="minorHAnsi"/>
        </w:rPr>
        <w:t>A study indicated that it is achievable for students in higher education to develop their writing skills through the use of research (Bacha, 2002).</w:t>
      </w:r>
      <w:r w:rsidR="002B757A" w:rsidRPr="00FC6D6E">
        <w:rPr>
          <w:rFonts w:cstheme="minorHAnsi"/>
        </w:rPr>
        <w:t xml:space="preserve"> When writing essays, I had found it particularly helpful to read research papers in order to develop the way in which one would write. I found the use of language used in research papers aided one’s self to adapt my own language in order to sound more academic in my writing</w:t>
      </w:r>
      <w:r w:rsidR="007C7193" w:rsidRPr="00FC6D6E">
        <w:rPr>
          <w:rFonts w:cstheme="minorHAnsi"/>
        </w:rPr>
        <w:t>,</w:t>
      </w:r>
      <w:r w:rsidR="002B757A" w:rsidRPr="00FC6D6E">
        <w:rPr>
          <w:rFonts w:cstheme="minorHAnsi"/>
        </w:rPr>
        <w:t xml:space="preserve"> I am a lot more confident in submitting my assignments now than when I was in year one. </w:t>
      </w:r>
      <w:r w:rsidR="007C7193" w:rsidRPr="00FC6D6E">
        <w:rPr>
          <w:rFonts w:eastAsia="Calibri" w:cstheme="minorHAnsi"/>
        </w:rPr>
        <w:t xml:space="preserve">Citing sources has been considered as an act that will improve academic writing by clearly forming a rational foundation and structure in a students’ essay which will therefore result in better writing (Craig, 2012). Throughout my time in university, I have learnt the importance of gaining a generous amount of information from empirical and relevant sources. It has provided one’s self with an insight of many different </w:t>
      </w:r>
      <w:r w:rsidR="00994D51" w:rsidRPr="00FC6D6E">
        <w:rPr>
          <w:rFonts w:eastAsia="Calibri" w:cstheme="minorHAnsi"/>
        </w:rPr>
        <w:t>views, where and how researchers gain</w:t>
      </w:r>
      <w:r w:rsidR="007C7193" w:rsidRPr="00FC6D6E">
        <w:rPr>
          <w:rFonts w:eastAsia="Calibri" w:cstheme="minorHAnsi"/>
        </w:rPr>
        <w:t xml:space="preserve"> information presented in their articles or books. One had noticed with the more citations obtained the better the quality of work I had written. </w:t>
      </w:r>
    </w:p>
    <w:p w:rsidR="00666AD9" w:rsidRPr="00FC6D6E" w:rsidRDefault="00666AD9" w:rsidP="00666AD9">
      <w:pPr>
        <w:spacing w:line="360" w:lineRule="auto"/>
        <w:ind w:firstLine="720"/>
        <w:jc w:val="both"/>
        <w:rPr>
          <w:rFonts w:cstheme="minorHAnsi"/>
        </w:rPr>
      </w:pPr>
      <w:r w:rsidRPr="00FC6D6E">
        <w:rPr>
          <w:rFonts w:cstheme="minorHAnsi"/>
        </w:rPr>
        <w:t>Student writing in higher education has been considered a problem in the past decade or so. As of 2001, there had been official public and pedagogic discussions with complaints on the inability of students to write i</w:t>
      </w:r>
      <w:r w:rsidR="00D2398F" w:rsidRPr="00FC6D6E">
        <w:rPr>
          <w:rFonts w:cstheme="minorHAnsi"/>
        </w:rPr>
        <w:t>n ways that higher educational institutions require</w:t>
      </w:r>
      <w:r w:rsidRPr="00FC6D6E">
        <w:rPr>
          <w:rFonts w:cstheme="minorHAnsi"/>
        </w:rPr>
        <w:t xml:space="preserve"> (Lillis and Turner, 2001).</w:t>
      </w:r>
      <w:r w:rsidR="0070286A" w:rsidRPr="00FC6D6E">
        <w:rPr>
          <w:rFonts w:cstheme="minorHAnsi"/>
        </w:rPr>
        <w:t xml:space="preserve"> Despite this claim, one believes that if assessment criteria were at hand to students then this may not be an issue today. One feels the ‘general assessment criteria’ provided to students at University of Wales Trinity Saint David (UWTSD) provides students with a greater understanding of what is required from the institution and at each level of learning. One has found this useful when referring back to essays to make sure that one has covered all the necessary areas in order to write effectively, engage </w:t>
      </w:r>
      <w:r w:rsidR="0070286A" w:rsidRPr="00FC6D6E">
        <w:rPr>
          <w:rFonts w:cstheme="minorHAnsi"/>
        </w:rPr>
        <w:lastRenderedPageBreak/>
        <w:t xml:space="preserve">with literature and so forth. One believes that this also encourages self-assessment before submitting in work as I have on numerous of times, reading through work to make sure it is meeting assessment criteria. </w:t>
      </w:r>
    </w:p>
    <w:p w:rsidR="00F1579F" w:rsidRPr="00FC6D6E" w:rsidRDefault="00F1579F" w:rsidP="00666AD9">
      <w:pPr>
        <w:spacing w:line="360" w:lineRule="auto"/>
        <w:ind w:firstLine="720"/>
        <w:jc w:val="both"/>
        <w:rPr>
          <w:rFonts w:cstheme="minorHAnsi"/>
          <w:b/>
        </w:rPr>
      </w:pPr>
      <w:r w:rsidRPr="00FC6D6E">
        <w:rPr>
          <w:rFonts w:cstheme="minorHAnsi"/>
          <w:b/>
        </w:rPr>
        <w:t>Student peer-assessment:</w:t>
      </w:r>
    </w:p>
    <w:p w:rsidR="00131E6D" w:rsidRPr="00FC6D6E" w:rsidRDefault="00131E6D" w:rsidP="00131E6D">
      <w:pPr>
        <w:spacing w:line="360" w:lineRule="auto"/>
        <w:ind w:firstLine="720"/>
        <w:jc w:val="both"/>
        <w:rPr>
          <w:rFonts w:eastAsia="Calibri" w:cstheme="minorHAnsi"/>
        </w:rPr>
      </w:pPr>
      <w:r w:rsidRPr="00FC6D6E">
        <w:rPr>
          <w:rFonts w:cstheme="minorHAnsi"/>
        </w:rPr>
        <w:t>A large-scale analysis of literature with respect to peer-assessment over the past century carried out by Topping (1998) had unveiled a number of components which had varied throughout over 100 studies that had been reviewed. These components included the intentions of peer-assessment, whether it has been operated in a summative or formative manner, and the diversity in the work which was being assessed (</w:t>
      </w:r>
      <w:proofErr w:type="spellStart"/>
      <w:r w:rsidRPr="00FC6D6E">
        <w:rPr>
          <w:rFonts w:cstheme="minorHAnsi"/>
        </w:rPr>
        <w:t>Ashenafi</w:t>
      </w:r>
      <w:proofErr w:type="spellEnd"/>
      <w:r w:rsidRPr="00FC6D6E">
        <w:rPr>
          <w:rFonts w:cstheme="minorHAnsi"/>
        </w:rPr>
        <w:t>, 2017). The benefits of academic peer-assessing have been well recognised and involve “good pedagogic principles of formative assessment and feedback” (</w:t>
      </w:r>
      <w:proofErr w:type="spellStart"/>
      <w:r w:rsidRPr="00FC6D6E">
        <w:rPr>
          <w:rFonts w:cstheme="minorHAnsi"/>
        </w:rPr>
        <w:t>Taras</w:t>
      </w:r>
      <w:proofErr w:type="spellEnd"/>
      <w:r w:rsidRPr="00FC6D6E">
        <w:rPr>
          <w:rFonts w:cstheme="minorHAnsi"/>
        </w:rPr>
        <w:t xml:space="preserve">, 2006: p.365). Scholars such as </w:t>
      </w:r>
      <w:proofErr w:type="spellStart"/>
      <w:r w:rsidRPr="00FC6D6E">
        <w:rPr>
          <w:rFonts w:cstheme="minorHAnsi"/>
        </w:rPr>
        <w:t>Orsmond</w:t>
      </w:r>
      <w:proofErr w:type="spellEnd"/>
      <w:r w:rsidRPr="00FC6D6E">
        <w:rPr>
          <w:rFonts w:cstheme="minorHAnsi"/>
        </w:rPr>
        <w:t xml:space="preserve">, Merry and </w:t>
      </w:r>
      <w:proofErr w:type="spellStart"/>
      <w:r w:rsidRPr="00FC6D6E">
        <w:rPr>
          <w:rFonts w:cstheme="minorHAnsi"/>
        </w:rPr>
        <w:t>Reiling</w:t>
      </w:r>
      <w:proofErr w:type="spellEnd"/>
      <w:r w:rsidRPr="00FC6D6E">
        <w:rPr>
          <w:rFonts w:cstheme="minorHAnsi"/>
        </w:rPr>
        <w:t xml:space="preserve"> (2000), and Rust, Price and O’Donovan (2003), have suggested that students in higher education should be given the opportunity to take part in a more active way in the assessment process, and use formative peer-assessment a way to “empower students as self-regulated learners” (Nicol and </w:t>
      </w:r>
      <w:proofErr w:type="spellStart"/>
      <w:r w:rsidRPr="00FC6D6E">
        <w:rPr>
          <w:rFonts w:cstheme="minorHAnsi"/>
        </w:rPr>
        <w:t>Macfalane</w:t>
      </w:r>
      <w:proofErr w:type="spellEnd"/>
      <w:r w:rsidRPr="00FC6D6E">
        <w:rPr>
          <w:rFonts w:cstheme="minorHAnsi"/>
        </w:rPr>
        <w:t>-Dick, 2006: p.199).</w:t>
      </w:r>
      <w:r w:rsidRPr="00FC6D6E">
        <w:rPr>
          <w:rFonts w:eastAsia="Calibri" w:cstheme="minorHAnsi"/>
        </w:rPr>
        <w:t xml:space="preserve"> During my time in university there have been many circumstances where I have peer-assessed peers work, third year dissertation student’s work or past undergraduates. For example, during my second year in university, during a psychology module the lecturer gave out handouts of previous students work. The aim of this seminar activity was to see what was and was not expected of level 5 students in higher education. In pairs, myself and another ‘marked’ the papers and gave an overall mark of what we thought that paper would receive. I personally found this activity helpful as it allowed one to see what the lecture was expecting (essay writing wise) at that level. Peer-assessment has been argued to assist self-assessment (Black, Harrison and Lee, 2003). It had been suggested by Sadler (1989), exposing students to a number of examples of peer-work will help them see levels of quality (</w:t>
      </w:r>
      <w:proofErr w:type="spellStart"/>
      <w:r w:rsidRPr="00FC6D6E">
        <w:rPr>
          <w:rFonts w:eastAsia="Calibri" w:cstheme="minorHAnsi"/>
        </w:rPr>
        <w:t>Reinholz</w:t>
      </w:r>
      <w:proofErr w:type="spellEnd"/>
      <w:r w:rsidRPr="00FC6D6E">
        <w:rPr>
          <w:rFonts w:eastAsia="Calibri" w:cstheme="minorHAnsi"/>
        </w:rPr>
        <w:t>, 2016).</w:t>
      </w:r>
    </w:p>
    <w:p w:rsidR="00131E6D" w:rsidRPr="00FC6D6E" w:rsidRDefault="00131E6D" w:rsidP="00131E6D">
      <w:pPr>
        <w:suppressAutoHyphens/>
        <w:autoSpaceDN w:val="0"/>
        <w:spacing w:line="360" w:lineRule="auto"/>
        <w:ind w:firstLine="720"/>
        <w:jc w:val="both"/>
        <w:textAlignment w:val="baseline"/>
        <w:rPr>
          <w:rFonts w:eastAsia="Calibri" w:cstheme="minorHAnsi"/>
        </w:rPr>
      </w:pPr>
      <w:r w:rsidRPr="00FC6D6E">
        <w:rPr>
          <w:rFonts w:eastAsia="Calibri" w:cstheme="minorHAnsi"/>
        </w:rPr>
        <w:t>Student engagement in assessment occasionally takes the form of peer-assessment. In this type of activity, students are required to engross with the standards and criteria, while administering them to compose judgements on their peers’ work (</w:t>
      </w:r>
      <w:proofErr w:type="spellStart"/>
      <w:r w:rsidRPr="00FC6D6E">
        <w:rPr>
          <w:rFonts w:eastAsia="Calibri" w:cstheme="minorHAnsi"/>
        </w:rPr>
        <w:t>Falchikov</w:t>
      </w:r>
      <w:proofErr w:type="spellEnd"/>
      <w:r w:rsidRPr="00FC6D6E">
        <w:rPr>
          <w:rFonts w:eastAsia="Calibri" w:cstheme="minorHAnsi"/>
        </w:rPr>
        <w:t xml:space="preserve"> and Goldfinch, 2000). When students in higher education peer-assess others’ real work, it will often be on those who are studying the same course or related (Topping, 1998). During the first two years of my course, I was required to complete to reflective logs as part of assessment. This included reflecting on one’s experience taking part in psychology dissertation studies, for third year undergraduates conducting research. It was a requirement to peer-assess the way researchers carried out their experiments, if instructions given to one’s self were clear, how the researcher carried themselves (in a professional manner or not) and whether or not they had followed the BPS code of conduct. This peer-assessing assignment was useful </w:t>
      </w:r>
      <w:r w:rsidRPr="00FC6D6E">
        <w:rPr>
          <w:rFonts w:eastAsia="Calibri" w:cstheme="minorHAnsi"/>
        </w:rPr>
        <w:lastRenderedPageBreak/>
        <w:t>in the sense that I now obtained a clear idea of how one should behave, carry out a study, and make sure all materials used were clear to the participant. Reflecting back on my time conducting research in the labs I am confident that I had accomplished what I aimed to do. Peer assessment supplies students with the opportunity to reflect on their own knowledge, build on what they already know, develop interpretations, combine concepts, restore misconceptions along with possessing the ability to interpret and get across their understandings (Roscoe and Chi, 2007).</w:t>
      </w:r>
    </w:p>
    <w:p w:rsidR="00CA0861" w:rsidRPr="00FC6D6E" w:rsidRDefault="00CA0861" w:rsidP="00131E6D">
      <w:pPr>
        <w:suppressAutoHyphens/>
        <w:autoSpaceDN w:val="0"/>
        <w:spacing w:line="360" w:lineRule="auto"/>
        <w:ind w:firstLine="720"/>
        <w:jc w:val="both"/>
        <w:textAlignment w:val="baseline"/>
        <w:rPr>
          <w:rFonts w:eastAsia="Calibri" w:cstheme="minorHAnsi"/>
        </w:rPr>
      </w:pPr>
      <w:r w:rsidRPr="00FC6D6E">
        <w:rPr>
          <w:rFonts w:eastAsia="Calibri" w:cstheme="minorHAnsi"/>
        </w:rPr>
        <w:t>To conclude, it is clear why there has been an increase on students in higher education been asked to reflect and evaluate their time in university. I have myself</w:t>
      </w:r>
      <w:r w:rsidR="00783A71" w:rsidRPr="00FC6D6E">
        <w:rPr>
          <w:rFonts w:eastAsia="Calibri" w:cstheme="minorHAnsi"/>
        </w:rPr>
        <w:t>,</w:t>
      </w:r>
      <w:r w:rsidRPr="00FC6D6E">
        <w:rPr>
          <w:rFonts w:eastAsia="Calibri" w:cstheme="minorHAnsi"/>
        </w:rPr>
        <w:t xml:space="preserve"> found this assignment to be beneficial as I </w:t>
      </w:r>
      <w:r w:rsidR="00783A71" w:rsidRPr="00FC6D6E">
        <w:rPr>
          <w:rFonts w:eastAsia="Calibri" w:cstheme="minorHAnsi"/>
        </w:rPr>
        <w:t>have had the chance to really</w:t>
      </w:r>
      <w:r w:rsidRPr="00FC6D6E">
        <w:rPr>
          <w:rFonts w:eastAsia="Calibri" w:cstheme="minorHAnsi"/>
        </w:rPr>
        <w:t xml:space="preserve"> evaluate the progress one has made during my three years in university. </w:t>
      </w:r>
      <w:r w:rsidR="00A82AB7" w:rsidRPr="00FC6D6E">
        <w:rPr>
          <w:rFonts w:eastAsia="Calibri" w:cstheme="minorHAnsi"/>
        </w:rPr>
        <w:t xml:space="preserve">Compared to first year to now, it can be seen in my assignments on how much one has improved </w:t>
      </w:r>
      <w:r w:rsidR="00DF1CA0" w:rsidRPr="00FC6D6E">
        <w:rPr>
          <w:rFonts w:eastAsia="Calibri" w:cstheme="minorHAnsi"/>
        </w:rPr>
        <w:t xml:space="preserve">academically. </w:t>
      </w:r>
      <w:r w:rsidR="00DB5611" w:rsidRPr="00FC6D6E">
        <w:rPr>
          <w:rFonts w:eastAsia="Calibri" w:cstheme="minorHAnsi"/>
        </w:rPr>
        <w:t xml:space="preserve">The use of group-work has aided myself to better communicate with others, and work in a team situation. The opportunity gained from taking part in a group based research activity really provided one’s self with the experience needed to effectively carry out one’s dissertation research </w:t>
      </w:r>
      <w:r w:rsidR="00633282" w:rsidRPr="00FC6D6E">
        <w:rPr>
          <w:rFonts w:eastAsia="Calibri" w:cstheme="minorHAnsi"/>
        </w:rPr>
        <w:t xml:space="preserve">study </w:t>
      </w:r>
      <w:r w:rsidR="00DB5611" w:rsidRPr="00FC6D6E">
        <w:rPr>
          <w:rFonts w:eastAsia="Calibri" w:cstheme="minorHAnsi"/>
        </w:rPr>
        <w:t>effectively</w:t>
      </w:r>
      <w:r w:rsidR="00633282" w:rsidRPr="00FC6D6E">
        <w:rPr>
          <w:rFonts w:eastAsia="Calibri" w:cstheme="minorHAnsi"/>
        </w:rPr>
        <w:t xml:space="preserve"> and confidently</w:t>
      </w:r>
      <w:r w:rsidR="00DB5611" w:rsidRPr="00FC6D6E">
        <w:rPr>
          <w:rFonts w:eastAsia="Calibri" w:cstheme="minorHAnsi"/>
        </w:rPr>
        <w:t>.</w:t>
      </w:r>
      <w:r w:rsidR="00633282" w:rsidRPr="00FC6D6E">
        <w:rPr>
          <w:rFonts w:eastAsia="Calibri" w:cstheme="minorHAnsi"/>
        </w:rPr>
        <w:t xml:space="preserve"> </w:t>
      </w:r>
      <w:r w:rsidR="00176BFD" w:rsidRPr="00FC6D6E">
        <w:rPr>
          <w:rFonts w:eastAsia="Calibri" w:cstheme="minorHAnsi"/>
        </w:rPr>
        <w:t xml:space="preserve">The feedback received has also been beneficial in my academic writing style, the language used in my essays have also developed over the three years </w:t>
      </w:r>
      <w:r w:rsidR="0045368C" w:rsidRPr="00FC6D6E">
        <w:rPr>
          <w:rFonts w:eastAsia="Calibri" w:cstheme="minorHAnsi"/>
        </w:rPr>
        <w:t xml:space="preserve">which is </w:t>
      </w:r>
      <w:r w:rsidR="009D4542" w:rsidRPr="00FC6D6E">
        <w:rPr>
          <w:rFonts w:eastAsia="Calibri" w:cstheme="minorHAnsi"/>
        </w:rPr>
        <w:t>shown in the grades obtained</w:t>
      </w:r>
      <w:r w:rsidR="0045368C" w:rsidRPr="00FC6D6E">
        <w:rPr>
          <w:rFonts w:eastAsia="Calibri" w:cstheme="minorHAnsi"/>
        </w:rPr>
        <w:t>. Peer-assessing others’ work has also been handy, as this provided one’s self with an insight of what is expected at</w:t>
      </w:r>
      <w:r w:rsidR="00FD6C5B" w:rsidRPr="00FC6D6E">
        <w:rPr>
          <w:rFonts w:eastAsia="Calibri" w:cstheme="minorHAnsi"/>
        </w:rPr>
        <w:t xml:space="preserve"> each level, and what one should expect when conducting a study of their own, for example, lab and researcher etiquette, clear use of materials and so forth.</w:t>
      </w:r>
      <w:r w:rsidR="00DB5611" w:rsidRPr="00FC6D6E">
        <w:rPr>
          <w:rFonts w:eastAsia="Calibri" w:cstheme="minorHAnsi"/>
        </w:rPr>
        <w:t xml:space="preserve"> </w:t>
      </w:r>
    </w:p>
    <w:p w:rsidR="00D701C9" w:rsidRPr="00FC6D6E" w:rsidRDefault="00D701C9" w:rsidP="00131E6D">
      <w:pPr>
        <w:spacing w:line="360" w:lineRule="auto"/>
        <w:ind w:firstLine="720"/>
        <w:jc w:val="both"/>
        <w:rPr>
          <w:rFonts w:eastAsia="Calibri" w:cstheme="minorHAnsi"/>
          <w:b/>
        </w:rPr>
      </w:pPr>
    </w:p>
    <w:p w:rsidR="00C403F7" w:rsidRDefault="00D82E39" w:rsidP="002B757A">
      <w:pPr>
        <w:spacing w:line="360" w:lineRule="auto"/>
        <w:jc w:val="both"/>
        <w:rPr>
          <w:rFonts w:eastAsia="Calibri" w:cstheme="minorHAnsi"/>
        </w:rPr>
      </w:pPr>
      <w:r>
        <w:rPr>
          <w:rFonts w:eastAsia="Calibri" w:cstheme="minorHAnsi"/>
        </w:rPr>
        <w:t xml:space="preserve">Word </w:t>
      </w:r>
      <w:r w:rsidR="00136E9C">
        <w:rPr>
          <w:rFonts w:eastAsia="Calibri" w:cstheme="minorHAnsi"/>
        </w:rPr>
        <w:t>count: 2724</w:t>
      </w: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Pr="00123795" w:rsidRDefault="00C648A7" w:rsidP="002B757A">
      <w:pPr>
        <w:spacing w:line="360" w:lineRule="auto"/>
        <w:jc w:val="both"/>
        <w:rPr>
          <w:rFonts w:eastAsia="Calibri" w:cstheme="minorHAnsi"/>
          <w:sz w:val="24"/>
        </w:rPr>
      </w:pPr>
      <w:r w:rsidRPr="00123795">
        <w:rPr>
          <w:rFonts w:eastAsia="Calibri" w:cstheme="minorHAnsi"/>
          <w:sz w:val="24"/>
        </w:rPr>
        <w:lastRenderedPageBreak/>
        <w:t>Reference list:</w:t>
      </w:r>
    </w:p>
    <w:p w:rsidR="00C648A7" w:rsidRPr="0078102C" w:rsidRDefault="00AA3B3F" w:rsidP="008F6361">
      <w:pPr>
        <w:spacing w:line="360" w:lineRule="auto"/>
        <w:jc w:val="both"/>
        <w:rPr>
          <w:rFonts w:eastAsia="Calibri" w:cstheme="minorHAnsi"/>
        </w:rPr>
      </w:pPr>
      <w:proofErr w:type="spellStart"/>
      <w:r w:rsidRPr="0078102C">
        <w:rPr>
          <w:rFonts w:eastAsia="Calibri" w:cstheme="minorHAnsi"/>
        </w:rPr>
        <w:t>Ashenafi</w:t>
      </w:r>
      <w:proofErr w:type="spellEnd"/>
      <w:r w:rsidRPr="0078102C">
        <w:rPr>
          <w:rFonts w:eastAsia="Calibri" w:cstheme="minorHAnsi"/>
        </w:rPr>
        <w:t>, M.M., 2017. Peer-assessment in higher education-twenty-first century practices, challenges</w:t>
      </w:r>
      <w:r w:rsidRPr="0078102C">
        <w:rPr>
          <w:rFonts w:eastAsia="Calibri" w:cstheme="minorHAnsi"/>
        </w:rPr>
        <w:tab/>
        <w:t xml:space="preserve">and the way forward. </w:t>
      </w:r>
      <w:r w:rsidRPr="00162FA0">
        <w:rPr>
          <w:rFonts w:eastAsia="Calibri" w:cstheme="minorHAnsi"/>
          <w:i/>
        </w:rPr>
        <w:t>Assessment &amp; Evaluation in Higher Education</w:t>
      </w:r>
      <w:r w:rsidRPr="0078102C">
        <w:rPr>
          <w:rFonts w:eastAsia="Calibri" w:cstheme="minorHAnsi"/>
        </w:rPr>
        <w:t>, 42(2), pp.226-251.</w:t>
      </w:r>
    </w:p>
    <w:p w:rsidR="00AA3B3F" w:rsidRPr="0078102C" w:rsidRDefault="00AA3B3F" w:rsidP="008F6361">
      <w:pPr>
        <w:spacing w:line="360" w:lineRule="auto"/>
        <w:jc w:val="both"/>
        <w:rPr>
          <w:rFonts w:eastAsia="Calibri" w:cstheme="minorHAnsi"/>
        </w:rPr>
      </w:pPr>
      <w:r w:rsidRPr="0078102C">
        <w:rPr>
          <w:rFonts w:eastAsia="Calibri" w:cstheme="minorHAnsi"/>
        </w:rPr>
        <w:t>Bacha, N.N., 2002. Developing learners’ academic writing skills in higher education: A study for</w:t>
      </w:r>
      <w:r w:rsidRPr="0078102C">
        <w:rPr>
          <w:rFonts w:eastAsia="Calibri" w:cstheme="minorHAnsi"/>
        </w:rPr>
        <w:tab/>
      </w:r>
      <w:r w:rsidRPr="0078102C">
        <w:rPr>
          <w:rFonts w:eastAsia="Calibri" w:cstheme="minorHAnsi"/>
        </w:rPr>
        <w:tab/>
        <w:t xml:space="preserve">educational reform. </w:t>
      </w:r>
      <w:r w:rsidRPr="00162FA0">
        <w:rPr>
          <w:rFonts w:eastAsia="Calibri" w:cstheme="minorHAnsi"/>
          <w:i/>
        </w:rPr>
        <w:t>Language and Education</w:t>
      </w:r>
      <w:r w:rsidRPr="0078102C">
        <w:rPr>
          <w:rFonts w:eastAsia="Calibri" w:cstheme="minorHAnsi"/>
        </w:rPr>
        <w:t>, 16(3), pp.161-177.</w:t>
      </w:r>
    </w:p>
    <w:p w:rsidR="00AA3B3F" w:rsidRPr="0078102C" w:rsidRDefault="00AA3B3F" w:rsidP="008F6361">
      <w:pPr>
        <w:spacing w:line="360" w:lineRule="auto"/>
        <w:jc w:val="both"/>
        <w:rPr>
          <w:rFonts w:eastAsia="Calibri" w:cstheme="minorHAnsi"/>
        </w:rPr>
      </w:pPr>
      <w:r w:rsidRPr="0078102C">
        <w:rPr>
          <w:rFonts w:eastAsia="Calibri" w:cstheme="minorHAnsi"/>
        </w:rPr>
        <w:t>Black, P. and William, D., 1998. Assessment and classroom learning. Assessment in Education:</w:t>
      </w:r>
      <w:r w:rsidRPr="0078102C">
        <w:rPr>
          <w:rFonts w:eastAsia="Calibri" w:cstheme="minorHAnsi"/>
        </w:rPr>
        <w:tab/>
      </w:r>
      <w:r w:rsidRPr="0078102C">
        <w:rPr>
          <w:rFonts w:eastAsia="Calibri" w:cstheme="minorHAnsi"/>
        </w:rPr>
        <w:tab/>
      </w:r>
      <w:r w:rsidRPr="00162FA0">
        <w:rPr>
          <w:rFonts w:eastAsia="Calibri" w:cstheme="minorHAnsi"/>
          <w:i/>
        </w:rPr>
        <w:t>principles, policy &amp; practice</w:t>
      </w:r>
      <w:r w:rsidRPr="0078102C">
        <w:rPr>
          <w:rFonts w:eastAsia="Calibri" w:cstheme="minorHAnsi"/>
        </w:rPr>
        <w:t>, 5(1), pp. 7-74.</w:t>
      </w:r>
    </w:p>
    <w:p w:rsidR="00AA3B3F" w:rsidRPr="0078102C" w:rsidRDefault="00AA3B3F" w:rsidP="008F6361">
      <w:pPr>
        <w:spacing w:line="360" w:lineRule="auto"/>
        <w:jc w:val="both"/>
        <w:rPr>
          <w:rFonts w:eastAsia="Calibri" w:cstheme="minorHAnsi"/>
        </w:rPr>
      </w:pPr>
      <w:r w:rsidRPr="0078102C">
        <w:rPr>
          <w:rFonts w:eastAsia="Calibri" w:cstheme="minorHAnsi"/>
        </w:rPr>
        <w:t xml:space="preserve">Black, P., Harrison, C. and Lee, C., 2003. </w:t>
      </w:r>
      <w:r w:rsidRPr="00162FA0">
        <w:rPr>
          <w:rFonts w:eastAsia="Calibri" w:cstheme="minorHAnsi"/>
          <w:i/>
        </w:rPr>
        <w:t xml:space="preserve">Assessment for learning: Putting it into practice. </w:t>
      </w:r>
      <w:r w:rsidRPr="0078102C">
        <w:rPr>
          <w:rFonts w:eastAsia="Calibri" w:cstheme="minorHAnsi"/>
        </w:rPr>
        <w:t>McGraw-Hill</w:t>
      </w:r>
      <w:r w:rsidRPr="0078102C">
        <w:rPr>
          <w:rFonts w:eastAsia="Calibri" w:cstheme="minorHAnsi"/>
        </w:rPr>
        <w:tab/>
        <w:t>Education (UK).</w:t>
      </w:r>
    </w:p>
    <w:p w:rsidR="00AA3B3F" w:rsidRPr="0078102C" w:rsidRDefault="00AA3B3F" w:rsidP="008F6361">
      <w:pPr>
        <w:spacing w:line="360" w:lineRule="auto"/>
        <w:jc w:val="both"/>
        <w:rPr>
          <w:rFonts w:eastAsia="Calibri" w:cstheme="minorHAnsi"/>
        </w:rPr>
      </w:pPr>
      <w:proofErr w:type="spellStart"/>
      <w:r w:rsidRPr="0078102C">
        <w:rPr>
          <w:rFonts w:eastAsia="Calibri" w:cstheme="minorHAnsi"/>
        </w:rPr>
        <w:t>Boud</w:t>
      </w:r>
      <w:proofErr w:type="spellEnd"/>
      <w:r w:rsidRPr="0078102C">
        <w:rPr>
          <w:rFonts w:eastAsia="Calibri" w:cstheme="minorHAnsi"/>
        </w:rPr>
        <w:t xml:space="preserve">, D., Cohen, R. and Sampson, J., 2014. </w:t>
      </w:r>
      <w:r w:rsidRPr="00162FA0">
        <w:rPr>
          <w:rFonts w:eastAsia="Calibri" w:cstheme="minorHAnsi"/>
          <w:i/>
        </w:rPr>
        <w:t>Peer learning in higher education: Learning from and with</w:t>
      </w:r>
      <w:r w:rsidRPr="00162FA0">
        <w:rPr>
          <w:rFonts w:eastAsia="Calibri" w:cstheme="minorHAnsi"/>
          <w:i/>
        </w:rPr>
        <w:tab/>
        <w:t>each other.</w:t>
      </w:r>
      <w:r w:rsidRPr="0078102C">
        <w:rPr>
          <w:rFonts w:eastAsia="Calibri" w:cstheme="minorHAnsi"/>
        </w:rPr>
        <w:t xml:space="preserve"> Routledge.</w:t>
      </w:r>
      <w:bookmarkStart w:id="0" w:name="_GoBack"/>
      <w:bookmarkEnd w:id="0"/>
    </w:p>
    <w:p w:rsidR="008F6361" w:rsidRPr="0078102C" w:rsidRDefault="008F6361" w:rsidP="008F6361">
      <w:pPr>
        <w:spacing w:line="360" w:lineRule="auto"/>
        <w:jc w:val="both"/>
        <w:rPr>
          <w:rFonts w:eastAsia="Calibri" w:cstheme="minorHAnsi"/>
        </w:rPr>
      </w:pPr>
      <w:r w:rsidRPr="0078102C">
        <w:rPr>
          <w:rFonts w:eastAsia="Calibri" w:cstheme="minorHAnsi"/>
        </w:rPr>
        <w:t xml:space="preserve">Craig, J.L., 2012. </w:t>
      </w:r>
      <w:r w:rsidRPr="00162FA0">
        <w:rPr>
          <w:rFonts w:eastAsia="Calibri" w:cstheme="minorHAnsi"/>
          <w:i/>
        </w:rPr>
        <w:t>Integrating writing strategies in EFL/ESL university contexts: A writing-across-the-</w:t>
      </w:r>
      <w:r w:rsidRPr="00162FA0">
        <w:rPr>
          <w:rFonts w:eastAsia="Calibri" w:cstheme="minorHAnsi"/>
          <w:i/>
        </w:rPr>
        <w:tab/>
        <w:t>curriculum approach</w:t>
      </w:r>
      <w:r w:rsidRPr="0078102C">
        <w:rPr>
          <w:rFonts w:eastAsia="Calibri" w:cstheme="minorHAnsi"/>
        </w:rPr>
        <w:t xml:space="preserve">. Routledge. </w:t>
      </w:r>
    </w:p>
    <w:p w:rsidR="008F6361" w:rsidRPr="0078102C" w:rsidRDefault="008F6361" w:rsidP="008F6361">
      <w:pPr>
        <w:spacing w:line="360" w:lineRule="auto"/>
        <w:jc w:val="both"/>
        <w:rPr>
          <w:rFonts w:eastAsia="Calibri" w:cstheme="minorHAnsi"/>
        </w:rPr>
      </w:pPr>
      <w:proofErr w:type="spellStart"/>
      <w:r w:rsidRPr="0078102C">
        <w:rPr>
          <w:rFonts w:eastAsia="Calibri" w:cstheme="minorHAnsi"/>
        </w:rPr>
        <w:t>Falchikov</w:t>
      </w:r>
      <w:proofErr w:type="spellEnd"/>
      <w:r w:rsidRPr="0078102C">
        <w:rPr>
          <w:rFonts w:eastAsia="Calibri" w:cstheme="minorHAnsi"/>
        </w:rPr>
        <w:t>, N. and Goldfinch, J., 2000. Student peer assessment in higher education: A meta-analysis</w:t>
      </w:r>
      <w:r w:rsidRPr="0078102C">
        <w:rPr>
          <w:rFonts w:eastAsia="Calibri" w:cstheme="minorHAnsi"/>
        </w:rPr>
        <w:tab/>
        <w:t xml:space="preserve">comparing peer and teacher marks. </w:t>
      </w:r>
      <w:r w:rsidRPr="00162FA0">
        <w:rPr>
          <w:rFonts w:eastAsia="Calibri" w:cstheme="minorHAnsi"/>
          <w:i/>
        </w:rPr>
        <w:t>Review of educational research</w:t>
      </w:r>
      <w:r w:rsidRPr="0078102C">
        <w:rPr>
          <w:rFonts w:eastAsia="Calibri" w:cstheme="minorHAnsi"/>
        </w:rPr>
        <w:t>, 70(3), pp.297-322.</w:t>
      </w:r>
    </w:p>
    <w:p w:rsidR="008F6361" w:rsidRPr="0078102C" w:rsidRDefault="008F6361" w:rsidP="008F6361">
      <w:pPr>
        <w:spacing w:line="360" w:lineRule="auto"/>
        <w:jc w:val="both"/>
        <w:rPr>
          <w:rFonts w:eastAsia="Calibri" w:cstheme="minorHAnsi"/>
        </w:rPr>
      </w:pPr>
      <w:proofErr w:type="spellStart"/>
      <w:r w:rsidRPr="0078102C">
        <w:rPr>
          <w:rFonts w:eastAsia="Calibri" w:cstheme="minorHAnsi"/>
        </w:rPr>
        <w:t>Fullana</w:t>
      </w:r>
      <w:proofErr w:type="spellEnd"/>
      <w:r w:rsidRPr="0078102C">
        <w:rPr>
          <w:rFonts w:eastAsia="Calibri" w:cstheme="minorHAnsi"/>
        </w:rPr>
        <w:t xml:space="preserve">, J., </w:t>
      </w:r>
      <w:proofErr w:type="spellStart"/>
      <w:r w:rsidRPr="0078102C">
        <w:rPr>
          <w:rFonts w:eastAsia="Calibri" w:cstheme="minorHAnsi"/>
        </w:rPr>
        <w:t>Pallisera</w:t>
      </w:r>
      <w:proofErr w:type="spellEnd"/>
      <w:r w:rsidRPr="0078102C">
        <w:rPr>
          <w:rFonts w:eastAsia="Calibri" w:cstheme="minorHAnsi"/>
        </w:rPr>
        <w:t xml:space="preserve">, M., </w:t>
      </w:r>
      <w:proofErr w:type="spellStart"/>
      <w:r w:rsidRPr="0078102C">
        <w:rPr>
          <w:rFonts w:eastAsia="Calibri" w:cstheme="minorHAnsi"/>
        </w:rPr>
        <w:t>Colomer</w:t>
      </w:r>
      <w:proofErr w:type="spellEnd"/>
      <w:r w:rsidRPr="0078102C">
        <w:rPr>
          <w:rFonts w:eastAsia="Calibri" w:cstheme="minorHAnsi"/>
        </w:rPr>
        <w:t xml:space="preserve">, J., </w:t>
      </w:r>
      <w:proofErr w:type="spellStart"/>
      <w:r w:rsidRPr="0078102C">
        <w:rPr>
          <w:rFonts w:eastAsia="Calibri" w:cstheme="minorHAnsi"/>
        </w:rPr>
        <w:t>Ferandez</w:t>
      </w:r>
      <w:proofErr w:type="spellEnd"/>
      <w:r w:rsidRPr="0078102C">
        <w:rPr>
          <w:rFonts w:eastAsia="Calibri" w:cstheme="minorHAnsi"/>
        </w:rPr>
        <w:t xml:space="preserve"> Pena, R. and Perez-</w:t>
      </w:r>
      <w:proofErr w:type="spellStart"/>
      <w:r w:rsidRPr="0078102C">
        <w:rPr>
          <w:rFonts w:eastAsia="Calibri" w:cstheme="minorHAnsi"/>
        </w:rPr>
        <w:t>Burriel</w:t>
      </w:r>
      <w:proofErr w:type="spellEnd"/>
      <w:r w:rsidRPr="0078102C">
        <w:rPr>
          <w:rFonts w:eastAsia="Calibri" w:cstheme="minorHAnsi"/>
        </w:rPr>
        <w:t>, M., 2016. Reflective learning</w:t>
      </w:r>
      <w:r w:rsidRPr="0078102C">
        <w:rPr>
          <w:rFonts w:eastAsia="Calibri" w:cstheme="minorHAnsi"/>
        </w:rPr>
        <w:tab/>
        <w:t>in higher education: A qualitative study on students’ perceptions</w:t>
      </w:r>
      <w:r w:rsidRPr="00162FA0">
        <w:rPr>
          <w:rFonts w:eastAsia="Calibri" w:cstheme="minorHAnsi"/>
          <w:i/>
        </w:rPr>
        <w:t>. Studies in Higher Education</w:t>
      </w:r>
      <w:r w:rsidRPr="0078102C">
        <w:rPr>
          <w:rFonts w:eastAsia="Calibri" w:cstheme="minorHAnsi"/>
        </w:rPr>
        <w:t>,</w:t>
      </w:r>
      <w:r w:rsidRPr="0078102C">
        <w:rPr>
          <w:rFonts w:eastAsia="Calibri" w:cstheme="minorHAnsi"/>
        </w:rPr>
        <w:tab/>
        <w:t>41(6), pp.1008-1022.</w:t>
      </w:r>
    </w:p>
    <w:p w:rsidR="008F6361" w:rsidRPr="0078102C" w:rsidRDefault="008F6361" w:rsidP="008F6361">
      <w:pPr>
        <w:spacing w:line="360" w:lineRule="auto"/>
        <w:jc w:val="both"/>
        <w:rPr>
          <w:rFonts w:eastAsia="Calibri" w:cstheme="minorHAnsi"/>
        </w:rPr>
      </w:pPr>
      <w:r w:rsidRPr="0078102C">
        <w:rPr>
          <w:rFonts w:eastAsia="Calibri" w:cstheme="minorHAnsi"/>
        </w:rPr>
        <w:t xml:space="preserve">Granville, S. and </w:t>
      </w:r>
      <w:proofErr w:type="spellStart"/>
      <w:r w:rsidRPr="0078102C">
        <w:rPr>
          <w:rFonts w:eastAsia="Calibri" w:cstheme="minorHAnsi"/>
        </w:rPr>
        <w:t>Dison</w:t>
      </w:r>
      <w:proofErr w:type="spellEnd"/>
      <w:r w:rsidRPr="0078102C">
        <w:rPr>
          <w:rFonts w:eastAsia="Calibri" w:cstheme="minorHAnsi"/>
        </w:rPr>
        <w:t xml:space="preserve">, L., 2005. Thinking about thinking: Integrating self-reflection into an academic </w:t>
      </w:r>
      <w:r w:rsidRPr="0078102C">
        <w:rPr>
          <w:rFonts w:eastAsia="Calibri" w:cstheme="minorHAnsi"/>
        </w:rPr>
        <w:tab/>
        <w:t xml:space="preserve">literacy course. </w:t>
      </w:r>
      <w:r w:rsidRPr="00162FA0">
        <w:rPr>
          <w:rFonts w:eastAsia="Calibri" w:cstheme="minorHAnsi"/>
          <w:i/>
        </w:rPr>
        <w:t>Journal of English for Academic Purposes</w:t>
      </w:r>
      <w:r w:rsidRPr="0078102C">
        <w:rPr>
          <w:rFonts w:eastAsia="Calibri" w:cstheme="minorHAnsi"/>
        </w:rPr>
        <w:t>, 4(2), pp.99-118.</w:t>
      </w:r>
    </w:p>
    <w:p w:rsidR="00A348BF" w:rsidRPr="0078102C" w:rsidRDefault="00A348BF" w:rsidP="00A348BF">
      <w:pPr>
        <w:suppressAutoHyphens/>
        <w:autoSpaceDN w:val="0"/>
        <w:spacing w:line="240" w:lineRule="auto"/>
        <w:jc w:val="both"/>
        <w:textAlignment w:val="baseline"/>
        <w:rPr>
          <w:rFonts w:eastAsia="Calibri" w:cstheme="minorHAnsi"/>
          <w:shd w:val="clear" w:color="auto" w:fill="FFFFFF"/>
        </w:rPr>
      </w:pPr>
      <w:r w:rsidRPr="00A348BF">
        <w:rPr>
          <w:rFonts w:eastAsia="Calibri" w:cstheme="minorHAnsi"/>
          <w:shd w:val="clear" w:color="auto" w:fill="FFFFFF"/>
        </w:rPr>
        <w:t xml:space="preserve">Harris, T.E. and </w:t>
      </w:r>
      <w:proofErr w:type="spellStart"/>
      <w:r w:rsidRPr="00A348BF">
        <w:rPr>
          <w:rFonts w:eastAsia="Calibri" w:cstheme="minorHAnsi"/>
          <w:shd w:val="clear" w:color="auto" w:fill="FFFFFF"/>
        </w:rPr>
        <w:t>Sherblom</w:t>
      </w:r>
      <w:proofErr w:type="spellEnd"/>
      <w:r w:rsidRPr="00A348BF">
        <w:rPr>
          <w:rFonts w:eastAsia="Calibri" w:cstheme="minorHAnsi"/>
          <w:shd w:val="clear" w:color="auto" w:fill="FFFFFF"/>
        </w:rPr>
        <w:t>, J.C., 2018. </w:t>
      </w:r>
      <w:r w:rsidRPr="00A348BF">
        <w:rPr>
          <w:rFonts w:eastAsia="Calibri" w:cstheme="minorHAnsi"/>
          <w:i/>
          <w:iCs/>
          <w:shd w:val="clear" w:color="auto" w:fill="FFFFFF"/>
        </w:rPr>
        <w:t>Small group and team communication</w:t>
      </w:r>
      <w:r w:rsidRPr="00A348BF">
        <w:rPr>
          <w:rFonts w:eastAsia="Calibri" w:cstheme="minorHAnsi"/>
          <w:shd w:val="clear" w:color="auto" w:fill="FFFFFF"/>
        </w:rPr>
        <w:t>. Waveland Press.</w:t>
      </w:r>
    </w:p>
    <w:p w:rsidR="00A348BF" w:rsidRPr="0078102C" w:rsidRDefault="00A348BF" w:rsidP="00A348BF">
      <w:pPr>
        <w:suppressAutoHyphens/>
        <w:autoSpaceDN w:val="0"/>
        <w:spacing w:line="360" w:lineRule="auto"/>
        <w:jc w:val="both"/>
        <w:textAlignment w:val="baseline"/>
        <w:rPr>
          <w:rFonts w:eastAsia="Calibri" w:cstheme="minorHAnsi"/>
          <w:shd w:val="clear" w:color="auto" w:fill="FFFFFF"/>
        </w:rPr>
      </w:pPr>
      <w:proofErr w:type="spellStart"/>
      <w:r w:rsidRPr="0078102C">
        <w:rPr>
          <w:rFonts w:eastAsia="Calibri" w:cstheme="minorHAnsi"/>
          <w:shd w:val="clear" w:color="auto" w:fill="FFFFFF"/>
        </w:rPr>
        <w:t>Hassanien</w:t>
      </w:r>
      <w:proofErr w:type="spellEnd"/>
      <w:r w:rsidRPr="0078102C">
        <w:rPr>
          <w:rFonts w:eastAsia="Calibri" w:cstheme="minorHAnsi"/>
          <w:shd w:val="clear" w:color="auto" w:fill="FFFFFF"/>
        </w:rPr>
        <w:t>, A., 2007. A Qualitative Student Evaluation of Group Learning in Higher Education. </w:t>
      </w:r>
      <w:r w:rsidRPr="00162FA0">
        <w:rPr>
          <w:rFonts w:eastAsia="Calibri" w:cstheme="minorHAnsi"/>
          <w:i/>
          <w:shd w:val="clear" w:color="auto" w:fill="FFFFFF"/>
        </w:rPr>
        <w:t>Higher</w:t>
      </w:r>
      <w:r w:rsidRPr="00162FA0">
        <w:rPr>
          <w:rFonts w:eastAsia="Calibri" w:cstheme="minorHAnsi"/>
          <w:i/>
          <w:shd w:val="clear" w:color="auto" w:fill="FFFFFF"/>
        </w:rPr>
        <w:tab/>
        <w:t>Education in Europe</w:t>
      </w:r>
      <w:r w:rsidRPr="0078102C">
        <w:rPr>
          <w:rFonts w:eastAsia="Calibri" w:cstheme="minorHAnsi"/>
          <w:shd w:val="clear" w:color="auto" w:fill="FFFFFF"/>
        </w:rPr>
        <w:t>, 32(2/3), pp.135–151.</w:t>
      </w:r>
    </w:p>
    <w:p w:rsidR="00A348BF" w:rsidRPr="0078102C" w:rsidRDefault="00A348BF" w:rsidP="00A348BF">
      <w:pPr>
        <w:suppressAutoHyphens/>
        <w:autoSpaceDN w:val="0"/>
        <w:spacing w:line="360" w:lineRule="auto"/>
        <w:jc w:val="both"/>
        <w:textAlignment w:val="baseline"/>
        <w:rPr>
          <w:rFonts w:eastAsia="Calibri" w:cstheme="minorHAnsi"/>
          <w:shd w:val="clear" w:color="auto" w:fill="FFFFFF"/>
        </w:rPr>
      </w:pPr>
      <w:r w:rsidRPr="00A348BF">
        <w:rPr>
          <w:rFonts w:eastAsia="Calibri" w:cstheme="minorHAnsi"/>
          <w:shd w:val="clear" w:color="auto" w:fill="FFFFFF"/>
        </w:rPr>
        <w:t>Hester, V., 2001. Responding to Student Writing: Locating Our Theory/Practice among Communities.</w:t>
      </w:r>
    </w:p>
    <w:p w:rsidR="00A348BF" w:rsidRPr="0078102C" w:rsidRDefault="00A348BF" w:rsidP="00407839">
      <w:pPr>
        <w:suppressAutoHyphens/>
        <w:autoSpaceDN w:val="0"/>
        <w:spacing w:line="360" w:lineRule="auto"/>
        <w:jc w:val="both"/>
        <w:textAlignment w:val="baseline"/>
        <w:rPr>
          <w:rFonts w:cstheme="minorHAnsi"/>
          <w:shd w:val="clear" w:color="auto" w:fill="FFFFFF"/>
        </w:rPr>
      </w:pPr>
      <w:r w:rsidRPr="0078102C">
        <w:rPr>
          <w:rFonts w:cstheme="minorHAnsi"/>
          <w:shd w:val="clear" w:color="auto" w:fill="FFFFFF"/>
        </w:rPr>
        <w:t>Johnson, D.W., Johnson, R.T. and Smith, K.A., 2014. Cooperative learning: Improving university</w:t>
      </w:r>
      <w:r w:rsidRPr="0078102C">
        <w:rPr>
          <w:rFonts w:cstheme="minorHAnsi"/>
          <w:shd w:val="clear" w:color="auto" w:fill="FFFFFF"/>
        </w:rPr>
        <w:tab/>
      </w:r>
      <w:r w:rsidRPr="0078102C">
        <w:rPr>
          <w:rFonts w:cstheme="minorHAnsi"/>
          <w:shd w:val="clear" w:color="auto" w:fill="FFFFFF"/>
        </w:rPr>
        <w:tab/>
      </w:r>
      <w:r w:rsidR="00407839" w:rsidRPr="0078102C">
        <w:rPr>
          <w:rFonts w:cstheme="minorHAnsi"/>
          <w:shd w:val="clear" w:color="auto" w:fill="FFFFFF"/>
        </w:rPr>
        <w:t>instruction by basing practice on validated theory. </w:t>
      </w:r>
      <w:r w:rsidR="00407839" w:rsidRPr="0078102C">
        <w:rPr>
          <w:rFonts w:cstheme="minorHAnsi"/>
          <w:i/>
          <w:iCs/>
          <w:shd w:val="clear" w:color="auto" w:fill="FFFFFF"/>
        </w:rPr>
        <w:t>Journal on Excellence in University</w:t>
      </w:r>
      <w:r w:rsidR="00407839" w:rsidRPr="0078102C">
        <w:rPr>
          <w:rFonts w:cstheme="minorHAnsi"/>
          <w:i/>
          <w:iCs/>
          <w:shd w:val="clear" w:color="auto" w:fill="FFFFFF"/>
        </w:rPr>
        <w:tab/>
      </w:r>
      <w:r w:rsidR="00407839" w:rsidRPr="0078102C">
        <w:rPr>
          <w:rFonts w:cstheme="minorHAnsi"/>
          <w:i/>
          <w:iCs/>
          <w:shd w:val="clear" w:color="auto" w:fill="FFFFFF"/>
        </w:rPr>
        <w:tab/>
        <w:t>Teaching</w:t>
      </w:r>
      <w:r w:rsidR="00407839" w:rsidRPr="0078102C">
        <w:rPr>
          <w:rFonts w:cstheme="minorHAnsi"/>
          <w:shd w:val="clear" w:color="auto" w:fill="FFFFFF"/>
        </w:rPr>
        <w:t>, </w:t>
      </w:r>
      <w:r w:rsidR="00407839" w:rsidRPr="0078102C">
        <w:rPr>
          <w:rFonts w:cstheme="minorHAnsi"/>
          <w:i/>
          <w:iCs/>
          <w:shd w:val="clear" w:color="auto" w:fill="FFFFFF"/>
        </w:rPr>
        <w:t>25</w:t>
      </w:r>
      <w:r w:rsidR="00407839" w:rsidRPr="0078102C">
        <w:rPr>
          <w:rFonts w:cstheme="minorHAnsi"/>
          <w:shd w:val="clear" w:color="auto" w:fill="FFFFFF"/>
        </w:rPr>
        <w:t>(4), pp.1-26.</w:t>
      </w:r>
    </w:p>
    <w:p w:rsidR="00407839" w:rsidRPr="0078102C" w:rsidRDefault="00407839" w:rsidP="00407839">
      <w:pPr>
        <w:suppressAutoHyphens/>
        <w:autoSpaceDN w:val="0"/>
        <w:spacing w:line="360" w:lineRule="auto"/>
        <w:jc w:val="both"/>
        <w:textAlignment w:val="baseline"/>
        <w:rPr>
          <w:rFonts w:cstheme="minorHAnsi"/>
          <w:shd w:val="clear" w:color="auto" w:fill="FFFFFF"/>
        </w:rPr>
      </w:pPr>
      <w:proofErr w:type="spellStart"/>
      <w:r w:rsidRPr="0078102C">
        <w:rPr>
          <w:rFonts w:cstheme="minorHAnsi"/>
          <w:shd w:val="clear" w:color="auto" w:fill="FFFFFF"/>
        </w:rPr>
        <w:lastRenderedPageBreak/>
        <w:t>Lavy</w:t>
      </w:r>
      <w:proofErr w:type="spellEnd"/>
      <w:r w:rsidRPr="0078102C">
        <w:rPr>
          <w:rFonts w:cstheme="minorHAnsi"/>
          <w:shd w:val="clear" w:color="auto" w:fill="FFFFFF"/>
        </w:rPr>
        <w:t>, Shiri, 2017. Who Benefits from Group Work in Higher Education? An Attachment Theory</w:t>
      </w:r>
      <w:r w:rsidRPr="0078102C">
        <w:rPr>
          <w:rFonts w:cstheme="minorHAnsi"/>
          <w:shd w:val="clear" w:color="auto" w:fill="FFFFFF"/>
        </w:rPr>
        <w:tab/>
      </w:r>
      <w:r w:rsidRPr="0078102C">
        <w:rPr>
          <w:rFonts w:cstheme="minorHAnsi"/>
          <w:shd w:val="clear" w:color="auto" w:fill="FFFFFF"/>
        </w:rPr>
        <w:tab/>
        <w:t>Perspective. </w:t>
      </w:r>
      <w:r w:rsidRPr="0078102C">
        <w:rPr>
          <w:rFonts w:cstheme="minorHAnsi"/>
          <w:i/>
          <w:iCs/>
          <w:shd w:val="clear" w:color="auto" w:fill="FFFFFF"/>
        </w:rPr>
        <w:t>Higher Education: The International Journal of Higher Education Research</w:t>
      </w:r>
      <w:r w:rsidRPr="0078102C">
        <w:rPr>
          <w:rFonts w:cstheme="minorHAnsi"/>
          <w:shd w:val="clear" w:color="auto" w:fill="FFFFFF"/>
        </w:rPr>
        <w:t>,</w:t>
      </w:r>
      <w:r w:rsidRPr="0078102C">
        <w:rPr>
          <w:rFonts w:cstheme="minorHAnsi"/>
          <w:shd w:val="clear" w:color="auto" w:fill="FFFFFF"/>
        </w:rPr>
        <w:tab/>
      </w:r>
      <w:r w:rsidRPr="0078102C">
        <w:rPr>
          <w:rFonts w:cstheme="minorHAnsi"/>
          <w:shd w:val="clear" w:color="auto" w:fill="FFFFFF"/>
        </w:rPr>
        <w:tab/>
        <w:t>73(2), pp.175–187</w:t>
      </w:r>
    </w:p>
    <w:p w:rsidR="0078102C" w:rsidRPr="0078102C" w:rsidRDefault="0078102C" w:rsidP="0078102C">
      <w:pPr>
        <w:suppressAutoHyphens/>
        <w:autoSpaceDN w:val="0"/>
        <w:spacing w:line="360" w:lineRule="auto"/>
        <w:jc w:val="both"/>
        <w:textAlignment w:val="baseline"/>
        <w:rPr>
          <w:rFonts w:eastAsia="Calibri" w:cstheme="minorHAnsi"/>
          <w:shd w:val="clear" w:color="auto" w:fill="FFFFFF"/>
        </w:rPr>
      </w:pPr>
      <w:r w:rsidRPr="0078102C">
        <w:rPr>
          <w:rFonts w:cstheme="minorHAnsi"/>
          <w:shd w:val="clear" w:color="auto" w:fill="FFFFFF"/>
        </w:rPr>
        <w:t>Lillis, T. and Turner, J., 2001. Student writing in higher education: contemporary confusion, traditional</w:t>
      </w:r>
      <w:r w:rsidRPr="0078102C">
        <w:rPr>
          <w:rFonts w:cstheme="minorHAnsi"/>
          <w:shd w:val="clear" w:color="auto" w:fill="FFFFFF"/>
        </w:rPr>
        <w:tab/>
      </w:r>
      <w:r w:rsidRPr="0078102C">
        <w:rPr>
          <w:rFonts w:eastAsia="Calibri" w:cstheme="minorHAnsi"/>
          <w:shd w:val="clear" w:color="auto" w:fill="FFFFFF"/>
        </w:rPr>
        <w:t>concerns. </w:t>
      </w:r>
      <w:r w:rsidRPr="0078102C">
        <w:rPr>
          <w:rFonts w:eastAsia="Calibri" w:cstheme="minorHAnsi"/>
          <w:i/>
          <w:iCs/>
          <w:shd w:val="clear" w:color="auto" w:fill="FFFFFF"/>
        </w:rPr>
        <w:t>Teaching in higher education</w:t>
      </w:r>
      <w:r w:rsidRPr="0078102C">
        <w:rPr>
          <w:rFonts w:eastAsia="Calibri" w:cstheme="minorHAnsi"/>
          <w:shd w:val="clear" w:color="auto" w:fill="FFFFFF"/>
        </w:rPr>
        <w:t>, </w:t>
      </w:r>
      <w:r w:rsidRPr="0078102C">
        <w:rPr>
          <w:rFonts w:eastAsia="Calibri" w:cstheme="minorHAnsi"/>
          <w:i/>
          <w:iCs/>
          <w:shd w:val="clear" w:color="auto" w:fill="FFFFFF"/>
        </w:rPr>
        <w:t>6</w:t>
      </w:r>
      <w:r w:rsidRPr="0078102C">
        <w:rPr>
          <w:rFonts w:eastAsia="Calibri" w:cstheme="minorHAnsi"/>
          <w:shd w:val="clear" w:color="auto" w:fill="FFFFFF"/>
        </w:rPr>
        <w:t>(1), pp.57-68.</w:t>
      </w:r>
    </w:p>
    <w:p w:rsidR="0078102C" w:rsidRPr="0078102C" w:rsidRDefault="0078102C" w:rsidP="0078102C">
      <w:pPr>
        <w:suppressAutoHyphens/>
        <w:autoSpaceDN w:val="0"/>
        <w:spacing w:line="360" w:lineRule="auto"/>
        <w:jc w:val="both"/>
        <w:textAlignment w:val="baseline"/>
        <w:rPr>
          <w:rFonts w:cstheme="minorHAnsi"/>
          <w:shd w:val="clear" w:color="auto" w:fill="FFFFFF"/>
        </w:rPr>
      </w:pPr>
      <w:proofErr w:type="spellStart"/>
      <w:r w:rsidRPr="0078102C">
        <w:rPr>
          <w:rFonts w:cstheme="minorHAnsi"/>
          <w:shd w:val="clear" w:color="auto" w:fill="FFFFFF"/>
        </w:rPr>
        <w:t>Lizzio</w:t>
      </w:r>
      <w:proofErr w:type="spellEnd"/>
      <w:r w:rsidRPr="0078102C">
        <w:rPr>
          <w:rFonts w:cstheme="minorHAnsi"/>
          <w:shd w:val="clear" w:color="auto" w:fill="FFFFFF"/>
        </w:rPr>
        <w:t xml:space="preserve">, A. and Wilson, K., 2008. Feedback on assessment: students’ perceptions of quality and </w:t>
      </w:r>
      <w:r w:rsidRPr="0078102C">
        <w:rPr>
          <w:rFonts w:cstheme="minorHAnsi"/>
          <w:shd w:val="clear" w:color="auto" w:fill="FFFFFF"/>
        </w:rPr>
        <w:tab/>
      </w:r>
      <w:r w:rsidRPr="0078102C">
        <w:rPr>
          <w:rFonts w:cstheme="minorHAnsi"/>
          <w:shd w:val="clear" w:color="auto" w:fill="FFFFFF"/>
        </w:rPr>
        <w:tab/>
        <w:t>effectiveness. </w:t>
      </w:r>
      <w:r w:rsidRPr="0078102C">
        <w:rPr>
          <w:rFonts w:cstheme="minorHAnsi"/>
          <w:i/>
          <w:iCs/>
          <w:shd w:val="clear" w:color="auto" w:fill="FFFFFF"/>
        </w:rPr>
        <w:t>Assessment &amp; evaluation in higher education</w:t>
      </w:r>
      <w:r w:rsidRPr="0078102C">
        <w:rPr>
          <w:rFonts w:cstheme="minorHAnsi"/>
          <w:shd w:val="clear" w:color="auto" w:fill="FFFFFF"/>
        </w:rPr>
        <w:t>, </w:t>
      </w:r>
      <w:r w:rsidRPr="0078102C">
        <w:rPr>
          <w:rFonts w:cstheme="minorHAnsi"/>
          <w:i/>
          <w:iCs/>
          <w:shd w:val="clear" w:color="auto" w:fill="FFFFFF"/>
        </w:rPr>
        <w:t>33</w:t>
      </w:r>
      <w:r w:rsidRPr="0078102C">
        <w:rPr>
          <w:rFonts w:cstheme="minorHAnsi"/>
          <w:shd w:val="clear" w:color="auto" w:fill="FFFFFF"/>
        </w:rPr>
        <w:t>(3), pp.263-275.</w:t>
      </w:r>
    </w:p>
    <w:p w:rsidR="0078102C" w:rsidRPr="0078102C" w:rsidRDefault="0078102C" w:rsidP="0078102C">
      <w:pPr>
        <w:suppressAutoHyphens/>
        <w:autoSpaceDN w:val="0"/>
        <w:spacing w:line="360" w:lineRule="auto"/>
        <w:jc w:val="both"/>
        <w:textAlignment w:val="baseline"/>
        <w:rPr>
          <w:rFonts w:cstheme="minorHAnsi"/>
          <w:shd w:val="clear" w:color="auto" w:fill="FFFFFF"/>
        </w:rPr>
      </w:pPr>
      <w:r w:rsidRPr="0078102C">
        <w:rPr>
          <w:rFonts w:cstheme="minorHAnsi"/>
          <w:shd w:val="clear" w:color="auto" w:fill="FFFFFF"/>
        </w:rPr>
        <w:t xml:space="preserve">Metcalfe, J. and </w:t>
      </w:r>
      <w:proofErr w:type="spellStart"/>
      <w:r w:rsidRPr="0078102C">
        <w:rPr>
          <w:rFonts w:cstheme="minorHAnsi"/>
          <w:shd w:val="clear" w:color="auto" w:fill="FFFFFF"/>
        </w:rPr>
        <w:t>Kornell</w:t>
      </w:r>
      <w:proofErr w:type="spellEnd"/>
      <w:r w:rsidRPr="0078102C">
        <w:rPr>
          <w:rFonts w:cstheme="minorHAnsi"/>
          <w:shd w:val="clear" w:color="auto" w:fill="FFFFFF"/>
        </w:rPr>
        <w:t xml:space="preserve">, N., 2007. Principles of cognitive science in education: The effects of </w:t>
      </w:r>
      <w:r w:rsidRPr="0078102C">
        <w:rPr>
          <w:rFonts w:cstheme="minorHAnsi"/>
          <w:shd w:val="clear" w:color="auto" w:fill="FFFFFF"/>
        </w:rPr>
        <w:tab/>
      </w:r>
      <w:r w:rsidRPr="0078102C">
        <w:rPr>
          <w:rFonts w:cstheme="minorHAnsi"/>
          <w:shd w:val="clear" w:color="auto" w:fill="FFFFFF"/>
        </w:rPr>
        <w:tab/>
        <w:t>generation, errors, and feedback. </w:t>
      </w:r>
      <w:proofErr w:type="spellStart"/>
      <w:r w:rsidRPr="0078102C">
        <w:rPr>
          <w:rFonts w:cstheme="minorHAnsi"/>
          <w:i/>
          <w:iCs/>
          <w:shd w:val="clear" w:color="auto" w:fill="FFFFFF"/>
        </w:rPr>
        <w:t>Psychonomic</w:t>
      </w:r>
      <w:proofErr w:type="spellEnd"/>
      <w:r w:rsidRPr="0078102C">
        <w:rPr>
          <w:rFonts w:cstheme="minorHAnsi"/>
          <w:i/>
          <w:iCs/>
          <w:shd w:val="clear" w:color="auto" w:fill="FFFFFF"/>
        </w:rPr>
        <w:t xml:space="preserve"> Bulletin &amp; Review</w:t>
      </w:r>
      <w:r w:rsidRPr="0078102C">
        <w:rPr>
          <w:rFonts w:cstheme="minorHAnsi"/>
          <w:shd w:val="clear" w:color="auto" w:fill="FFFFFF"/>
        </w:rPr>
        <w:t>, </w:t>
      </w:r>
      <w:r w:rsidRPr="0078102C">
        <w:rPr>
          <w:rFonts w:cstheme="minorHAnsi"/>
          <w:i/>
          <w:iCs/>
          <w:shd w:val="clear" w:color="auto" w:fill="FFFFFF"/>
        </w:rPr>
        <w:t>14</w:t>
      </w:r>
      <w:r w:rsidRPr="0078102C">
        <w:rPr>
          <w:rFonts w:cstheme="minorHAnsi"/>
          <w:shd w:val="clear" w:color="auto" w:fill="FFFFFF"/>
        </w:rPr>
        <w:t>(2), pp.225-229.</w:t>
      </w:r>
    </w:p>
    <w:p w:rsidR="0078108D" w:rsidRDefault="0078108D" w:rsidP="0078108D">
      <w:pPr>
        <w:suppressAutoHyphens/>
        <w:autoSpaceDN w:val="0"/>
        <w:spacing w:line="360" w:lineRule="auto"/>
        <w:jc w:val="both"/>
        <w:textAlignment w:val="baseline"/>
        <w:rPr>
          <w:color w:val="222222"/>
        </w:rPr>
      </w:pPr>
      <w:proofErr w:type="spellStart"/>
      <w:r>
        <w:rPr>
          <w:color w:val="222222"/>
        </w:rPr>
        <w:t>Negretti</w:t>
      </w:r>
      <w:proofErr w:type="spellEnd"/>
      <w:r>
        <w:rPr>
          <w:color w:val="222222"/>
        </w:rPr>
        <w:t>, R., 2012. Metacognition in student academic writing: A longitudinal study of metacognitive</w:t>
      </w:r>
      <w:r>
        <w:rPr>
          <w:color w:val="222222"/>
        </w:rPr>
        <w:tab/>
        <w:t>awareness and its relation to task perception, self-regulation, and evaluation of performance.</w:t>
      </w:r>
      <w:r>
        <w:rPr>
          <w:color w:val="222222"/>
        </w:rPr>
        <w:tab/>
      </w:r>
      <w:r>
        <w:rPr>
          <w:i/>
          <w:iCs/>
          <w:color w:val="222222"/>
        </w:rPr>
        <w:t>Written Communication</w:t>
      </w:r>
      <w:r>
        <w:rPr>
          <w:color w:val="222222"/>
        </w:rPr>
        <w:t xml:space="preserve">, </w:t>
      </w:r>
      <w:r>
        <w:rPr>
          <w:i/>
          <w:iCs/>
          <w:color w:val="222222"/>
        </w:rPr>
        <w:t>29</w:t>
      </w:r>
      <w:r>
        <w:rPr>
          <w:color w:val="222222"/>
        </w:rPr>
        <w:t>(2), pp.142-179.</w:t>
      </w:r>
    </w:p>
    <w:p w:rsidR="0078108D" w:rsidRDefault="0078108D" w:rsidP="0078108D">
      <w:pPr>
        <w:suppressAutoHyphens/>
        <w:autoSpaceDN w:val="0"/>
        <w:spacing w:line="240" w:lineRule="auto"/>
        <w:jc w:val="both"/>
        <w:textAlignment w:val="baseline"/>
        <w:rPr>
          <w:rFonts w:eastAsia="Calibri" w:cstheme="minorHAnsi"/>
          <w:color w:val="222222"/>
        </w:rPr>
      </w:pPr>
      <w:r w:rsidRPr="0078108D">
        <w:rPr>
          <w:rFonts w:cstheme="minorHAnsi"/>
          <w:color w:val="222222"/>
        </w:rPr>
        <w:t>Nicol, D.J. and Macfarlane‐Dick, D., 2006. Formative assessment and self‐regulated learning: A model</w:t>
      </w:r>
      <w:r w:rsidRPr="0078108D">
        <w:rPr>
          <w:rFonts w:cstheme="minorHAnsi"/>
          <w:color w:val="222222"/>
        </w:rPr>
        <w:tab/>
        <w:t xml:space="preserve">and seven principles of good feedback practice. </w:t>
      </w:r>
      <w:r w:rsidRPr="0078108D">
        <w:rPr>
          <w:rFonts w:cstheme="minorHAnsi"/>
          <w:i/>
          <w:iCs/>
          <w:color w:val="222222"/>
        </w:rPr>
        <w:t>Studies in higher education</w:t>
      </w:r>
      <w:r w:rsidRPr="0078108D">
        <w:rPr>
          <w:rFonts w:cstheme="minorHAnsi"/>
          <w:color w:val="222222"/>
        </w:rPr>
        <w:t xml:space="preserve">, </w:t>
      </w:r>
      <w:r w:rsidRPr="0078108D">
        <w:rPr>
          <w:rFonts w:eastAsia="Calibri" w:cstheme="minorHAnsi"/>
          <w:i/>
          <w:iCs/>
          <w:color w:val="222222"/>
        </w:rPr>
        <w:t>31</w:t>
      </w:r>
      <w:r>
        <w:rPr>
          <w:rFonts w:eastAsia="Calibri" w:cstheme="minorHAnsi"/>
          <w:color w:val="222222"/>
        </w:rPr>
        <w:t>(2), pp.199-</w:t>
      </w:r>
      <w:r>
        <w:rPr>
          <w:rFonts w:eastAsia="Calibri" w:cstheme="minorHAnsi"/>
          <w:color w:val="222222"/>
        </w:rPr>
        <w:tab/>
        <w:t>218.</w:t>
      </w:r>
    </w:p>
    <w:p w:rsidR="0078108D" w:rsidRDefault="0078108D" w:rsidP="0078108D">
      <w:pPr>
        <w:suppressAutoHyphens/>
        <w:autoSpaceDN w:val="0"/>
        <w:spacing w:line="360" w:lineRule="auto"/>
        <w:jc w:val="both"/>
        <w:textAlignment w:val="baseline"/>
        <w:rPr>
          <w:rFonts w:cstheme="minorHAnsi"/>
          <w:color w:val="222222"/>
          <w:shd w:val="clear" w:color="auto" w:fill="FFFFFF"/>
        </w:rPr>
      </w:pPr>
      <w:proofErr w:type="spellStart"/>
      <w:r w:rsidRPr="005D63A4">
        <w:rPr>
          <w:rFonts w:cstheme="minorHAnsi"/>
          <w:color w:val="222222"/>
          <w:shd w:val="clear" w:color="auto" w:fill="FFFFFF"/>
        </w:rPr>
        <w:t>Ofte</w:t>
      </w:r>
      <w:proofErr w:type="spellEnd"/>
      <w:r w:rsidRPr="005D63A4">
        <w:rPr>
          <w:rFonts w:cstheme="minorHAnsi"/>
          <w:color w:val="222222"/>
          <w:shd w:val="clear" w:color="auto" w:fill="FFFFFF"/>
        </w:rPr>
        <w:t>, I., 2014. English academic writing proficiency in higher education: Facilitating the transition</w:t>
      </w:r>
      <w:r w:rsidRPr="005D63A4">
        <w:rPr>
          <w:rFonts w:cstheme="minorHAnsi"/>
          <w:color w:val="222222"/>
          <w:shd w:val="clear" w:color="auto" w:fill="FFFFFF"/>
        </w:rPr>
        <w:tab/>
      </w:r>
      <w:r w:rsidRPr="005D63A4">
        <w:rPr>
          <w:rFonts w:cstheme="minorHAnsi"/>
          <w:color w:val="222222"/>
          <w:shd w:val="clear" w:color="auto" w:fill="FFFFFF"/>
        </w:rPr>
        <w:tab/>
        <w:t>from metalinguistic awareness to metalinguistic competence. </w:t>
      </w:r>
      <w:proofErr w:type="spellStart"/>
      <w:r w:rsidRPr="005D63A4">
        <w:rPr>
          <w:rFonts w:cstheme="minorHAnsi"/>
          <w:i/>
          <w:iCs/>
          <w:color w:val="222222"/>
          <w:shd w:val="clear" w:color="auto" w:fill="FFFFFF"/>
        </w:rPr>
        <w:t>Acta</w:t>
      </w:r>
      <w:proofErr w:type="spellEnd"/>
      <w:r w:rsidRPr="005D63A4">
        <w:rPr>
          <w:rFonts w:cstheme="minorHAnsi"/>
          <w:i/>
          <w:iCs/>
          <w:color w:val="222222"/>
          <w:shd w:val="clear" w:color="auto" w:fill="FFFFFF"/>
        </w:rPr>
        <w:t xml:space="preserve"> </w:t>
      </w:r>
      <w:proofErr w:type="spellStart"/>
      <w:r w:rsidRPr="005D63A4">
        <w:rPr>
          <w:rFonts w:cstheme="minorHAnsi"/>
          <w:i/>
          <w:iCs/>
          <w:color w:val="222222"/>
          <w:shd w:val="clear" w:color="auto" w:fill="FFFFFF"/>
        </w:rPr>
        <w:t>Didactica</w:t>
      </w:r>
      <w:proofErr w:type="spellEnd"/>
      <w:r w:rsidR="005D63A4" w:rsidRPr="005D63A4">
        <w:rPr>
          <w:rFonts w:cstheme="minorHAnsi"/>
          <w:i/>
          <w:iCs/>
          <w:color w:val="222222"/>
          <w:shd w:val="clear" w:color="auto" w:fill="FFFFFF"/>
        </w:rPr>
        <w:t xml:space="preserve"> Norge</w:t>
      </w:r>
      <w:r w:rsidR="005D63A4" w:rsidRPr="005D63A4">
        <w:rPr>
          <w:rFonts w:cstheme="minorHAnsi"/>
          <w:color w:val="222222"/>
          <w:shd w:val="clear" w:color="auto" w:fill="FFFFFF"/>
        </w:rPr>
        <w:t>, </w:t>
      </w:r>
      <w:r w:rsidR="005D63A4" w:rsidRPr="005D63A4">
        <w:rPr>
          <w:rFonts w:cstheme="minorHAnsi"/>
          <w:i/>
          <w:iCs/>
          <w:color w:val="222222"/>
          <w:shd w:val="clear" w:color="auto" w:fill="FFFFFF"/>
        </w:rPr>
        <w:t>8</w:t>
      </w:r>
      <w:r w:rsidR="005D63A4" w:rsidRPr="005D63A4">
        <w:rPr>
          <w:rFonts w:cstheme="minorHAnsi"/>
          <w:color w:val="222222"/>
          <w:shd w:val="clear" w:color="auto" w:fill="FFFFFF"/>
        </w:rPr>
        <w:t xml:space="preserve">(2), </w:t>
      </w:r>
      <w:r w:rsidR="005D63A4" w:rsidRPr="005D63A4">
        <w:rPr>
          <w:rFonts w:cstheme="minorHAnsi"/>
          <w:color w:val="222222"/>
          <w:shd w:val="clear" w:color="auto" w:fill="FFFFFF"/>
        </w:rPr>
        <w:tab/>
        <w:t>pp.Art-17.</w:t>
      </w:r>
    </w:p>
    <w:p w:rsidR="005D63A4" w:rsidRDefault="005D63A4" w:rsidP="005D63A4">
      <w:pPr>
        <w:suppressAutoHyphens/>
        <w:autoSpaceDN w:val="0"/>
        <w:spacing w:line="360" w:lineRule="auto"/>
        <w:jc w:val="both"/>
        <w:textAlignment w:val="baseline"/>
        <w:rPr>
          <w:rFonts w:eastAsia="Calibri" w:cstheme="minorHAnsi"/>
          <w:color w:val="222222"/>
          <w:shd w:val="clear" w:color="auto" w:fill="FFFFFF"/>
        </w:rPr>
      </w:pPr>
      <w:proofErr w:type="spellStart"/>
      <w:r w:rsidRPr="005D63A4">
        <w:rPr>
          <w:rFonts w:cstheme="minorHAnsi"/>
          <w:color w:val="222222"/>
          <w:shd w:val="clear" w:color="auto" w:fill="FFFFFF"/>
        </w:rPr>
        <w:t>Petkus</w:t>
      </w:r>
      <w:proofErr w:type="spellEnd"/>
      <w:r w:rsidRPr="005D63A4">
        <w:rPr>
          <w:rFonts w:cstheme="minorHAnsi"/>
          <w:color w:val="222222"/>
          <w:shd w:val="clear" w:color="auto" w:fill="FFFFFF"/>
        </w:rPr>
        <w:t xml:space="preserve"> Jr, E., 2010. Historical perspectives in marketing education: Justification and implementation. </w:t>
      </w:r>
      <w:r w:rsidRPr="005D63A4">
        <w:rPr>
          <w:rFonts w:cstheme="minorHAnsi"/>
          <w:color w:val="222222"/>
          <w:shd w:val="clear" w:color="auto" w:fill="FFFFFF"/>
        </w:rPr>
        <w:tab/>
      </w:r>
      <w:r w:rsidRPr="005D63A4">
        <w:rPr>
          <w:rFonts w:eastAsia="Calibri" w:cstheme="minorHAnsi"/>
          <w:i/>
          <w:iCs/>
          <w:color w:val="222222"/>
          <w:shd w:val="clear" w:color="auto" w:fill="FFFFFF"/>
        </w:rPr>
        <w:t>Journal of Marketing Education</w:t>
      </w:r>
      <w:r w:rsidRPr="005D63A4">
        <w:rPr>
          <w:rFonts w:eastAsia="Calibri" w:cstheme="minorHAnsi"/>
          <w:color w:val="222222"/>
          <w:shd w:val="clear" w:color="auto" w:fill="FFFFFF"/>
        </w:rPr>
        <w:t>, </w:t>
      </w:r>
      <w:r w:rsidRPr="005D63A4">
        <w:rPr>
          <w:rFonts w:eastAsia="Calibri" w:cstheme="minorHAnsi"/>
          <w:i/>
          <w:iCs/>
          <w:color w:val="222222"/>
          <w:shd w:val="clear" w:color="auto" w:fill="FFFFFF"/>
        </w:rPr>
        <w:t>32</w:t>
      </w:r>
      <w:r w:rsidRPr="005D63A4">
        <w:rPr>
          <w:rFonts w:eastAsia="Calibri" w:cstheme="minorHAnsi"/>
          <w:color w:val="222222"/>
          <w:shd w:val="clear" w:color="auto" w:fill="FFFFFF"/>
        </w:rPr>
        <w:t>(1), pp.64-74.</w:t>
      </w:r>
    </w:p>
    <w:p w:rsidR="00303AB7" w:rsidRDefault="00ED3DCC" w:rsidP="00303AB7">
      <w:pPr>
        <w:suppressAutoHyphens/>
        <w:autoSpaceDN w:val="0"/>
        <w:spacing w:line="360" w:lineRule="auto"/>
        <w:jc w:val="both"/>
        <w:textAlignment w:val="baseline"/>
        <w:rPr>
          <w:rFonts w:eastAsia="Calibri" w:cstheme="minorHAnsi"/>
          <w:color w:val="222222"/>
          <w:shd w:val="clear" w:color="auto" w:fill="FFFFFF"/>
        </w:rPr>
      </w:pPr>
      <w:proofErr w:type="spellStart"/>
      <w:r w:rsidRPr="00303AB7">
        <w:rPr>
          <w:rFonts w:cstheme="minorHAnsi"/>
          <w:color w:val="222222"/>
          <w:shd w:val="clear" w:color="auto" w:fill="FFFFFF"/>
        </w:rPr>
        <w:t>Reinholz</w:t>
      </w:r>
      <w:proofErr w:type="spellEnd"/>
      <w:r w:rsidRPr="00303AB7">
        <w:rPr>
          <w:rFonts w:cstheme="minorHAnsi"/>
          <w:color w:val="222222"/>
          <w:shd w:val="clear" w:color="auto" w:fill="FFFFFF"/>
        </w:rPr>
        <w:t>, D., 2016. The assessment cycle: a model for learning through peer assessment. </w:t>
      </w:r>
      <w:r w:rsidR="00303AB7" w:rsidRPr="00303AB7">
        <w:rPr>
          <w:rFonts w:cstheme="minorHAnsi"/>
          <w:color w:val="222222"/>
          <w:shd w:val="clear" w:color="auto" w:fill="FFFFFF"/>
        </w:rPr>
        <w:tab/>
      </w:r>
      <w:r w:rsidR="00303AB7" w:rsidRPr="00303AB7">
        <w:rPr>
          <w:rFonts w:cstheme="minorHAnsi"/>
          <w:color w:val="222222"/>
          <w:shd w:val="clear" w:color="auto" w:fill="FFFFFF"/>
        </w:rPr>
        <w:tab/>
      </w:r>
      <w:r w:rsidR="00303AB7" w:rsidRPr="00303AB7">
        <w:rPr>
          <w:rFonts w:eastAsia="Calibri" w:cstheme="minorHAnsi"/>
          <w:i/>
          <w:iCs/>
          <w:color w:val="222222"/>
          <w:shd w:val="clear" w:color="auto" w:fill="FFFFFF"/>
        </w:rPr>
        <w:t>Assessment &amp; Evaluation in Higher Education</w:t>
      </w:r>
      <w:r w:rsidR="00303AB7" w:rsidRPr="00303AB7">
        <w:rPr>
          <w:rFonts w:eastAsia="Calibri" w:cstheme="minorHAnsi"/>
          <w:color w:val="222222"/>
          <w:shd w:val="clear" w:color="auto" w:fill="FFFFFF"/>
        </w:rPr>
        <w:t>, </w:t>
      </w:r>
      <w:r w:rsidR="00303AB7" w:rsidRPr="00303AB7">
        <w:rPr>
          <w:rFonts w:eastAsia="Calibri" w:cstheme="minorHAnsi"/>
          <w:i/>
          <w:iCs/>
          <w:color w:val="222222"/>
          <w:shd w:val="clear" w:color="auto" w:fill="FFFFFF"/>
        </w:rPr>
        <w:t>41</w:t>
      </w:r>
      <w:r w:rsidR="00303AB7">
        <w:rPr>
          <w:rFonts w:eastAsia="Calibri" w:cstheme="minorHAnsi"/>
          <w:color w:val="222222"/>
          <w:shd w:val="clear" w:color="auto" w:fill="FFFFFF"/>
        </w:rPr>
        <w:t>(2), pp.301-315.</w:t>
      </w:r>
    </w:p>
    <w:p w:rsidR="00303AB7" w:rsidRDefault="00303AB7" w:rsidP="00303AB7">
      <w:pPr>
        <w:suppressAutoHyphens/>
        <w:autoSpaceDN w:val="0"/>
        <w:spacing w:line="360" w:lineRule="auto"/>
        <w:jc w:val="both"/>
        <w:textAlignment w:val="baseline"/>
        <w:rPr>
          <w:rFonts w:cstheme="minorHAnsi"/>
          <w:color w:val="222222"/>
          <w:shd w:val="clear" w:color="auto" w:fill="FFFFFF"/>
        </w:rPr>
      </w:pPr>
      <w:r w:rsidRPr="00303AB7">
        <w:rPr>
          <w:rFonts w:cstheme="minorHAnsi"/>
          <w:color w:val="222222"/>
          <w:shd w:val="clear" w:color="auto" w:fill="FFFFFF"/>
        </w:rPr>
        <w:t>Roscoe, R.D. and Chi, M.T., 2007. Understanding tutor learning: Knowledge-building and knowledge-</w:t>
      </w:r>
      <w:r w:rsidRPr="00303AB7">
        <w:rPr>
          <w:rFonts w:cstheme="minorHAnsi"/>
          <w:color w:val="222222"/>
          <w:shd w:val="clear" w:color="auto" w:fill="FFFFFF"/>
        </w:rPr>
        <w:tab/>
        <w:t>telling in peer tutors’ explanations and questions. </w:t>
      </w:r>
      <w:r w:rsidRPr="00303AB7">
        <w:rPr>
          <w:rFonts w:cstheme="minorHAnsi"/>
          <w:i/>
          <w:iCs/>
          <w:color w:val="222222"/>
          <w:shd w:val="clear" w:color="auto" w:fill="FFFFFF"/>
        </w:rPr>
        <w:t>Review of Educational Research</w:t>
      </w:r>
      <w:r w:rsidRPr="00303AB7">
        <w:rPr>
          <w:rFonts w:cstheme="minorHAnsi"/>
          <w:color w:val="222222"/>
          <w:shd w:val="clear" w:color="auto" w:fill="FFFFFF"/>
        </w:rPr>
        <w:t>,</w:t>
      </w:r>
      <w:r>
        <w:rPr>
          <w:rFonts w:cstheme="minorHAnsi"/>
          <w:color w:val="222222"/>
          <w:shd w:val="clear" w:color="auto" w:fill="FFFFFF"/>
        </w:rPr>
        <w:t xml:space="preserve"> </w:t>
      </w:r>
      <w:r>
        <w:rPr>
          <w:rFonts w:cstheme="minorHAnsi"/>
          <w:color w:val="222222"/>
          <w:shd w:val="clear" w:color="auto" w:fill="FFFFFF"/>
        </w:rPr>
        <w:tab/>
      </w:r>
      <w:r>
        <w:rPr>
          <w:rFonts w:cstheme="minorHAnsi"/>
          <w:color w:val="222222"/>
          <w:shd w:val="clear" w:color="auto" w:fill="FFFFFF"/>
        </w:rPr>
        <w:tab/>
      </w:r>
      <w:r w:rsidRPr="00303AB7">
        <w:rPr>
          <w:rFonts w:cstheme="minorHAnsi"/>
          <w:i/>
          <w:iCs/>
          <w:color w:val="222222"/>
          <w:shd w:val="clear" w:color="auto" w:fill="FFFFFF"/>
        </w:rPr>
        <w:t>77</w:t>
      </w:r>
      <w:r w:rsidRPr="00303AB7">
        <w:rPr>
          <w:rFonts w:cstheme="minorHAnsi"/>
          <w:color w:val="222222"/>
          <w:shd w:val="clear" w:color="auto" w:fill="FFFFFF"/>
        </w:rPr>
        <w:t>(4), pp.534-574.</w:t>
      </w:r>
    </w:p>
    <w:p w:rsidR="00303AB7" w:rsidRDefault="00303AB7" w:rsidP="00303AB7">
      <w:pPr>
        <w:suppressAutoHyphens/>
        <w:autoSpaceDN w:val="0"/>
        <w:spacing w:line="360" w:lineRule="auto"/>
        <w:jc w:val="both"/>
        <w:textAlignment w:val="baseline"/>
        <w:rPr>
          <w:rFonts w:eastAsia="Calibri" w:cstheme="minorHAnsi"/>
          <w:color w:val="222222"/>
        </w:rPr>
      </w:pPr>
      <w:proofErr w:type="spellStart"/>
      <w:r w:rsidRPr="00303AB7">
        <w:rPr>
          <w:rFonts w:cstheme="minorHAnsi"/>
          <w:color w:val="222222"/>
        </w:rPr>
        <w:t>Taras</w:t>
      </w:r>
      <w:proofErr w:type="spellEnd"/>
      <w:r w:rsidRPr="00303AB7">
        <w:rPr>
          <w:rFonts w:cstheme="minorHAnsi"/>
          <w:color w:val="222222"/>
        </w:rPr>
        <w:t xml:space="preserve">, M., 2006. Do unto others or not: equity in feedback for undergraduates. </w:t>
      </w:r>
      <w:r w:rsidRPr="00303AB7">
        <w:rPr>
          <w:rFonts w:cstheme="minorHAnsi"/>
          <w:i/>
          <w:iCs/>
          <w:color w:val="222222"/>
        </w:rPr>
        <w:t>Assessment &amp;</w:t>
      </w:r>
      <w:r w:rsidRPr="00303AB7">
        <w:rPr>
          <w:rFonts w:cstheme="minorHAnsi"/>
          <w:i/>
          <w:iCs/>
          <w:color w:val="222222"/>
        </w:rPr>
        <w:tab/>
      </w:r>
      <w:r w:rsidRPr="00303AB7">
        <w:rPr>
          <w:rFonts w:cstheme="minorHAnsi"/>
          <w:i/>
          <w:iCs/>
          <w:color w:val="222222"/>
        </w:rPr>
        <w:tab/>
      </w:r>
      <w:r w:rsidRPr="00303AB7">
        <w:rPr>
          <w:rFonts w:eastAsia="Calibri" w:cstheme="minorHAnsi"/>
          <w:i/>
          <w:iCs/>
          <w:color w:val="222222"/>
        </w:rPr>
        <w:t>Evaluation in Higher Education</w:t>
      </w:r>
      <w:r w:rsidRPr="00303AB7">
        <w:rPr>
          <w:rFonts w:eastAsia="Calibri" w:cstheme="minorHAnsi"/>
          <w:color w:val="222222"/>
        </w:rPr>
        <w:t xml:space="preserve">, </w:t>
      </w:r>
      <w:r w:rsidRPr="00303AB7">
        <w:rPr>
          <w:rFonts w:eastAsia="Calibri" w:cstheme="minorHAnsi"/>
          <w:i/>
          <w:iCs/>
          <w:color w:val="222222"/>
        </w:rPr>
        <w:t>31</w:t>
      </w:r>
      <w:r w:rsidRPr="00303AB7">
        <w:rPr>
          <w:rFonts w:eastAsia="Calibri" w:cstheme="minorHAnsi"/>
          <w:color w:val="222222"/>
        </w:rPr>
        <w:t>(3), pp.365-377.</w:t>
      </w:r>
    </w:p>
    <w:p w:rsidR="00303AB7" w:rsidRDefault="00303AB7" w:rsidP="00303AB7">
      <w:pPr>
        <w:suppressAutoHyphens/>
        <w:autoSpaceDN w:val="0"/>
        <w:spacing w:line="360" w:lineRule="auto"/>
        <w:jc w:val="both"/>
        <w:textAlignment w:val="baseline"/>
        <w:rPr>
          <w:rFonts w:cstheme="minorHAnsi"/>
          <w:color w:val="222222"/>
          <w:shd w:val="clear" w:color="auto" w:fill="FFFFFF"/>
        </w:rPr>
      </w:pPr>
      <w:proofErr w:type="spellStart"/>
      <w:r w:rsidRPr="00F0039D">
        <w:rPr>
          <w:rFonts w:cstheme="minorHAnsi"/>
          <w:color w:val="222222"/>
          <w:shd w:val="clear" w:color="auto" w:fill="FFFFFF"/>
        </w:rPr>
        <w:t>Tavano</w:t>
      </w:r>
      <w:proofErr w:type="spellEnd"/>
      <w:r w:rsidRPr="00F0039D">
        <w:rPr>
          <w:rFonts w:cstheme="minorHAnsi"/>
          <w:color w:val="222222"/>
          <w:shd w:val="clear" w:color="auto" w:fill="FFFFFF"/>
        </w:rPr>
        <w:t>, Z., 2017. Why is Writing Skill The Most Important Skill You Need In University Life</w:t>
      </w:r>
      <w:proofErr w:type="gramStart"/>
      <w:r w:rsidRPr="00F0039D">
        <w:rPr>
          <w:rFonts w:cstheme="minorHAnsi"/>
          <w:color w:val="222222"/>
          <w:shd w:val="clear" w:color="auto" w:fill="FFFFFF"/>
        </w:rPr>
        <w:t>?.</w:t>
      </w:r>
      <w:proofErr w:type="gramEnd"/>
      <w:r w:rsidRPr="00F0039D">
        <w:rPr>
          <w:rFonts w:cstheme="minorHAnsi"/>
          <w:color w:val="222222"/>
          <w:shd w:val="clear" w:color="auto" w:fill="FFFFFF"/>
        </w:rPr>
        <w:tab/>
      </w:r>
      <w:r w:rsidRPr="00F0039D">
        <w:rPr>
          <w:rFonts w:cstheme="minorHAnsi"/>
          <w:color w:val="222222"/>
          <w:shd w:val="clear" w:color="auto" w:fill="FFFFFF"/>
        </w:rPr>
        <w:tab/>
        <w:t>University Life</w:t>
      </w:r>
      <w:proofErr w:type="gramStart"/>
      <w:r w:rsidRPr="00F0039D">
        <w:rPr>
          <w:rFonts w:cstheme="minorHAnsi"/>
          <w:color w:val="222222"/>
          <w:shd w:val="clear" w:color="auto" w:fill="FFFFFF"/>
        </w:rPr>
        <w:t>?.</w:t>
      </w:r>
      <w:proofErr w:type="gramEnd"/>
      <w:r w:rsidRPr="00F0039D">
        <w:rPr>
          <w:rFonts w:cstheme="minorHAnsi"/>
          <w:color w:val="222222"/>
          <w:shd w:val="clear" w:color="auto" w:fill="FFFFFF"/>
        </w:rPr>
        <w:t xml:space="preserve"> Available at: </w:t>
      </w:r>
      <w:hyperlink r:id="rId5" w:history="1">
        <w:r w:rsidRPr="00F0039D">
          <w:rPr>
            <w:rStyle w:val="Hyperlink"/>
            <w:rFonts w:cstheme="minorHAnsi"/>
            <w:shd w:val="clear" w:color="auto" w:fill="FFFFFF"/>
          </w:rPr>
          <w:t>https://www.munplanet.com/articles/academical-writing-skills/why-is-writing-skill-the-most-important-skill-you-need-in-university-life</w:t>
        </w:r>
      </w:hyperlink>
      <w:r w:rsidRPr="00F0039D">
        <w:rPr>
          <w:rFonts w:cstheme="minorHAnsi"/>
          <w:color w:val="222222"/>
          <w:shd w:val="clear" w:color="auto" w:fill="FFFFFF"/>
        </w:rPr>
        <w:t xml:space="preserve">. </w:t>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cstheme="minorHAnsi"/>
          <w:color w:val="222222"/>
          <w:shd w:val="clear" w:color="auto" w:fill="FFFFFF"/>
        </w:rPr>
        <w:tab/>
        <w:t>(Accessed on 23</w:t>
      </w:r>
      <w:r w:rsidRPr="00F0039D">
        <w:rPr>
          <w:rFonts w:cstheme="minorHAnsi"/>
          <w:color w:val="222222"/>
          <w:shd w:val="clear" w:color="auto" w:fill="FFFFFF"/>
          <w:vertAlign w:val="superscript"/>
        </w:rPr>
        <w:t>rd</w:t>
      </w:r>
      <w:r w:rsidRPr="00F0039D">
        <w:rPr>
          <w:rFonts w:cstheme="minorHAnsi"/>
          <w:color w:val="222222"/>
          <w:shd w:val="clear" w:color="auto" w:fill="FFFFFF"/>
        </w:rPr>
        <w:t xml:space="preserve"> February, 2019).</w:t>
      </w:r>
    </w:p>
    <w:p w:rsidR="00F0039D" w:rsidRDefault="00F0039D" w:rsidP="00F0039D">
      <w:pPr>
        <w:suppressAutoHyphens/>
        <w:autoSpaceDN w:val="0"/>
        <w:spacing w:line="360" w:lineRule="auto"/>
        <w:jc w:val="both"/>
        <w:textAlignment w:val="baseline"/>
        <w:rPr>
          <w:rFonts w:eastAsia="Calibri" w:cstheme="minorHAnsi"/>
          <w:color w:val="222222"/>
          <w:shd w:val="clear" w:color="auto" w:fill="FFFFFF"/>
        </w:rPr>
      </w:pPr>
      <w:r w:rsidRPr="00F0039D">
        <w:rPr>
          <w:rFonts w:cstheme="minorHAnsi"/>
          <w:color w:val="222222"/>
          <w:shd w:val="clear" w:color="auto" w:fill="FFFFFF"/>
        </w:rPr>
        <w:lastRenderedPageBreak/>
        <w:t>Taylor, A., 2011. Top 10 reasons students dislike working in small groups… and why I do it</w:t>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eastAsia="Calibri" w:cstheme="minorHAnsi"/>
          <w:color w:val="222222"/>
          <w:shd w:val="clear" w:color="auto" w:fill="FFFFFF"/>
        </w:rPr>
        <w:t>anyway. </w:t>
      </w:r>
      <w:r w:rsidRPr="00F0039D">
        <w:rPr>
          <w:rFonts w:eastAsia="Calibri" w:cstheme="minorHAnsi"/>
          <w:i/>
          <w:iCs/>
          <w:color w:val="222222"/>
          <w:shd w:val="clear" w:color="auto" w:fill="FFFFFF"/>
        </w:rPr>
        <w:t>Biochemistry and Molecular Biology Education</w:t>
      </w:r>
      <w:r w:rsidRPr="00F0039D">
        <w:rPr>
          <w:rFonts w:eastAsia="Calibri" w:cstheme="minorHAnsi"/>
          <w:color w:val="222222"/>
          <w:shd w:val="clear" w:color="auto" w:fill="FFFFFF"/>
        </w:rPr>
        <w:t>, </w:t>
      </w:r>
      <w:r w:rsidRPr="00F0039D">
        <w:rPr>
          <w:rFonts w:eastAsia="Calibri" w:cstheme="minorHAnsi"/>
          <w:i/>
          <w:iCs/>
          <w:color w:val="222222"/>
          <w:shd w:val="clear" w:color="auto" w:fill="FFFFFF"/>
        </w:rPr>
        <w:t>39</w:t>
      </w:r>
      <w:r w:rsidRPr="00F0039D">
        <w:rPr>
          <w:rFonts w:eastAsia="Calibri" w:cstheme="minorHAnsi"/>
          <w:color w:val="222222"/>
          <w:shd w:val="clear" w:color="auto" w:fill="FFFFFF"/>
        </w:rPr>
        <w:t>(3), pp.219-220.</w:t>
      </w:r>
    </w:p>
    <w:p w:rsidR="00F0039D" w:rsidRDefault="00F0039D" w:rsidP="00F0039D">
      <w:pPr>
        <w:suppressAutoHyphens/>
        <w:autoSpaceDN w:val="0"/>
        <w:spacing w:line="360" w:lineRule="auto"/>
        <w:jc w:val="both"/>
        <w:textAlignment w:val="baseline"/>
        <w:rPr>
          <w:rFonts w:eastAsia="Calibri" w:cstheme="minorHAnsi"/>
          <w:color w:val="222222"/>
          <w:shd w:val="clear" w:color="auto" w:fill="FFFFFF"/>
        </w:rPr>
      </w:pPr>
      <w:r w:rsidRPr="00F0039D">
        <w:rPr>
          <w:rFonts w:cstheme="minorHAnsi"/>
          <w:color w:val="222222"/>
          <w:shd w:val="clear" w:color="auto" w:fill="FFFFFF"/>
        </w:rPr>
        <w:t>Topping, K., 1998. Peer assessment between students in colleges and universities. </w:t>
      </w:r>
      <w:r w:rsidRPr="00F0039D">
        <w:rPr>
          <w:rFonts w:cstheme="minorHAnsi"/>
          <w:i/>
          <w:iCs/>
          <w:color w:val="222222"/>
          <w:shd w:val="clear" w:color="auto" w:fill="FFFFFF"/>
        </w:rPr>
        <w:t>Review of</w:t>
      </w:r>
      <w:r w:rsidRPr="00F0039D">
        <w:rPr>
          <w:rFonts w:cstheme="minorHAnsi"/>
          <w:i/>
          <w:iCs/>
          <w:color w:val="222222"/>
          <w:shd w:val="clear" w:color="auto" w:fill="FFFFFF"/>
        </w:rPr>
        <w:tab/>
      </w:r>
      <w:r w:rsidRPr="00F0039D">
        <w:rPr>
          <w:rFonts w:cstheme="minorHAnsi"/>
          <w:i/>
          <w:iCs/>
          <w:color w:val="222222"/>
          <w:shd w:val="clear" w:color="auto" w:fill="FFFFFF"/>
        </w:rPr>
        <w:tab/>
      </w:r>
      <w:r w:rsidRPr="00F0039D">
        <w:rPr>
          <w:rFonts w:eastAsia="Calibri" w:cstheme="minorHAnsi"/>
          <w:i/>
          <w:iCs/>
          <w:color w:val="222222"/>
          <w:shd w:val="clear" w:color="auto" w:fill="FFFFFF"/>
        </w:rPr>
        <w:t>educational Research</w:t>
      </w:r>
      <w:r w:rsidRPr="00F0039D">
        <w:rPr>
          <w:rFonts w:eastAsia="Calibri" w:cstheme="minorHAnsi"/>
          <w:color w:val="222222"/>
          <w:shd w:val="clear" w:color="auto" w:fill="FFFFFF"/>
        </w:rPr>
        <w:t>, </w:t>
      </w:r>
      <w:r w:rsidRPr="00F0039D">
        <w:rPr>
          <w:rFonts w:eastAsia="Calibri" w:cstheme="minorHAnsi"/>
          <w:i/>
          <w:iCs/>
          <w:color w:val="222222"/>
          <w:shd w:val="clear" w:color="auto" w:fill="FFFFFF"/>
        </w:rPr>
        <w:t>68</w:t>
      </w:r>
      <w:r w:rsidRPr="00F0039D">
        <w:rPr>
          <w:rFonts w:eastAsia="Calibri" w:cstheme="minorHAnsi"/>
          <w:color w:val="222222"/>
          <w:shd w:val="clear" w:color="auto" w:fill="FFFFFF"/>
        </w:rPr>
        <w:t>(3), pp.249-276.</w:t>
      </w:r>
    </w:p>
    <w:p w:rsidR="00F0039D" w:rsidRDefault="00F0039D" w:rsidP="00F0039D">
      <w:pPr>
        <w:suppressAutoHyphens/>
        <w:autoSpaceDN w:val="0"/>
        <w:spacing w:line="360" w:lineRule="auto"/>
        <w:jc w:val="both"/>
        <w:textAlignment w:val="baseline"/>
        <w:rPr>
          <w:rFonts w:cstheme="minorHAnsi"/>
          <w:color w:val="3A3A3A"/>
          <w:shd w:val="clear" w:color="auto" w:fill="FFFFFF"/>
        </w:rPr>
      </w:pPr>
      <w:r w:rsidRPr="00F0039D">
        <w:rPr>
          <w:rFonts w:cstheme="minorHAnsi"/>
          <w:color w:val="3A3A3A"/>
          <w:shd w:val="clear" w:color="auto" w:fill="FFFFFF"/>
        </w:rPr>
        <w:t>University of South Wales., 2015. How to Manage a Group Presentation. Available at:</w:t>
      </w:r>
      <w:r>
        <w:rPr>
          <w:rFonts w:cstheme="minorHAnsi"/>
          <w:color w:val="3A3A3A"/>
          <w:shd w:val="clear" w:color="auto" w:fill="FFFFFF"/>
        </w:rPr>
        <w:tab/>
      </w:r>
      <w:r>
        <w:rPr>
          <w:rFonts w:cstheme="minorHAnsi"/>
          <w:color w:val="3A3A3A"/>
          <w:shd w:val="clear" w:color="auto" w:fill="FFFFFF"/>
        </w:rPr>
        <w:tab/>
      </w:r>
      <w:r>
        <w:rPr>
          <w:rFonts w:cstheme="minorHAnsi"/>
          <w:color w:val="3A3A3A"/>
          <w:shd w:val="clear" w:color="auto" w:fill="FFFFFF"/>
        </w:rPr>
        <w:tab/>
      </w:r>
      <w:hyperlink r:id="rId6" w:history="1">
        <w:r w:rsidRPr="002A2D89">
          <w:rPr>
            <w:rStyle w:val="Hyperlink"/>
            <w:rFonts w:cstheme="minorHAnsi"/>
            <w:shd w:val="clear" w:color="auto" w:fill="FFFFFF"/>
          </w:rPr>
          <w:t>http://studyskills.southwales.ac.uk/media/files/documents/2016-03-24/How_to_Manage_a_Group_Presentation.pdf</w:t>
        </w:r>
      </w:hyperlink>
      <w:r>
        <w:rPr>
          <w:rFonts w:cstheme="minorHAnsi"/>
          <w:color w:val="3A3A3A"/>
          <w:shd w:val="clear" w:color="auto" w:fill="FFFFFF"/>
        </w:rPr>
        <w:t xml:space="preserve">. </w:t>
      </w:r>
      <w:r w:rsidRPr="00F0039D">
        <w:rPr>
          <w:rFonts w:cstheme="minorHAnsi"/>
          <w:color w:val="3A3A3A"/>
          <w:shd w:val="clear" w:color="auto" w:fill="FFFFFF"/>
        </w:rPr>
        <w:t>(Accessed on: 24</w:t>
      </w:r>
      <w:r w:rsidRPr="00F0039D">
        <w:rPr>
          <w:rFonts w:cstheme="minorHAnsi"/>
          <w:color w:val="3A3A3A"/>
          <w:shd w:val="clear" w:color="auto" w:fill="FFFFFF"/>
          <w:vertAlign w:val="superscript"/>
        </w:rPr>
        <w:t>th</w:t>
      </w:r>
      <w:r w:rsidRPr="00F0039D">
        <w:rPr>
          <w:rFonts w:cstheme="minorHAnsi"/>
          <w:color w:val="3A3A3A"/>
          <w:shd w:val="clear" w:color="auto" w:fill="FFFFFF"/>
        </w:rPr>
        <w:t xml:space="preserve"> February, 2019).</w:t>
      </w:r>
    </w:p>
    <w:p w:rsidR="00F0039D" w:rsidRPr="00F0039D" w:rsidRDefault="00F0039D" w:rsidP="00F0039D">
      <w:pPr>
        <w:suppressAutoHyphens/>
        <w:autoSpaceDN w:val="0"/>
        <w:spacing w:line="360" w:lineRule="auto"/>
        <w:jc w:val="both"/>
        <w:textAlignment w:val="baseline"/>
        <w:rPr>
          <w:rFonts w:cstheme="minorHAnsi"/>
          <w:color w:val="3A3A3A"/>
          <w:shd w:val="clear" w:color="auto" w:fill="FFFFFF"/>
        </w:rPr>
      </w:pPr>
      <w:proofErr w:type="spellStart"/>
      <w:r w:rsidRPr="00F0039D">
        <w:rPr>
          <w:rFonts w:cstheme="minorHAnsi"/>
          <w:color w:val="222222"/>
        </w:rPr>
        <w:t>Živković</w:t>
      </w:r>
      <w:proofErr w:type="spellEnd"/>
      <w:r w:rsidRPr="00F0039D">
        <w:rPr>
          <w:rFonts w:cstheme="minorHAnsi"/>
          <w:color w:val="222222"/>
        </w:rPr>
        <w:t xml:space="preserve">, S., 2014. The importance of oral presentations for university students. </w:t>
      </w:r>
      <w:r w:rsidRPr="00F0039D">
        <w:rPr>
          <w:rFonts w:cstheme="minorHAnsi"/>
          <w:i/>
          <w:iCs/>
          <w:color w:val="222222"/>
        </w:rPr>
        <w:t>Mediterranean Journal</w:t>
      </w:r>
    </w:p>
    <w:p w:rsidR="00F0039D" w:rsidRPr="00F0039D" w:rsidRDefault="00F0039D" w:rsidP="00F0039D">
      <w:pPr>
        <w:pStyle w:val="ListParagraph"/>
        <w:suppressAutoHyphens/>
        <w:autoSpaceDN w:val="0"/>
        <w:spacing w:line="360" w:lineRule="auto"/>
        <w:contextualSpacing w:val="0"/>
        <w:jc w:val="both"/>
        <w:textAlignment w:val="baseline"/>
        <w:rPr>
          <w:rFonts w:eastAsia="Calibri" w:cstheme="minorHAnsi"/>
        </w:rPr>
      </w:pPr>
      <w:proofErr w:type="gramStart"/>
      <w:r w:rsidRPr="00F0039D">
        <w:rPr>
          <w:rFonts w:eastAsia="Calibri" w:cstheme="minorHAnsi"/>
          <w:i/>
          <w:iCs/>
          <w:color w:val="222222"/>
        </w:rPr>
        <w:t>of</w:t>
      </w:r>
      <w:proofErr w:type="gramEnd"/>
      <w:r w:rsidRPr="00F0039D">
        <w:rPr>
          <w:rFonts w:eastAsia="Calibri" w:cstheme="minorHAnsi"/>
          <w:i/>
          <w:iCs/>
          <w:color w:val="222222"/>
        </w:rPr>
        <w:t xml:space="preserve"> Social Sciences</w:t>
      </w:r>
      <w:r w:rsidRPr="00F0039D">
        <w:rPr>
          <w:rFonts w:eastAsia="Calibri" w:cstheme="minorHAnsi"/>
          <w:color w:val="222222"/>
        </w:rPr>
        <w:t xml:space="preserve">, </w:t>
      </w:r>
      <w:r w:rsidRPr="00F0039D">
        <w:rPr>
          <w:rFonts w:eastAsia="Calibri" w:cstheme="minorHAnsi"/>
          <w:i/>
          <w:iCs/>
          <w:color w:val="222222"/>
        </w:rPr>
        <w:t>5</w:t>
      </w:r>
      <w:r w:rsidRPr="00F0039D">
        <w:rPr>
          <w:rFonts w:eastAsia="Calibri" w:cstheme="minorHAnsi"/>
          <w:color w:val="222222"/>
        </w:rPr>
        <w:t>(19), p.468.</w:t>
      </w:r>
    </w:p>
    <w:p w:rsidR="00F0039D" w:rsidRPr="00F0039D" w:rsidRDefault="00F0039D" w:rsidP="00F0039D">
      <w:pPr>
        <w:suppressAutoHyphens/>
        <w:autoSpaceDN w:val="0"/>
        <w:spacing w:line="360" w:lineRule="auto"/>
        <w:jc w:val="both"/>
        <w:textAlignment w:val="baseline"/>
        <w:rPr>
          <w:rFonts w:eastAsia="Calibri" w:cstheme="minorHAnsi"/>
        </w:rPr>
      </w:pPr>
    </w:p>
    <w:p w:rsidR="00F0039D" w:rsidRPr="00F0039D" w:rsidRDefault="00F0039D" w:rsidP="00F0039D">
      <w:pPr>
        <w:suppressAutoHyphens/>
        <w:autoSpaceDN w:val="0"/>
        <w:spacing w:line="360" w:lineRule="auto"/>
        <w:jc w:val="both"/>
        <w:textAlignment w:val="baseline"/>
        <w:rPr>
          <w:rFonts w:eastAsia="Calibri" w:cstheme="minorHAnsi"/>
        </w:rPr>
      </w:pPr>
    </w:p>
    <w:p w:rsidR="00F0039D" w:rsidRPr="00F0039D" w:rsidRDefault="00F0039D" w:rsidP="00F0039D">
      <w:pPr>
        <w:suppressAutoHyphens/>
        <w:autoSpaceDN w:val="0"/>
        <w:spacing w:line="360" w:lineRule="auto"/>
        <w:jc w:val="both"/>
        <w:textAlignment w:val="baseline"/>
        <w:rPr>
          <w:rFonts w:eastAsia="Calibri" w:cstheme="minorHAnsi"/>
        </w:rPr>
      </w:pPr>
    </w:p>
    <w:p w:rsidR="00303AB7" w:rsidRPr="00303AB7" w:rsidRDefault="00303AB7" w:rsidP="00303AB7">
      <w:pPr>
        <w:suppressAutoHyphens/>
        <w:autoSpaceDN w:val="0"/>
        <w:spacing w:line="360" w:lineRule="auto"/>
        <w:jc w:val="both"/>
        <w:textAlignment w:val="baseline"/>
        <w:rPr>
          <w:rFonts w:eastAsia="Calibri" w:cstheme="minorHAnsi"/>
        </w:rPr>
      </w:pPr>
    </w:p>
    <w:p w:rsidR="00ED3DCC" w:rsidRPr="00ED3DCC" w:rsidRDefault="00ED3DCC" w:rsidP="005D63A4">
      <w:pPr>
        <w:suppressAutoHyphens/>
        <w:autoSpaceDN w:val="0"/>
        <w:spacing w:line="360" w:lineRule="auto"/>
        <w:jc w:val="both"/>
        <w:textAlignment w:val="baseline"/>
        <w:rPr>
          <w:rFonts w:eastAsia="Calibri" w:cstheme="minorHAnsi"/>
        </w:rPr>
      </w:pPr>
    </w:p>
    <w:p w:rsidR="005D63A4" w:rsidRPr="005D63A4" w:rsidRDefault="005D63A4" w:rsidP="0078108D">
      <w:pPr>
        <w:suppressAutoHyphens/>
        <w:autoSpaceDN w:val="0"/>
        <w:spacing w:line="360" w:lineRule="auto"/>
        <w:jc w:val="both"/>
        <w:textAlignment w:val="baseline"/>
        <w:rPr>
          <w:rFonts w:cstheme="minorHAnsi"/>
          <w:color w:val="222222"/>
        </w:rPr>
      </w:pPr>
    </w:p>
    <w:p w:rsidR="0078102C" w:rsidRPr="0078108D" w:rsidRDefault="0078102C" w:rsidP="0078102C">
      <w:pPr>
        <w:suppressAutoHyphens/>
        <w:autoSpaceDN w:val="0"/>
        <w:spacing w:line="360" w:lineRule="auto"/>
        <w:jc w:val="both"/>
        <w:textAlignment w:val="baseline"/>
        <w:rPr>
          <w:rFonts w:cstheme="minorHAnsi"/>
          <w:color w:val="3A3A3A"/>
          <w:shd w:val="clear" w:color="auto" w:fill="FFFFFF"/>
        </w:rPr>
      </w:pPr>
    </w:p>
    <w:p w:rsidR="00A62E51" w:rsidRPr="00A348BF" w:rsidRDefault="00A62E51" w:rsidP="00407839">
      <w:pPr>
        <w:suppressAutoHyphens/>
        <w:autoSpaceDN w:val="0"/>
        <w:spacing w:line="360" w:lineRule="auto"/>
        <w:jc w:val="both"/>
        <w:textAlignment w:val="baseline"/>
        <w:rPr>
          <w:rFonts w:eastAsia="Calibri" w:cstheme="minorHAnsi"/>
          <w:color w:val="3A3A3A"/>
          <w:shd w:val="clear" w:color="auto" w:fill="FFFFFF"/>
        </w:rPr>
      </w:pPr>
    </w:p>
    <w:p w:rsidR="00A348BF" w:rsidRPr="00A348BF" w:rsidRDefault="00A348BF" w:rsidP="00A348BF">
      <w:pPr>
        <w:suppressAutoHyphens/>
        <w:autoSpaceDN w:val="0"/>
        <w:spacing w:line="360" w:lineRule="auto"/>
        <w:jc w:val="both"/>
        <w:textAlignment w:val="baseline"/>
        <w:rPr>
          <w:rFonts w:eastAsia="Calibri" w:cstheme="minorHAnsi"/>
        </w:rPr>
      </w:pPr>
    </w:p>
    <w:p w:rsidR="00A348BF" w:rsidRPr="00A348BF" w:rsidRDefault="00A348BF" w:rsidP="00A348BF">
      <w:pPr>
        <w:suppressAutoHyphens/>
        <w:autoSpaceDN w:val="0"/>
        <w:spacing w:line="240" w:lineRule="auto"/>
        <w:jc w:val="both"/>
        <w:textAlignment w:val="baseline"/>
        <w:rPr>
          <w:rFonts w:ascii="Calibri" w:eastAsia="Calibri" w:hAnsi="Calibri" w:cs="Times New Roman"/>
        </w:rPr>
      </w:pPr>
    </w:p>
    <w:p w:rsidR="00A348BF" w:rsidRDefault="00A348BF" w:rsidP="008F6361">
      <w:pPr>
        <w:spacing w:line="360" w:lineRule="auto"/>
        <w:jc w:val="both"/>
        <w:rPr>
          <w:rFonts w:eastAsia="Calibri" w:cstheme="minorHAnsi"/>
        </w:rPr>
      </w:pPr>
    </w:p>
    <w:p w:rsidR="008F6361" w:rsidRDefault="008F6361" w:rsidP="008F6361">
      <w:pPr>
        <w:spacing w:line="360" w:lineRule="auto"/>
        <w:jc w:val="both"/>
        <w:rPr>
          <w:rFonts w:eastAsia="Calibri" w:cstheme="minorHAnsi"/>
        </w:rPr>
      </w:pPr>
      <w:r>
        <w:rPr>
          <w:rFonts w:eastAsia="Calibri" w:cstheme="minorHAnsi"/>
        </w:rPr>
        <w:t xml:space="preserve"> </w:t>
      </w:r>
      <w:r>
        <w:rPr>
          <w:rFonts w:eastAsia="Calibri" w:cstheme="minorHAnsi"/>
        </w:rPr>
        <w:tab/>
      </w:r>
      <w:r>
        <w:rPr>
          <w:rFonts w:eastAsia="Calibri" w:cstheme="minorHAnsi"/>
        </w:rPr>
        <w:tab/>
      </w:r>
    </w:p>
    <w:p w:rsidR="00AA3B3F" w:rsidRPr="00FC6D6E" w:rsidRDefault="00AA3B3F" w:rsidP="002B757A">
      <w:pPr>
        <w:spacing w:line="360" w:lineRule="auto"/>
        <w:jc w:val="both"/>
        <w:rPr>
          <w:rFonts w:eastAsia="Calibri" w:cstheme="minorHAnsi"/>
        </w:rPr>
      </w:pPr>
      <w:r>
        <w:rPr>
          <w:rFonts w:eastAsia="Calibri" w:cstheme="minorHAnsi"/>
        </w:rPr>
        <w:t xml:space="preserve"> </w:t>
      </w:r>
    </w:p>
    <w:p w:rsidR="0001156C" w:rsidRPr="00FC6D6E" w:rsidRDefault="0001156C" w:rsidP="0001156C">
      <w:pPr>
        <w:jc w:val="both"/>
      </w:pPr>
    </w:p>
    <w:p w:rsidR="0001156C" w:rsidRPr="00FC6D6E" w:rsidRDefault="0001156C"/>
    <w:sectPr w:rsidR="0001156C" w:rsidRPr="00FC6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73021"/>
    <w:multiLevelType w:val="multilevel"/>
    <w:tmpl w:val="266692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9CC"/>
    <w:rsid w:val="0001156C"/>
    <w:rsid w:val="000752A9"/>
    <w:rsid w:val="000D72B0"/>
    <w:rsid w:val="000E2225"/>
    <w:rsid w:val="000F6940"/>
    <w:rsid w:val="001121A7"/>
    <w:rsid w:val="00123795"/>
    <w:rsid w:val="00131E6D"/>
    <w:rsid w:val="00136E9C"/>
    <w:rsid w:val="00162FA0"/>
    <w:rsid w:val="00176BFD"/>
    <w:rsid w:val="00196E1E"/>
    <w:rsid w:val="0024263A"/>
    <w:rsid w:val="00243B5C"/>
    <w:rsid w:val="002B757A"/>
    <w:rsid w:val="00303AB7"/>
    <w:rsid w:val="00367ABD"/>
    <w:rsid w:val="003C22BD"/>
    <w:rsid w:val="003D364A"/>
    <w:rsid w:val="003F049D"/>
    <w:rsid w:val="00407839"/>
    <w:rsid w:val="0045368C"/>
    <w:rsid w:val="004C63E1"/>
    <w:rsid w:val="005021D7"/>
    <w:rsid w:val="00502F82"/>
    <w:rsid w:val="005D63A4"/>
    <w:rsid w:val="005E2A4D"/>
    <w:rsid w:val="005F3AD4"/>
    <w:rsid w:val="00633282"/>
    <w:rsid w:val="00666AD9"/>
    <w:rsid w:val="0070286A"/>
    <w:rsid w:val="00727BD3"/>
    <w:rsid w:val="0078102C"/>
    <w:rsid w:val="0078108D"/>
    <w:rsid w:val="00783A71"/>
    <w:rsid w:val="007C7193"/>
    <w:rsid w:val="0081705D"/>
    <w:rsid w:val="008709CC"/>
    <w:rsid w:val="00874A84"/>
    <w:rsid w:val="008A1FB1"/>
    <w:rsid w:val="008E1E46"/>
    <w:rsid w:val="008F6361"/>
    <w:rsid w:val="009877AF"/>
    <w:rsid w:val="00994D51"/>
    <w:rsid w:val="009A56D4"/>
    <w:rsid w:val="009D4542"/>
    <w:rsid w:val="00A03AE5"/>
    <w:rsid w:val="00A348BF"/>
    <w:rsid w:val="00A62E51"/>
    <w:rsid w:val="00A82AB7"/>
    <w:rsid w:val="00A94BAF"/>
    <w:rsid w:val="00AA3B3F"/>
    <w:rsid w:val="00AC6B9C"/>
    <w:rsid w:val="00AD3D73"/>
    <w:rsid w:val="00B12B3B"/>
    <w:rsid w:val="00B22EB4"/>
    <w:rsid w:val="00B71091"/>
    <w:rsid w:val="00B93EE8"/>
    <w:rsid w:val="00BE793D"/>
    <w:rsid w:val="00C30159"/>
    <w:rsid w:val="00C403F7"/>
    <w:rsid w:val="00C648A7"/>
    <w:rsid w:val="00CA0861"/>
    <w:rsid w:val="00D2398F"/>
    <w:rsid w:val="00D368C0"/>
    <w:rsid w:val="00D701C9"/>
    <w:rsid w:val="00D82E39"/>
    <w:rsid w:val="00DB5611"/>
    <w:rsid w:val="00DF1CA0"/>
    <w:rsid w:val="00E072DB"/>
    <w:rsid w:val="00E11125"/>
    <w:rsid w:val="00E55C1C"/>
    <w:rsid w:val="00E73E09"/>
    <w:rsid w:val="00EA68B5"/>
    <w:rsid w:val="00ED3DCC"/>
    <w:rsid w:val="00F0039D"/>
    <w:rsid w:val="00F1579F"/>
    <w:rsid w:val="00F31730"/>
    <w:rsid w:val="00F80775"/>
    <w:rsid w:val="00F853C9"/>
    <w:rsid w:val="00F94FFA"/>
    <w:rsid w:val="00FC6D6E"/>
    <w:rsid w:val="00FD6C5B"/>
    <w:rsid w:val="00FF0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4DCDA"/>
  <w15:chartTrackingRefBased/>
  <w15:docId w15:val="{A383EC2D-5F85-42A8-8522-B747F0064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B5C"/>
    <w:pPr>
      <w:ind w:left="720"/>
      <w:contextualSpacing/>
    </w:pPr>
  </w:style>
  <w:style w:type="character" w:styleId="Hyperlink">
    <w:name w:val="Hyperlink"/>
    <w:basedOn w:val="DefaultParagraphFont"/>
    <w:rsid w:val="00303AB7"/>
    <w:rPr>
      <w:color w:val="0563C1"/>
      <w:u w:val="single"/>
    </w:rPr>
  </w:style>
  <w:style w:type="character" w:styleId="FollowedHyperlink">
    <w:name w:val="FollowedHyperlink"/>
    <w:basedOn w:val="DefaultParagraphFont"/>
    <w:uiPriority w:val="99"/>
    <w:semiHidden/>
    <w:unhideWhenUsed/>
    <w:rsid w:val="00F003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udyskills.southwales.ac.uk/media/files/documents/2016-03-24/How_to_Manage_a_Group_Presentation.pdf" TargetMode="External"/><Relationship Id="rId5" Type="http://schemas.openxmlformats.org/officeDocument/2006/relationships/hyperlink" Target="https://www.munplanet.com/articles/academical-writing-skills/why-is-writing-skill-the-most-important-skill-you-need-in-university-lif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9</Pages>
  <Words>3366</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 Massrojih (P149649)</dc:creator>
  <cp:keywords/>
  <dc:description/>
  <cp:lastModifiedBy>Leen Massrojih (P149649)</cp:lastModifiedBy>
  <cp:revision>119</cp:revision>
  <dcterms:created xsi:type="dcterms:W3CDTF">2019-02-25T15:38:00Z</dcterms:created>
  <dcterms:modified xsi:type="dcterms:W3CDTF">2019-02-25T19:06:00Z</dcterms:modified>
</cp:coreProperties>
</file>