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A98D5" w14:textId="7B92B316" w:rsidR="008224F8" w:rsidRDefault="008224F8" w:rsidP="003575A8">
      <w:pPr>
        <w:jc w:val="center"/>
        <w:rPr>
          <w:rFonts w:ascii="Arial" w:hAnsi="Arial" w:cs="Arial"/>
          <w:b/>
          <w:bCs/>
          <w:sz w:val="56"/>
          <w:szCs w:val="56"/>
        </w:rPr>
      </w:pPr>
    </w:p>
    <w:p w14:paraId="45ED48DB" w14:textId="3B10C8C2" w:rsidR="00921BBD" w:rsidRDefault="00921BBD" w:rsidP="003575A8">
      <w:pPr>
        <w:jc w:val="center"/>
        <w:rPr>
          <w:rFonts w:ascii="Arial" w:hAnsi="Arial" w:cs="Arial"/>
          <w:b/>
          <w:bCs/>
          <w:sz w:val="56"/>
          <w:szCs w:val="56"/>
        </w:rPr>
      </w:pPr>
    </w:p>
    <w:p w14:paraId="0DF29418" w14:textId="2E28197D" w:rsidR="00921BBD" w:rsidRDefault="00921BBD" w:rsidP="003575A8">
      <w:pPr>
        <w:jc w:val="center"/>
        <w:rPr>
          <w:rFonts w:ascii="Arial" w:hAnsi="Arial" w:cs="Arial"/>
          <w:b/>
          <w:bCs/>
          <w:sz w:val="56"/>
          <w:szCs w:val="56"/>
        </w:rPr>
      </w:pPr>
    </w:p>
    <w:p w14:paraId="53668FCC" w14:textId="42C26078" w:rsidR="00921BBD" w:rsidRDefault="00921BBD" w:rsidP="003575A8">
      <w:pPr>
        <w:jc w:val="center"/>
        <w:rPr>
          <w:rFonts w:ascii="Arial" w:hAnsi="Arial" w:cs="Arial"/>
          <w:b/>
          <w:bCs/>
          <w:sz w:val="56"/>
          <w:szCs w:val="56"/>
        </w:rPr>
      </w:pPr>
      <w:r>
        <w:rPr>
          <w:rFonts w:ascii="Arial" w:hAnsi="Arial" w:cs="Arial"/>
          <w:b/>
          <w:bCs/>
          <w:sz w:val="56"/>
          <w:szCs w:val="56"/>
        </w:rPr>
        <w:t>European Law – Assignment 2</w:t>
      </w:r>
    </w:p>
    <w:p w14:paraId="35FBB0B7" w14:textId="13B71D26" w:rsidR="00921BBD" w:rsidRDefault="00921BBD" w:rsidP="003575A8">
      <w:pPr>
        <w:jc w:val="center"/>
        <w:rPr>
          <w:rFonts w:ascii="Arial" w:hAnsi="Arial" w:cs="Arial"/>
          <w:b/>
          <w:bCs/>
          <w:sz w:val="56"/>
          <w:szCs w:val="56"/>
        </w:rPr>
      </w:pPr>
    </w:p>
    <w:p w14:paraId="72E5E4E9" w14:textId="7FC302BF" w:rsidR="00921BBD" w:rsidRDefault="00921BBD" w:rsidP="003575A8">
      <w:pPr>
        <w:jc w:val="center"/>
        <w:rPr>
          <w:rFonts w:ascii="Arial" w:hAnsi="Arial" w:cs="Arial"/>
          <w:sz w:val="44"/>
          <w:szCs w:val="44"/>
        </w:rPr>
      </w:pPr>
      <w:r>
        <w:rPr>
          <w:rFonts w:ascii="Arial" w:hAnsi="Arial" w:cs="Arial"/>
          <w:sz w:val="44"/>
          <w:szCs w:val="44"/>
        </w:rPr>
        <w:t xml:space="preserve">By George </w:t>
      </w:r>
      <w:proofErr w:type="spellStart"/>
      <w:r>
        <w:rPr>
          <w:rFonts w:ascii="Arial" w:hAnsi="Arial" w:cs="Arial"/>
          <w:sz w:val="44"/>
          <w:szCs w:val="44"/>
        </w:rPr>
        <w:t>Lovering</w:t>
      </w:r>
      <w:proofErr w:type="spellEnd"/>
    </w:p>
    <w:p w14:paraId="774D55B1" w14:textId="6CDD4E53" w:rsidR="00921BBD" w:rsidRDefault="00921BBD">
      <w:pPr>
        <w:rPr>
          <w:rFonts w:ascii="Arial" w:hAnsi="Arial" w:cs="Arial"/>
          <w:sz w:val="44"/>
          <w:szCs w:val="44"/>
        </w:rPr>
      </w:pPr>
      <w:r>
        <w:rPr>
          <w:rFonts w:ascii="Arial" w:hAnsi="Arial" w:cs="Arial"/>
          <w:sz w:val="44"/>
          <w:szCs w:val="44"/>
        </w:rPr>
        <w:br w:type="page"/>
      </w:r>
    </w:p>
    <w:p w14:paraId="0112BD11" w14:textId="43F7A6FD" w:rsidR="00921BBD" w:rsidRDefault="00CB794D" w:rsidP="00921BBD">
      <w:pPr>
        <w:rPr>
          <w:rFonts w:ascii="Arial" w:hAnsi="Arial" w:cs="Arial"/>
          <w:b/>
          <w:bCs/>
          <w:sz w:val="24"/>
          <w:szCs w:val="24"/>
        </w:rPr>
      </w:pPr>
      <w:r>
        <w:rPr>
          <w:rFonts w:ascii="Arial" w:hAnsi="Arial" w:cs="Arial"/>
          <w:b/>
          <w:bCs/>
          <w:sz w:val="24"/>
          <w:szCs w:val="24"/>
        </w:rPr>
        <w:lastRenderedPageBreak/>
        <w:t>Question 1)</w:t>
      </w:r>
    </w:p>
    <w:p w14:paraId="0ECE0038" w14:textId="0FEB22B0" w:rsidR="00CB794D" w:rsidRDefault="00CB794D" w:rsidP="00921BBD">
      <w:pPr>
        <w:rPr>
          <w:rFonts w:ascii="Arial" w:hAnsi="Arial" w:cs="Arial"/>
          <w:b/>
          <w:bCs/>
          <w:sz w:val="24"/>
          <w:szCs w:val="24"/>
        </w:rPr>
      </w:pPr>
    </w:p>
    <w:p w14:paraId="289AEF39" w14:textId="07CE35DD" w:rsidR="007150EE" w:rsidRDefault="00324426" w:rsidP="007150EE">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hAnsi="Arial" w:cs="Arial"/>
          <w:sz w:val="24"/>
          <w:szCs w:val="24"/>
        </w:rPr>
        <w:t xml:space="preserve">When looking at the concept of the ‘relevant market’, firstly, the definition and meaning must be clearly presented and discussed in the contexed of competition law. </w:t>
      </w:r>
      <w:r w:rsidR="00E342A9">
        <w:rPr>
          <w:rFonts w:ascii="Arial" w:hAnsi="Arial" w:cs="Arial"/>
          <w:sz w:val="24"/>
          <w:szCs w:val="24"/>
        </w:rPr>
        <w:t>In competition law, a broad and general definition for the relevant market</w:t>
      </w:r>
      <w:r w:rsidR="00F43484">
        <w:rPr>
          <w:rFonts w:ascii="Arial" w:hAnsi="Arial" w:cs="Arial"/>
          <w:sz w:val="24"/>
          <w:szCs w:val="24"/>
        </w:rPr>
        <w:t xml:space="preserve"> </w:t>
      </w:r>
      <w:r w:rsidR="00E342A9">
        <w:rPr>
          <w:rFonts w:ascii="Arial" w:hAnsi="Arial" w:cs="Arial"/>
          <w:sz w:val="24"/>
          <w:szCs w:val="24"/>
        </w:rPr>
        <w:t xml:space="preserve">is </w:t>
      </w:r>
      <w:r w:rsidR="00943789">
        <w:rPr>
          <w:rFonts w:ascii="Arial" w:hAnsi="Arial" w:cs="Arial"/>
          <w:sz w:val="24"/>
          <w:szCs w:val="24"/>
        </w:rPr>
        <w:t xml:space="preserve">that it’s a key element in determining </w:t>
      </w:r>
      <w:r w:rsidR="00BD4C46">
        <w:rPr>
          <w:rFonts w:ascii="Arial" w:hAnsi="Arial" w:cs="Arial"/>
          <w:sz w:val="24"/>
          <w:szCs w:val="24"/>
        </w:rPr>
        <w:t xml:space="preserve">the regulations around different firms competing against each other and allowing the European Commission to apply them. </w:t>
      </w:r>
      <w:r w:rsidR="00F862BE">
        <w:rPr>
          <w:rFonts w:ascii="Arial" w:hAnsi="Arial" w:cs="Arial"/>
          <w:sz w:val="24"/>
          <w:szCs w:val="24"/>
        </w:rPr>
        <w:t xml:space="preserve">An important thing to note when discussing the definition of relevant market is that the European Commission established a notice on this in 1997. </w:t>
      </w:r>
      <w:r w:rsidR="005D2C5C">
        <w:rPr>
          <w:rFonts w:ascii="Arial" w:hAnsi="Arial" w:cs="Arial"/>
          <w:sz w:val="24"/>
          <w:szCs w:val="24"/>
        </w:rPr>
        <w:t>A key purpose of the relevant market is to prevent the abuse of a dominant position, this is when a company attempts to restrict competition and monopolise a market, examples of abuse can be charging what’s considered to be unreasonably low or high prices (</w:t>
      </w:r>
      <w:r w:rsidR="00E93281">
        <w:rPr>
          <w:rFonts w:ascii="Arial" w:hAnsi="Arial" w:cs="Arial"/>
          <w:sz w:val="24"/>
          <w:szCs w:val="24"/>
        </w:rPr>
        <w:t>bigger competitors making prices too low</w:t>
      </w:r>
      <w:r w:rsidR="005D2C5C">
        <w:rPr>
          <w:rFonts w:ascii="Arial" w:hAnsi="Arial" w:cs="Arial"/>
          <w:sz w:val="24"/>
          <w:szCs w:val="24"/>
        </w:rPr>
        <w:t xml:space="preserve"> would make it harder for smaller competitors in the market)</w:t>
      </w:r>
      <w:r w:rsidR="00E93281">
        <w:rPr>
          <w:rFonts w:ascii="Arial" w:hAnsi="Arial" w:cs="Arial"/>
          <w:sz w:val="24"/>
          <w:szCs w:val="24"/>
        </w:rPr>
        <w:t xml:space="preserve">. When </w:t>
      </w:r>
      <w:r w:rsidR="00152B5B">
        <w:rPr>
          <w:rFonts w:ascii="Arial" w:hAnsi="Arial" w:cs="Arial"/>
          <w:sz w:val="24"/>
          <w:szCs w:val="24"/>
        </w:rPr>
        <w:t xml:space="preserve">examining </w:t>
      </w:r>
      <w:r w:rsidR="00E93281">
        <w:rPr>
          <w:rFonts w:ascii="Arial" w:hAnsi="Arial" w:cs="Arial"/>
          <w:sz w:val="24"/>
          <w:szCs w:val="24"/>
        </w:rPr>
        <w:t xml:space="preserve">the specific regulations, Art 101 TFEU is </w:t>
      </w:r>
      <w:r w:rsidR="000B3AC4">
        <w:rPr>
          <w:rFonts w:ascii="Arial" w:hAnsi="Arial" w:cs="Arial"/>
          <w:sz w:val="24"/>
          <w:szCs w:val="24"/>
        </w:rPr>
        <w:t xml:space="preserve">relevant because </w:t>
      </w:r>
      <w:r w:rsidR="009817B3">
        <w:rPr>
          <w:rFonts w:ascii="Arial" w:hAnsi="Arial" w:cs="Arial"/>
          <w:sz w:val="24"/>
          <w:szCs w:val="24"/>
        </w:rPr>
        <w:t xml:space="preserve">it outlines the rules of competition in this area, </w:t>
      </w:r>
      <w:r w:rsidR="005C07A4">
        <w:rPr>
          <w:rFonts w:ascii="Arial" w:hAnsi="Arial" w:cs="Arial"/>
          <w:sz w:val="24"/>
          <w:szCs w:val="24"/>
        </w:rPr>
        <w:t>the significant conditions in Art 101</w:t>
      </w:r>
      <w:r w:rsidR="00741333">
        <w:rPr>
          <w:rFonts w:ascii="Arial" w:hAnsi="Arial" w:cs="Arial"/>
          <w:sz w:val="24"/>
          <w:szCs w:val="24"/>
        </w:rPr>
        <w:t xml:space="preserve">(3) state </w:t>
      </w:r>
      <w:r w:rsidR="00741333" w:rsidRPr="00741333">
        <w:rPr>
          <w:rFonts w:ascii="Arial" w:hAnsi="Arial" w:cs="Arial"/>
          <w:sz w:val="24"/>
          <w:szCs w:val="24"/>
        </w:rPr>
        <w:t>“</w:t>
      </w:r>
      <w:r w:rsidR="00741333" w:rsidRPr="00741333">
        <w:rPr>
          <w:rFonts w:ascii="Arial" w:eastAsia="Times New Roman" w:hAnsi="Arial" w:cs="Arial"/>
          <w:sz w:val="24"/>
          <w:szCs w:val="24"/>
          <w:lang w:eastAsia="en-GB"/>
        </w:rPr>
        <w:t>it must contribute to improving the production or distribution of goods or to promoting technical or economic progress;</w:t>
      </w:r>
      <w:r w:rsidR="00741333">
        <w:rPr>
          <w:rFonts w:ascii="Arial" w:eastAsia="Times New Roman" w:hAnsi="Arial" w:cs="Arial"/>
          <w:sz w:val="24"/>
          <w:szCs w:val="24"/>
          <w:lang w:eastAsia="en-GB"/>
        </w:rPr>
        <w:t xml:space="preserve"> </w:t>
      </w:r>
      <w:r w:rsidR="00741333" w:rsidRPr="00741333">
        <w:rPr>
          <w:rFonts w:ascii="Arial" w:eastAsia="Times New Roman" w:hAnsi="Arial" w:cs="Arial"/>
          <w:sz w:val="24"/>
          <w:szCs w:val="24"/>
          <w:lang w:eastAsia="en-GB"/>
        </w:rPr>
        <w:t>consumers must receive a fair share of the resulting benefits;</w:t>
      </w:r>
      <w:r w:rsidR="00741333">
        <w:rPr>
          <w:rFonts w:ascii="Arial" w:eastAsia="Times New Roman" w:hAnsi="Arial" w:cs="Arial"/>
          <w:sz w:val="24"/>
          <w:szCs w:val="24"/>
          <w:lang w:eastAsia="en-GB"/>
        </w:rPr>
        <w:t xml:space="preserve"> </w:t>
      </w:r>
      <w:r w:rsidR="00741333" w:rsidRPr="00741333">
        <w:rPr>
          <w:rFonts w:ascii="Arial" w:eastAsia="Times New Roman" w:hAnsi="Arial" w:cs="Arial"/>
          <w:sz w:val="24"/>
          <w:szCs w:val="24"/>
          <w:lang w:eastAsia="en-GB"/>
        </w:rPr>
        <w:t>the restrictions must be essential to achieving these objectives; and</w:t>
      </w:r>
      <w:r w:rsidR="00741333">
        <w:rPr>
          <w:rFonts w:ascii="Arial" w:eastAsia="Times New Roman" w:hAnsi="Arial" w:cs="Arial"/>
          <w:sz w:val="24"/>
          <w:szCs w:val="24"/>
          <w:lang w:eastAsia="en-GB"/>
        </w:rPr>
        <w:t xml:space="preserve"> </w:t>
      </w:r>
      <w:r w:rsidR="00741333" w:rsidRPr="00741333">
        <w:rPr>
          <w:rFonts w:ascii="Arial" w:eastAsia="Times New Roman" w:hAnsi="Arial" w:cs="Arial"/>
          <w:sz w:val="24"/>
          <w:szCs w:val="24"/>
          <w:lang w:eastAsia="en-GB"/>
        </w:rPr>
        <w:t>the agreement must not give the parties any possibility of eliminating competition in respect of substantial elements of the products in question.</w:t>
      </w:r>
      <w:r w:rsidR="00741333">
        <w:rPr>
          <w:rFonts w:ascii="Arial" w:eastAsia="Times New Roman" w:hAnsi="Arial" w:cs="Arial"/>
          <w:sz w:val="24"/>
          <w:szCs w:val="24"/>
          <w:lang w:eastAsia="en-GB"/>
        </w:rPr>
        <w:t>”</w:t>
      </w:r>
    </w:p>
    <w:p w14:paraId="2EC06230" w14:textId="3CA76B0D" w:rsidR="00CF3768" w:rsidRDefault="007150EE" w:rsidP="007150EE">
      <w:pPr>
        <w:shd w:val="clear" w:color="auto" w:fill="FFFFFF"/>
        <w:spacing w:before="100" w:beforeAutospacing="1" w:after="100" w:afterAutospacing="1" w:line="240" w:lineRule="auto"/>
        <w:rPr>
          <w:rFonts w:ascii="Arial" w:hAnsi="Arial" w:cs="Arial"/>
          <w:sz w:val="24"/>
          <w:szCs w:val="24"/>
        </w:rPr>
      </w:pPr>
      <w:r>
        <w:rPr>
          <w:rFonts w:ascii="Arial" w:eastAsia="Times New Roman" w:hAnsi="Arial" w:cs="Arial"/>
          <w:sz w:val="24"/>
          <w:szCs w:val="24"/>
          <w:lang w:eastAsia="en-GB"/>
        </w:rPr>
        <w:t xml:space="preserve">The conditions outlined in Art 101(3) TFEU help uphold the integrity of trading between countries and promote a fairer environment of competition. </w:t>
      </w:r>
      <w:r w:rsidR="001F328C">
        <w:rPr>
          <w:rFonts w:ascii="Arial" w:eastAsia="Times New Roman" w:hAnsi="Arial" w:cs="Arial"/>
          <w:sz w:val="24"/>
          <w:szCs w:val="24"/>
          <w:lang w:eastAsia="en-GB"/>
        </w:rPr>
        <w:t>Art 102 TFEU is also a significant piece of legislation in place in order to prevent the abuse of a dominant position</w:t>
      </w:r>
      <w:r w:rsidR="00F94786">
        <w:rPr>
          <w:rFonts w:ascii="Arial" w:eastAsia="Times New Roman" w:hAnsi="Arial" w:cs="Arial"/>
          <w:sz w:val="24"/>
          <w:szCs w:val="24"/>
          <w:lang w:eastAsia="en-GB"/>
        </w:rPr>
        <w:t xml:space="preserve">, both pieces of policy help developed the EU </w:t>
      </w:r>
      <w:r w:rsidR="00085C7C">
        <w:rPr>
          <w:rFonts w:ascii="Arial" w:eastAsia="Times New Roman" w:hAnsi="Arial" w:cs="Arial"/>
          <w:sz w:val="24"/>
          <w:szCs w:val="24"/>
          <w:lang w:eastAsia="en-GB"/>
        </w:rPr>
        <w:t>A</w:t>
      </w:r>
      <w:r w:rsidR="00F94786">
        <w:rPr>
          <w:rFonts w:ascii="Arial" w:eastAsia="Times New Roman" w:hAnsi="Arial" w:cs="Arial"/>
          <w:sz w:val="24"/>
          <w:szCs w:val="24"/>
          <w:lang w:eastAsia="en-GB"/>
        </w:rPr>
        <w:t>ntitrust policy.</w:t>
      </w:r>
      <w:r w:rsidR="0017697F">
        <w:rPr>
          <w:rFonts w:ascii="Arial" w:eastAsia="Times New Roman" w:hAnsi="Arial" w:cs="Arial"/>
          <w:sz w:val="24"/>
          <w:szCs w:val="24"/>
          <w:lang w:eastAsia="en-GB"/>
        </w:rPr>
        <w:t xml:space="preserve"> A case demonstrating the significance of Article 102 is the case </w:t>
      </w:r>
      <w:r w:rsidR="0017697F" w:rsidRPr="0017697F">
        <w:rPr>
          <w:rFonts w:ascii="Arial" w:eastAsia="Times New Roman" w:hAnsi="Arial" w:cs="Arial"/>
          <w:sz w:val="24"/>
          <w:szCs w:val="24"/>
          <w:lang w:eastAsia="en-GB"/>
        </w:rPr>
        <w:t xml:space="preserve">of </w:t>
      </w:r>
      <w:proofErr w:type="spellStart"/>
      <w:r w:rsidR="0017697F" w:rsidRPr="0017697F">
        <w:rPr>
          <w:rFonts w:ascii="Arial" w:hAnsi="Arial" w:cs="Arial"/>
          <w:sz w:val="24"/>
          <w:szCs w:val="24"/>
        </w:rPr>
        <w:t>Sealink</w:t>
      </w:r>
      <w:proofErr w:type="spellEnd"/>
      <w:r w:rsidR="0017697F" w:rsidRPr="0017697F">
        <w:rPr>
          <w:rFonts w:ascii="Arial" w:hAnsi="Arial" w:cs="Arial"/>
          <w:sz w:val="24"/>
          <w:szCs w:val="24"/>
        </w:rPr>
        <w:t xml:space="preserve">/B &amp; I – Holyhead </w:t>
      </w:r>
      <w:r w:rsidR="00211ADE">
        <w:rPr>
          <w:rFonts w:ascii="Arial" w:hAnsi="Arial" w:cs="Arial"/>
          <w:sz w:val="24"/>
          <w:szCs w:val="24"/>
        </w:rPr>
        <w:t>[</w:t>
      </w:r>
      <w:r w:rsidR="0017697F" w:rsidRPr="0017697F">
        <w:rPr>
          <w:rFonts w:ascii="Arial" w:hAnsi="Arial" w:cs="Arial"/>
          <w:sz w:val="24"/>
          <w:szCs w:val="24"/>
        </w:rPr>
        <w:t>1992</w:t>
      </w:r>
      <w:r w:rsidR="00211ADE">
        <w:rPr>
          <w:rFonts w:ascii="Arial" w:hAnsi="Arial" w:cs="Arial"/>
          <w:sz w:val="24"/>
          <w:szCs w:val="24"/>
        </w:rPr>
        <w:t>]</w:t>
      </w:r>
      <w:r w:rsidR="00CE7234">
        <w:rPr>
          <w:rFonts w:ascii="Arial" w:hAnsi="Arial" w:cs="Arial"/>
          <w:sz w:val="24"/>
          <w:szCs w:val="24"/>
        </w:rPr>
        <w:t>, specifically the area of access to facilities and what are considered essential facilities in competition law.</w:t>
      </w:r>
      <w:r w:rsidR="00FF75A7">
        <w:rPr>
          <w:rFonts w:ascii="Arial" w:hAnsi="Arial" w:cs="Arial"/>
          <w:sz w:val="24"/>
          <w:szCs w:val="24"/>
        </w:rPr>
        <w:t xml:space="preserve"> The principles of essential facilities were applied for the first time by the European Commission in this case</w:t>
      </w:r>
      <w:r w:rsidR="002C7F78">
        <w:rPr>
          <w:rFonts w:ascii="Arial" w:hAnsi="Arial" w:cs="Arial"/>
          <w:sz w:val="24"/>
          <w:szCs w:val="24"/>
        </w:rPr>
        <w:t>, where an operator of a port</w:t>
      </w:r>
      <w:r w:rsidR="00474A72">
        <w:rPr>
          <w:rFonts w:ascii="Arial" w:hAnsi="Arial" w:cs="Arial"/>
          <w:sz w:val="24"/>
          <w:szCs w:val="24"/>
        </w:rPr>
        <w:t xml:space="preserve"> (</w:t>
      </w:r>
      <w:proofErr w:type="spellStart"/>
      <w:r w:rsidR="00474A72">
        <w:rPr>
          <w:rFonts w:ascii="Arial" w:hAnsi="Arial" w:cs="Arial"/>
          <w:sz w:val="24"/>
          <w:szCs w:val="24"/>
        </w:rPr>
        <w:t>Sealink</w:t>
      </w:r>
      <w:proofErr w:type="spellEnd"/>
      <w:r w:rsidR="00474A72">
        <w:rPr>
          <w:rFonts w:ascii="Arial" w:hAnsi="Arial" w:cs="Arial"/>
          <w:sz w:val="24"/>
          <w:szCs w:val="24"/>
        </w:rPr>
        <w:t>)</w:t>
      </w:r>
      <w:r w:rsidR="002C7F78">
        <w:rPr>
          <w:rFonts w:ascii="Arial" w:hAnsi="Arial" w:cs="Arial"/>
          <w:sz w:val="24"/>
          <w:szCs w:val="24"/>
        </w:rPr>
        <w:t xml:space="preserve"> was said to have abused their position by refusing access</w:t>
      </w:r>
      <w:r w:rsidR="00A4109F">
        <w:rPr>
          <w:rFonts w:ascii="Arial" w:hAnsi="Arial" w:cs="Arial"/>
          <w:sz w:val="24"/>
          <w:szCs w:val="24"/>
        </w:rPr>
        <w:t xml:space="preserve"> to a competitor.</w:t>
      </w:r>
      <w:r w:rsidR="00D3686C">
        <w:rPr>
          <w:rFonts w:ascii="Arial" w:hAnsi="Arial" w:cs="Arial"/>
          <w:sz w:val="24"/>
          <w:szCs w:val="24"/>
        </w:rPr>
        <w:t xml:space="preserve"> </w:t>
      </w:r>
      <w:r w:rsidR="0004153E">
        <w:rPr>
          <w:rFonts w:ascii="Arial" w:hAnsi="Arial" w:cs="Arial"/>
          <w:sz w:val="24"/>
          <w:szCs w:val="24"/>
        </w:rPr>
        <w:t>In</w:t>
      </w:r>
      <w:r w:rsidR="005A4DC3">
        <w:rPr>
          <w:rFonts w:ascii="Arial" w:hAnsi="Arial" w:cs="Arial"/>
          <w:sz w:val="24"/>
          <w:szCs w:val="24"/>
        </w:rPr>
        <w:t xml:space="preserve"> regards to determining whether or not abuse has affected trade under Article 101 TFEU, </w:t>
      </w:r>
      <w:r w:rsidR="004A6FDD">
        <w:rPr>
          <w:rFonts w:ascii="Arial" w:hAnsi="Arial" w:cs="Arial"/>
          <w:sz w:val="24"/>
          <w:szCs w:val="24"/>
        </w:rPr>
        <w:t xml:space="preserve">in the geographical market trading conditions can differ and there may be instances where the commission </w:t>
      </w:r>
      <w:r w:rsidR="00FB2CBE">
        <w:rPr>
          <w:rFonts w:ascii="Arial" w:hAnsi="Arial" w:cs="Arial"/>
          <w:sz w:val="24"/>
          <w:szCs w:val="24"/>
        </w:rPr>
        <w:t xml:space="preserve">makes a </w:t>
      </w:r>
      <w:r w:rsidR="00CF3768">
        <w:rPr>
          <w:rFonts w:ascii="Arial" w:hAnsi="Arial" w:cs="Arial"/>
          <w:sz w:val="24"/>
          <w:szCs w:val="24"/>
        </w:rPr>
        <w:t>rules that there is an unfair market share</w:t>
      </w:r>
      <w:r w:rsidR="00FB2CBE">
        <w:rPr>
          <w:rFonts w:ascii="Arial" w:hAnsi="Arial" w:cs="Arial"/>
          <w:sz w:val="24"/>
          <w:szCs w:val="24"/>
        </w:rPr>
        <w:t>, for example</w:t>
      </w:r>
      <w:r w:rsidR="00CF3768">
        <w:rPr>
          <w:rFonts w:ascii="Arial" w:hAnsi="Arial" w:cs="Arial"/>
          <w:sz w:val="24"/>
          <w:szCs w:val="24"/>
        </w:rPr>
        <w:t>, t</w:t>
      </w:r>
      <w:r w:rsidR="00FB2CBE">
        <w:rPr>
          <w:rFonts w:ascii="Arial" w:hAnsi="Arial" w:cs="Arial"/>
          <w:sz w:val="24"/>
          <w:szCs w:val="24"/>
        </w:rPr>
        <w:t>he case of United Brands Company v European Commission [1978] demonstrat</w:t>
      </w:r>
      <w:r w:rsidR="00211ADE">
        <w:rPr>
          <w:rFonts w:ascii="Arial" w:hAnsi="Arial" w:cs="Arial"/>
          <w:sz w:val="24"/>
          <w:szCs w:val="24"/>
        </w:rPr>
        <w:t xml:space="preserve">es </w:t>
      </w:r>
      <w:r w:rsidR="003D0DEC">
        <w:rPr>
          <w:rFonts w:ascii="Arial" w:hAnsi="Arial" w:cs="Arial"/>
          <w:sz w:val="24"/>
          <w:szCs w:val="24"/>
        </w:rPr>
        <w:t xml:space="preserve">a violation of regulations and an abuse of a dominant position under Article 86, due to being anti-competitive and having control of around 45% of the EU banana market which was ruled to be a dominant position. </w:t>
      </w:r>
      <w:r w:rsidR="00E349C3">
        <w:rPr>
          <w:rFonts w:ascii="Arial" w:hAnsi="Arial" w:cs="Arial"/>
          <w:sz w:val="24"/>
          <w:szCs w:val="24"/>
        </w:rPr>
        <w:t xml:space="preserve">The case of </w:t>
      </w:r>
      <w:proofErr w:type="spellStart"/>
      <w:r w:rsidR="00E349C3">
        <w:rPr>
          <w:rFonts w:ascii="Arial" w:hAnsi="Arial" w:cs="Arial"/>
          <w:sz w:val="24"/>
          <w:szCs w:val="24"/>
        </w:rPr>
        <w:t>Consten</w:t>
      </w:r>
      <w:proofErr w:type="spellEnd"/>
      <w:r w:rsidR="00E349C3">
        <w:rPr>
          <w:rFonts w:ascii="Arial" w:hAnsi="Arial" w:cs="Arial"/>
          <w:sz w:val="24"/>
          <w:szCs w:val="24"/>
        </w:rPr>
        <w:t xml:space="preserve"> </w:t>
      </w:r>
      <w:proofErr w:type="spellStart"/>
      <w:r w:rsidR="00E349C3">
        <w:rPr>
          <w:rFonts w:ascii="Arial" w:hAnsi="Arial" w:cs="Arial"/>
          <w:sz w:val="24"/>
          <w:szCs w:val="24"/>
        </w:rPr>
        <w:t>SaRL</w:t>
      </w:r>
      <w:proofErr w:type="spellEnd"/>
      <w:r w:rsidR="00E349C3">
        <w:rPr>
          <w:rFonts w:ascii="Arial" w:hAnsi="Arial" w:cs="Arial"/>
          <w:sz w:val="24"/>
          <w:szCs w:val="24"/>
        </w:rPr>
        <w:t xml:space="preserve"> and Grundig GmbH v European Commission [1966] is also a relevant case when examining Art 101(1), Art 101 (2) and 101(3). </w:t>
      </w:r>
      <w:r w:rsidR="003B0B56">
        <w:rPr>
          <w:rFonts w:ascii="Arial" w:hAnsi="Arial" w:cs="Arial"/>
          <w:sz w:val="24"/>
          <w:szCs w:val="24"/>
        </w:rPr>
        <w:t xml:space="preserve">Highlighting incompatibles with the common market, this case again looks at anti-competitive practices and unlawful agreements made. </w:t>
      </w:r>
    </w:p>
    <w:p w14:paraId="075DCEC0" w14:textId="47D21F60" w:rsidR="00E23C76" w:rsidRDefault="00B87A04" w:rsidP="007150EE">
      <w:pPr>
        <w:shd w:val="clear" w:color="auto" w:fill="FFFFFF"/>
        <w:spacing w:before="100" w:beforeAutospacing="1" w:after="100" w:afterAutospacing="1" w:line="240" w:lineRule="auto"/>
        <w:rPr>
          <w:rFonts w:ascii="Arial" w:hAnsi="Arial" w:cs="Arial"/>
          <w:sz w:val="24"/>
          <w:szCs w:val="24"/>
        </w:rPr>
      </w:pPr>
      <w:r>
        <w:rPr>
          <w:rFonts w:ascii="Arial" w:hAnsi="Arial" w:cs="Arial"/>
          <w:sz w:val="24"/>
          <w:szCs w:val="24"/>
        </w:rPr>
        <w:t xml:space="preserve">In terms of how market share is calculated, the SSNIP test is a test that helps determine this </w:t>
      </w:r>
      <w:proofErr w:type="gramStart"/>
      <w:r>
        <w:rPr>
          <w:rFonts w:ascii="Arial" w:hAnsi="Arial" w:cs="Arial"/>
          <w:sz w:val="24"/>
          <w:szCs w:val="24"/>
        </w:rPr>
        <w:t>and also</w:t>
      </w:r>
      <w:proofErr w:type="gramEnd"/>
      <w:r>
        <w:rPr>
          <w:rFonts w:ascii="Arial" w:hAnsi="Arial" w:cs="Arial"/>
          <w:sz w:val="24"/>
          <w:szCs w:val="24"/>
        </w:rPr>
        <w:t xml:space="preserve"> points out any anti-competitive practices such as monopoli</w:t>
      </w:r>
      <w:r w:rsidR="00BC7B82">
        <w:rPr>
          <w:rFonts w:ascii="Arial" w:hAnsi="Arial" w:cs="Arial"/>
          <w:sz w:val="24"/>
          <w:szCs w:val="24"/>
        </w:rPr>
        <w:t>s</w:t>
      </w:r>
      <w:r>
        <w:rPr>
          <w:rFonts w:ascii="Arial" w:hAnsi="Arial" w:cs="Arial"/>
          <w:sz w:val="24"/>
          <w:szCs w:val="24"/>
        </w:rPr>
        <w:t>ations</w:t>
      </w:r>
      <w:r w:rsidR="00BC7B82">
        <w:rPr>
          <w:rFonts w:ascii="Arial" w:hAnsi="Arial" w:cs="Arial"/>
          <w:sz w:val="24"/>
          <w:szCs w:val="24"/>
        </w:rPr>
        <w:t>, the formation of “cartels”, collusion</w:t>
      </w:r>
      <w:r w:rsidR="00CC38D2">
        <w:rPr>
          <w:rFonts w:ascii="Arial" w:hAnsi="Arial" w:cs="Arial"/>
          <w:sz w:val="24"/>
          <w:szCs w:val="24"/>
        </w:rPr>
        <w:t xml:space="preserve">, and any other prohibited practices listed in TFEU. </w:t>
      </w:r>
      <w:r w:rsidR="00321AF6">
        <w:rPr>
          <w:rFonts w:ascii="Arial" w:hAnsi="Arial" w:cs="Arial"/>
          <w:sz w:val="24"/>
          <w:szCs w:val="24"/>
        </w:rPr>
        <w:t xml:space="preserve">Although the European Commission has been involved in high profile cases which have been previously mentioned and is considered to </w:t>
      </w:r>
      <w:r w:rsidR="00321AF6">
        <w:rPr>
          <w:rFonts w:ascii="Arial" w:hAnsi="Arial" w:cs="Arial"/>
          <w:sz w:val="24"/>
          <w:szCs w:val="24"/>
        </w:rPr>
        <w:lastRenderedPageBreak/>
        <w:t xml:space="preserve">promote fair practices in markets, it is also important to note that the have been some concerns and issues raised with how the European Commission operates. </w:t>
      </w:r>
      <w:r w:rsidR="002155DB">
        <w:rPr>
          <w:rFonts w:ascii="Arial" w:hAnsi="Arial" w:cs="Arial"/>
          <w:sz w:val="24"/>
          <w:szCs w:val="24"/>
        </w:rPr>
        <w:t>To quote Grant (2013), “the euro crisis has led to the Commission gaining unprecedented formal powers – on the surveillance of economic policies – but further eroded its standing and credibility.” Taking this statement into account, the standard operating procedure of the commission is being scrutinised</w:t>
      </w:r>
      <w:r w:rsidR="00364C1B">
        <w:rPr>
          <w:rFonts w:ascii="Arial" w:hAnsi="Arial" w:cs="Arial"/>
          <w:sz w:val="24"/>
          <w:szCs w:val="24"/>
        </w:rPr>
        <w:t>, and despite these supposed new powers coming into play and being employed by the European Commission, Grant also argues that the Commission plays a subordinate role to the European Council and other governments</w:t>
      </w:r>
      <w:r w:rsidR="009B0B76">
        <w:rPr>
          <w:rFonts w:ascii="Arial" w:hAnsi="Arial" w:cs="Arial"/>
          <w:sz w:val="24"/>
          <w:szCs w:val="24"/>
        </w:rPr>
        <w:t xml:space="preserve">, whilst other governments accusing the Commission of “failing to prioritise” and “implementing new initiatives too slowly”. </w:t>
      </w:r>
    </w:p>
    <w:p w14:paraId="630A7034" w14:textId="77777777" w:rsidR="00AF382D" w:rsidRDefault="00AF382D" w:rsidP="007150EE">
      <w:pPr>
        <w:shd w:val="clear" w:color="auto" w:fill="FFFFFF"/>
        <w:spacing w:before="100" w:beforeAutospacing="1" w:after="100" w:afterAutospacing="1" w:line="240" w:lineRule="auto"/>
        <w:rPr>
          <w:rFonts w:ascii="Arial" w:hAnsi="Arial" w:cs="Arial"/>
          <w:sz w:val="24"/>
          <w:szCs w:val="24"/>
        </w:rPr>
      </w:pPr>
    </w:p>
    <w:p w14:paraId="301C7267" w14:textId="7B8AF65A" w:rsidR="00E23C76" w:rsidRDefault="00E23C76" w:rsidP="007150EE">
      <w:pPr>
        <w:shd w:val="clear" w:color="auto" w:fill="FFFFFF"/>
        <w:spacing w:before="100" w:beforeAutospacing="1" w:after="100" w:afterAutospacing="1" w:line="240" w:lineRule="auto"/>
        <w:rPr>
          <w:rFonts w:ascii="Arial" w:hAnsi="Arial" w:cs="Arial"/>
          <w:sz w:val="24"/>
          <w:szCs w:val="24"/>
          <w:u w:val="single"/>
        </w:rPr>
      </w:pPr>
      <w:r>
        <w:rPr>
          <w:rFonts w:ascii="Arial" w:hAnsi="Arial" w:cs="Arial"/>
          <w:sz w:val="24"/>
          <w:szCs w:val="24"/>
          <w:u w:val="single"/>
        </w:rPr>
        <w:t xml:space="preserve">Question 1 References </w:t>
      </w:r>
    </w:p>
    <w:p w14:paraId="0101BFAD" w14:textId="77777777" w:rsidR="00743844" w:rsidRPr="00743844" w:rsidRDefault="00743844" w:rsidP="00743844">
      <w:pPr>
        <w:rPr>
          <w:rFonts w:ascii="Arial" w:hAnsi="Arial" w:cs="Arial"/>
          <w:sz w:val="24"/>
          <w:szCs w:val="24"/>
        </w:rPr>
      </w:pPr>
      <w:r w:rsidRPr="00743844">
        <w:rPr>
          <w:rFonts w:ascii="Arial" w:hAnsi="Arial" w:cs="Arial"/>
          <w:color w:val="000000"/>
          <w:sz w:val="24"/>
          <w:szCs w:val="24"/>
        </w:rPr>
        <w:t>Eccles, R. (2015). </w:t>
      </w:r>
      <w:r w:rsidRPr="00743844">
        <w:rPr>
          <w:rFonts w:ascii="Arial" w:hAnsi="Arial" w:cs="Arial"/>
          <w:i/>
          <w:iCs/>
          <w:color w:val="000000"/>
          <w:sz w:val="24"/>
          <w:szCs w:val="24"/>
        </w:rPr>
        <w:t>Competition law: Access to facilities.</w:t>
      </w:r>
      <w:r w:rsidRPr="00743844">
        <w:rPr>
          <w:rFonts w:ascii="Arial" w:hAnsi="Arial" w:cs="Arial"/>
          <w:color w:val="000000"/>
          <w:sz w:val="24"/>
          <w:szCs w:val="24"/>
        </w:rPr>
        <w:t xml:space="preserve"> Available: </w:t>
      </w:r>
      <w:hyperlink r:id="rId5" w:history="1">
        <w:r w:rsidRPr="00743844">
          <w:rPr>
            <w:rStyle w:val="Hyperlink"/>
            <w:rFonts w:ascii="Arial" w:hAnsi="Arial" w:cs="Arial"/>
            <w:sz w:val="24"/>
            <w:szCs w:val="24"/>
          </w:rPr>
          <w:t>https://www.twobirds.com/en/news/articles/2015/uk/competition-law-access-to-facilities</w:t>
        </w:r>
      </w:hyperlink>
      <w:r w:rsidRPr="00743844">
        <w:rPr>
          <w:rFonts w:ascii="Arial" w:hAnsi="Arial" w:cs="Arial"/>
          <w:color w:val="000000"/>
          <w:sz w:val="24"/>
          <w:szCs w:val="24"/>
        </w:rPr>
        <w:t xml:space="preserve">. Last accessed 7th May 2021. </w:t>
      </w:r>
    </w:p>
    <w:p w14:paraId="3B22EF9E" w14:textId="77777777" w:rsidR="00743844" w:rsidRPr="00743844" w:rsidRDefault="00743844" w:rsidP="00743844">
      <w:pPr>
        <w:rPr>
          <w:rFonts w:ascii="Arial" w:hAnsi="Arial" w:cs="Arial"/>
          <w:color w:val="000000"/>
          <w:sz w:val="24"/>
          <w:szCs w:val="24"/>
        </w:rPr>
      </w:pPr>
      <w:r w:rsidRPr="00743844">
        <w:rPr>
          <w:rFonts w:ascii="Arial" w:hAnsi="Arial" w:cs="Arial"/>
          <w:color w:val="000000"/>
          <w:sz w:val="24"/>
          <w:szCs w:val="24"/>
        </w:rPr>
        <w:t>European Commission. (1997). </w:t>
      </w:r>
      <w:r w:rsidRPr="00743844">
        <w:rPr>
          <w:rFonts w:ascii="Arial" w:hAnsi="Arial" w:cs="Arial"/>
          <w:i/>
          <w:iCs/>
          <w:color w:val="000000"/>
          <w:sz w:val="24"/>
          <w:szCs w:val="24"/>
        </w:rPr>
        <w:t>Commission Notice on the definition of relevant market for the purposes of Community competition law.</w:t>
      </w:r>
      <w:r w:rsidRPr="00743844">
        <w:rPr>
          <w:rFonts w:ascii="Arial" w:hAnsi="Arial" w:cs="Arial"/>
          <w:color w:val="000000"/>
          <w:sz w:val="24"/>
          <w:szCs w:val="24"/>
        </w:rPr>
        <w:t xml:space="preserve"> Available: </w:t>
      </w:r>
      <w:hyperlink r:id="rId6" w:history="1">
        <w:r w:rsidRPr="00743844">
          <w:rPr>
            <w:rStyle w:val="Hyperlink"/>
            <w:rFonts w:ascii="Arial" w:hAnsi="Arial" w:cs="Arial"/>
            <w:sz w:val="24"/>
            <w:szCs w:val="24"/>
          </w:rPr>
          <w:t>https://eur-lex.europa.eu/legal-content/EN/ALL/?uri=celex%3A31997Y1209%2801%29</w:t>
        </w:r>
      </w:hyperlink>
      <w:r w:rsidRPr="00743844">
        <w:rPr>
          <w:rFonts w:ascii="Arial" w:hAnsi="Arial" w:cs="Arial"/>
          <w:color w:val="000000"/>
          <w:sz w:val="24"/>
          <w:szCs w:val="24"/>
        </w:rPr>
        <w:t>. Last accessed 7th May 2021.</w:t>
      </w:r>
    </w:p>
    <w:p w14:paraId="464F5AD7" w14:textId="77777777" w:rsidR="00743844" w:rsidRPr="00743844" w:rsidRDefault="00743844" w:rsidP="00743844">
      <w:pPr>
        <w:rPr>
          <w:rFonts w:ascii="Arial" w:hAnsi="Arial" w:cs="Arial"/>
          <w:sz w:val="24"/>
          <w:szCs w:val="24"/>
        </w:rPr>
      </w:pPr>
      <w:r w:rsidRPr="00743844">
        <w:rPr>
          <w:rFonts w:ascii="Arial" w:hAnsi="Arial" w:cs="Arial"/>
          <w:color w:val="000000"/>
          <w:sz w:val="24"/>
          <w:szCs w:val="24"/>
        </w:rPr>
        <w:t>European Commission. (1997). </w:t>
      </w:r>
      <w:r w:rsidRPr="00743844">
        <w:rPr>
          <w:rFonts w:ascii="Arial" w:hAnsi="Arial" w:cs="Arial"/>
          <w:i/>
          <w:iCs/>
          <w:color w:val="000000"/>
          <w:sz w:val="24"/>
          <w:szCs w:val="24"/>
        </w:rPr>
        <w:t>RELEVANT MARKET.</w:t>
      </w:r>
      <w:r w:rsidRPr="00743844">
        <w:rPr>
          <w:rFonts w:ascii="Arial" w:hAnsi="Arial" w:cs="Arial"/>
          <w:color w:val="000000"/>
          <w:sz w:val="24"/>
          <w:szCs w:val="24"/>
        </w:rPr>
        <w:t xml:space="preserve"> Available: </w:t>
      </w:r>
      <w:hyperlink r:id="rId7" w:history="1">
        <w:r w:rsidRPr="00743844">
          <w:rPr>
            <w:rStyle w:val="Hyperlink"/>
            <w:rFonts w:ascii="Arial" w:hAnsi="Arial" w:cs="Arial"/>
            <w:sz w:val="24"/>
            <w:szCs w:val="24"/>
          </w:rPr>
          <w:t>https://www.concurrences.com/en/dictionary/Relevant-market</w:t>
        </w:r>
      </w:hyperlink>
      <w:r w:rsidRPr="00743844">
        <w:rPr>
          <w:rFonts w:ascii="Arial" w:hAnsi="Arial" w:cs="Arial"/>
          <w:color w:val="000000"/>
          <w:sz w:val="24"/>
          <w:szCs w:val="24"/>
        </w:rPr>
        <w:t>. Last accessed 7th May 2021.</w:t>
      </w:r>
    </w:p>
    <w:p w14:paraId="6D5CB242" w14:textId="77777777" w:rsidR="00743844" w:rsidRPr="00743844" w:rsidRDefault="00743844" w:rsidP="00743844">
      <w:pPr>
        <w:pStyle w:val="NormalWeb"/>
        <w:rPr>
          <w:rFonts w:ascii="Arial" w:hAnsi="Arial" w:cs="Arial"/>
          <w:color w:val="000000"/>
        </w:rPr>
      </w:pPr>
      <w:r w:rsidRPr="00743844">
        <w:rPr>
          <w:rFonts w:ascii="Arial" w:hAnsi="Arial" w:cs="Arial"/>
          <w:color w:val="000000"/>
        </w:rPr>
        <w:t>European Commission. (2020). </w:t>
      </w:r>
      <w:r w:rsidRPr="00743844">
        <w:rPr>
          <w:rFonts w:ascii="Arial" w:hAnsi="Arial" w:cs="Arial"/>
          <w:i/>
          <w:iCs/>
          <w:color w:val="000000"/>
        </w:rPr>
        <w:t>Guidelines on the application of Article 101(3) TFEU (formerly Article 81(3) TEC).</w:t>
      </w:r>
      <w:r w:rsidRPr="00743844">
        <w:rPr>
          <w:rFonts w:ascii="Arial" w:hAnsi="Arial" w:cs="Arial"/>
          <w:color w:val="000000"/>
        </w:rPr>
        <w:t xml:space="preserve"> Available: </w:t>
      </w:r>
      <w:hyperlink r:id="rId8" w:history="1">
        <w:r w:rsidRPr="00743844">
          <w:rPr>
            <w:rStyle w:val="Hyperlink"/>
            <w:rFonts w:ascii="Arial" w:hAnsi="Arial" w:cs="Arial"/>
          </w:rPr>
          <w:t>https://eur-lex.europa.eu/legal-content/EN/TXT/?uri=LEGISSUM%3Al26114#:~:text=Article%20101(3)%20acknowledges%20that,those%20agreements%20from%20these%20prohibitions</w:t>
        </w:r>
      </w:hyperlink>
      <w:r w:rsidRPr="00743844">
        <w:rPr>
          <w:rFonts w:ascii="Arial" w:hAnsi="Arial" w:cs="Arial"/>
          <w:color w:val="000000"/>
        </w:rPr>
        <w:t>. Last accessed 7th May 2021.</w:t>
      </w:r>
    </w:p>
    <w:p w14:paraId="65C2E616" w14:textId="77777777" w:rsidR="00743844" w:rsidRDefault="00743844" w:rsidP="007150EE">
      <w:pPr>
        <w:shd w:val="clear" w:color="auto" w:fill="FFFFFF"/>
        <w:spacing w:before="100" w:beforeAutospacing="1" w:after="100" w:afterAutospacing="1" w:line="240" w:lineRule="auto"/>
        <w:rPr>
          <w:rFonts w:ascii="Arial" w:hAnsi="Arial" w:cs="Arial"/>
          <w:sz w:val="24"/>
          <w:szCs w:val="24"/>
          <w:u w:val="single"/>
        </w:rPr>
      </w:pPr>
    </w:p>
    <w:p w14:paraId="7AD84679" w14:textId="77777777" w:rsidR="00E23C76" w:rsidRDefault="00E23C76" w:rsidP="007150EE">
      <w:pPr>
        <w:shd w:val="clear" w:color="auto" w:fill="FFFFFF"/>
        <w:spacing w:before="100" w:beforeAutospacing="1" w:after="100" w:afterAutospacing="1" w:line="240" w:lineRule="auto"/>
        <w:rPr>
          <w:rFonts w:ascii="Arial" w:hAnsi="Arial" w:cs="Arial"/>
          <w:sz w:val="24"/>
          <w:szCs w:val="24"/>
          <w:u w:val="single"/>
        </w:rPr>
      </w:pPr>
    </w:p>
    <w:p w14:paraId="4CF747B3" w14:textId="27044126" w:rsidR="00E23C76" w:rsidRDefault="00E23C76" w:rsidP="007150EE">
      <w:pPr>
        <w:shd w:val="clear" w:color="auto" w:fill="FFFFFF"/>
        <w:spacing w:before="100" w:beforeAutospacing="1" w:after="100" w:afterAutospacing="1" w:line="240" w:lineRule="auto"/>
        <w:rPr>
          <w:rFonts w:ascii="Arial" w:hAnsi="Arial" w:cs="Arial"/>
          <w:sz w:val="24"/>
          <w:szCs w:val="24"/>
          <w:u w:val="single"/>
        </w:rPr>
      </w:pPr>
      <w:r>
        <w:rPr>
          <w:rFonts w:ascii="Arial" w:hAnsi="Arial" w:cs="Arial"/>
          <w:sz w:val="24"/>
          <w:szCs w:val="24"/>
          <w:u w:val="single"/>
        </w:rPr>
        <w:t>Question 1 Case List</w:t>
      </w:r>
    </w:p>
    <w:p w14:paraId="694425AF" w14:textId="766688B8" w:rsidR="001C2239" w:rsidRDefault="001C2239" w:rsidP="007150EE">
      <w:pPr>
        <w:shd w:val="clear" w:color="auto" w:fill="FFFFFF"/>
        <w:spacing w:before="100" w:beforeAutospacing="1" w:after="100" w:afterAutospacing="1" w:line="240" w:lineRule="auto"/>
        <w:rPr>
          <w:rFonts w:ascii="Arial" w:hAnsi="Arial" w:cs="Arial"/>
          <w:sz w:val="24"/>
          <w:szCs w:val="24"/>
          <w:u w:val="single"/>
        </w:rPr>
      </w:pPr>
      <w:proofErr w:type="spellStart"/>
      <w:r>
        <w:rPr>
          <w:rFonts w:ascii="Arial" w:hAnsi="Arial" w:cs="Arial"/>
          <w:sz w:val="24"/>
          <w:szCs w:val="24"/>
        </w:rPr>
        <w:t>Consten</w:t>
      </w:r>
      <w:proofErr w:type="spellEnd"/>
      <w:r>
        <w:rPr>
          <w:rFonts w:ascii="Arial" w:hAnsi="Arial" w:cs="Arial"/>
          <w:sz w:val="24"/>
          <w:szCs w:val="24"/>
        </w:rPr>
        <w:t xml:space="preserve"> </w:t>
      </w:r>
      <w:proofErr w:type="spellStart"/>
      <w:r>
        <w:rPr>
          <w:rFonts w:ascii="Arial" w:hAnsi="Arial" w:cs="Arial"/>
          <w:sz w:val="24"/>
          <w:szCs w:val="24"/>
        </w:rPr>
        <w:t>SaRL</w:t>
      </w:r>
      <w:proofErr w:type="spellEnd"/>
      <w:r>
        <w:rPr>
          <w:rFonts w:ascii="Arial" w:hAnsi="Arial" w:cs="Arial"/>
          <w:sz w:val="24"/>
          <w:szCs w:val="24"/>
        </w:rPr>
        <w:t xml:space="preserve"> and Grundig GmbH v European Commission [1966]</w:t>
      </w:r>
    </w:p>
    <w:p w14:paraId="4E88D8DE" w14:textId="77777777" w:rsidR="004B1B43" w:rsidRDefault="009B0B76" w:rsidP="007150EE">
      <w:pPr>
        <w:shd w:val="clear" w:color="auto" w:fill="FFFFFF"/>
        <w:spacing w:before="100" w:beforeAutospacing="1" w:after="100" w:afterAutospacing="1" w:line="240" w:lineRule="auto"/>
        <w:rPr>
          <w:rFonts w:ascii="Arial" w:hAnsi="Arial" w:cs="Arial"/>
          <w:sz w:val="24"/>
          <w:szCs w:val="24"/>
        </w:rPr>
      </w:pPr>
      <w:r>
        <w:rPr>
          <w:rFonts w:ascii="Arial" w:hAnsi="Arial" w:cs="Arial"/>
          <w:sz w:val="24"/>
          <w:szCs w:val="24"/>
        </w:rPr>
        <w:t xml:space="preserve"> </w:t>
      </w:r>
      <w:proofErr w:type="spellStart"/>
      <w:r w:rsidR="001C2239" w:rsidRPr="0017697F">
        <w:rPr>
          <w:rFonts w:ascii="Arial" w:hAnsi="Arial" w:cs="Arial"/>
          <w:sz w:val="24"/>
          <w:szCs w:val="24"/>
        </w:rPr>
        <w:t>Sealink</w:t>
      </w:r>
      <w:proofErr w:type="spellEnd"/>
      <w:r w:rsidR="001C2239" w:rsidRPr="0017697F">
        <w:rPr>
          <w:rFonts w:ascii="Arial" w:hAnsi="Arial" w:cs="Arial"/>
          <w:sz w:val="24"/>
          <w:szCs w:val="24"/>
        </w:rPr>
        <w:t xml:space="preserve">/B &amp; I – Holyhead </w:t>
      </w:r>
      <w:r w:rsidR="001C2239">
        <w:rPr>
          <w:rFonts w:ascii="Arial" w:hAnsi="Arial" w:cs="Arial"/>
          <w:sz w:val="24"/>
          <w:szCs w:val="24"/>
        </w:rPr>
        <w:t>[</w:t>
      </w:r>
      <w:r w:rsidR="001C2239" w:rsidRPr="0017697F">
        <w:rPr>
          <w:rFonts w:ascii="Arial" w:hAnsi="Arial" w:cs="Arial"/>
          <w:sz w:val="24"/>
          <w:szCs w:val="24"/>
        </w:rPr>
        <w:t>1992</w:t>
      </w:r>
      <w:r w:rsidR="001C2239">
        <w:rPr>
          <w:rFonts w:ascii="Arial" w:hAnsi="Arial" w:cs="Arial"/>
          <w:sz w:val="24"/>
          <w:szCs w:val="24"/>
        </w:rPr>
        <w:t>]</w:t>
      </w:r>
    </w:p>
    <w:p w14:paraId="56E06AD6" w14:textId="3BC95110" w:rsidR="001C2239" w:rsidRDefault="001C2239" w:rsidP="007150EE">
      <w:pPr>
        <w:shd w:val="clear" w:color="auto" w:fill="FFFFFF"/>
        <w:spacing w:before="100" w:beforeAutospacing="1" w:after="100" w:afterAutospacing="1" w:line="240" w:lineRule="auto"/>
        <w:rPr>
          <w:rFonts w:ascii="Arial" w:hAnsi="Arial" w:cs="Arial"/>
          <w:sz w:val="24"/>
          <w:szCs w:val="24"/>
        </w:rPr>
      </w:pPr>
      <w:r>
        <w:rPr>
          <w:rFonts w:ascii="Arial" w:hAnsi="Arial" w:cs="Arial"/>
          <w:sz w:val="24"/>
          <w:szCs w:val="24"/>
        </w:rPr>
        <w:t>United Brands Company v European Commission [1978]</w:t>
      </w:r>
    </w:p>
    <w:p w14:paraId="35379A72" w14:textId="312CD3C4" w:rsidR="0033636E" w:rsidRDefault="0033636E" w:rsidP="007150EE">
      <w:pPr>
        <w:shd w:val="clear" w:color="auto" w:fill="FFFFFF"/>
        <w:spacing w:before="100" w:beforeAutospacing="1" w:after="100" w:afterAutospacing="1" w:line="240" w:lineRule="auto"/>
        <w:rPr>
          <w:rFonts w:ascii="Arial" w:hAnsi="Arial" w:cs="Arial"/>
          <w:sz w:val="24"/>
          <w:szCs w:val="24"/>
        </w:rPr>
      </w:pPr>
    </w:p>
    <w:p w14:paraId="1FC4E391" w14:textId="1255D877" w:rsidR="0033636E" w:rsidRDefault="0033636E" w:rsidP="0033636E">
      <w:pPr>
        <w:rPr>
          <w:rFonts w:ascii="Arial" w:hAnsi="Arial" w:cs="Arial"/>
          <w:b/>
          <w:bCs/>
          <w:sz w:val="24"/>
          <w:szCs w:val="24"/>
        </w:rPr>
      </w:pPr>
      <w:r>
        <w:rPr>
          <w:rFonts w:ascii="Arial" w:hAnsi="Arial" w:cs="Arial"/>
          <w:b/>
          <w:bCs/>
          <w:sz w:val="24"/>
          <w:szCs w:val="24"/>
        </w:rPr>
        <w:t>Question 2)</w:t>
      </w:r>
    </w:p>
    <w:p w14:paraId="025E16AA" w14:textId="6E982B88" w:rsidR="0033636E" w:rsidRDefault="0033636E" w:rsidP="0033636E">
      <w:pPr>
        <w:rPr>
          <w:rFonts w:ascii="Arial" w:hAnsi="Arial" w:cs="Arial"/>
          <w:b/>
          <w:bCs/>
          <w:sz w:val="24"/>
          <w:szCs w:val="24"/>
        </w:rPr>
      </w:pPr>
    </w:p>
    <w:p w14:paraId="5ECAEDF4" w14:textId="2D9AD983" w:rsidR="0033636E" w:rsidRDefault="00AF382D" w:rsidP="0033636E">
      <w:pPr>
        <w:rPr>
          <w:rFonts w:ascii="Arial" w:hAnsi="Arial" w:cs="Arial"/>
          <w:sz w:val="24"/>
          <w:szCs w:val="24"/>
        </w:rPr>
      </w:pPr>
      <w:r>
        <w:rPr>
          <w:rFonts w:ascii="Arial" w:hAnsi="Arial" w:cs="Arial"/>
          <w:sz w:val="24"/>
          <w:szCs w:val="24"/>
        </w:rPr>
        <w:t xml:space="preserve">In order to provide Mary, Nadine and Oscar with the sufficient advice needed for this situation and what rights they have under EU law, the concept of free movement is of relevance and must be presented clearly. </w:t>
      </w:r>
      <w:r w:rsidR="006F410B">
        <w:rPr>
          <w:rFonts w:ascii="Arial" w:hAnsi="Arial" w:cs="Arial"/>
          <w:sz w:val="24"/>
          <w:szCs w:val="24"/>
        </w:rPr>
        <w:t xml:space="preserve">A definition for free movement of persons can be found under Art 45 TFEU, stating that workers have the right to move freely within the EU </w:t>
      </w:r>
      <w:r w:rsidR="005F09F5">
        <w:rPr>
          <w:rFonts w:ascii="Arial" w:hAnsi="Arial" w:cs="Arial"/>
          <w:sz w:val="24"/>
          <w:szCs w:val="24"/>
        </w:rPr>
        <w:t xml:space="preserve">and are protected from discrimination. Also, </w:t>
      </w:r>
      <w:r w:rsidR="000F6CCF">
        <w:rPr>
          <w:rFonts w:ascii="Arial" w:hAnsi="Arial" w:cs="Arial"/>
          <w:sz w:val="24"/>
          <w:szCs w:val="24"/>
        </w:rPr>
        <w:t>EU citizenship grants works to move freely and reside freely in member states</w:t>
      </w:r>
      <w:r w:rsidR="004D6B53">
        <w:rPr>
          <w:rFonts w:ascii="Arial" w:hAnsi="Arial" w:cs="Arial"/>
          <w:sz w:val="24"/>
          <w:szCs w:val="24"/>
        </w:rPr>
        <w:t>, which is relevant for an EU citizen looking to do this, in this case,</w:t>
      </w:r>
      <w:r w:rsidR="00C74610">
        <w:rPr>
          <w:rFonts w:ascii="Arial" w:hAnsi="Arial" w:cs="Arial"/>
          <w:sz w:val="24"/>
          <w:szCs w:val="24"/>
        </w:rPr>
        <w:t xml:space="preserve"> Mary, Nadine and Oscar all have EU citizenship along with national citizenship, in the context of this alone, policy states that they can “live, work and study in any other EU member state”</w:t>
      </w:r>
      <w:r w:rsidR="00EA3A06">
        <w:rPr>
          <w:rFonts w:ascii="Arial" w:hAnsi="Arial" w:cs="Arial"/>
          <w:sz w:val="24"/>
          <w:szCs w:val="24"/>
        </w:rPr>
        <w:t xml:space="preserve"> under Art 20 and Art 2</w:t>
      </w:r>
      <w:r w:rsidR="00DE11C3">
        <w:rPr>
          <w:rFonts w:ascii="Arial" w:hAnsi="Arial" w:cs="Arial"/>
          <w:sz w:val="24"/>
          <w:szCs w:val="24"/>
        </w:rPr>
        <w:t>1</w:t>
      </w:r>
      <w:r w:rsidR="00EA3A06">
        <w:rPr>
          <w:rFonts w:ascii="Arial" w:hAnsi="Arial" w:cs="Arial"/>
          <w:sz w:val="24"/>
          <w:szCs w:val="24"/>
        </w:rPr>
        <w:t xml:space="preserve"> of the TFEU</w:t>
      </w:r>
      <w:r w:rsidR="00C74610">
        <w:rPr>
          <w:rFonts w:ascii="Arial" w:hAnsi="Arial" w:cs="Arial"/>
          <w:sz w:val="24"/>
          <w:szCs w:val="24"/>
        </w:rPr>
        <w:t>.</w:t>
      </w:r>
      <w:r w:rsidR="000F6CCF">
        <w:rPr>
          <w:rFonts w:ascii="Arial" w:hAnsi="Arial" w:cs="Arial"/>
          <w:sz w:val="24"/>
          <w:szCs w:val="24"/>
        </w:rPr>
        <w:t xml:space="preserve"> </w:t>
      </w:r>
      <w:r w:rsidR="005E3D2E">
        <w:rPr>
          <w:rFonts w:ascii="Arial" w:hAnsi="Arial" w:cs="Arial"/>
          <w:sz w:val="24"/>
          <w:szCs w:val="24"/>
        </w:rPr>
        <w:t>Regarding</w:t>
      </w:r>
      <w:r w:rsidR="000665F5">
        <w:rPr>
          <w:rFonts w:ascii="Arial" w:hAnsi="Arial" w:cs="Arial"/>
          <w:sz w:val="24"/>
          <w:szCs w:val="24"/>
        </w:rPr>
        <w:t xml:space="preserve"> the situation involving Mary, Nadine and Oscar, </w:t>
      </w:r>
      <w:r w:rsidR="00DA30B2">
        <w:rPr>
          <w:rFonts w:ascii="Arial" w:hAnsi="Arial" w:cs="Arial"/>
          <w:sz w:val="24"/>
          <w:szCs w:val="24"/>
        </w:rPr>
        <w:t>it is permitted that any EU citizen can move to another member state without officially registering their residency, however the requirements are that they must report their presence and they must hold a valid passport. It is also stated that “Family members of EU citizens have the right to accompany or join them in another EU country. They may be asked to comply with certain conditions or formalities”. The requirement for staying longer than 3 months in another member state is that you must go through the process of registering your residency, and people have the right to permanent residency after legally residing in the member state continuously for five years.</w:t>
      </w:r>
      <w:r w:rsidR="00FE3A42">
        <w:rPr>
          <w:rFonts w:ascii="Arial" w:hAnsi="Arial" w:cs="Arial"/>
          <w:sz w:val="24"/>
          <w:szCs w:val="24"/>
        </w:rPr>
        <w:t xml:space="preserve"> </w:t>
      </w:r>
    </w:p>
    <w:p w14:paraId="7C4D0926" w14:textId="398B947B" w:rsidR="00E440F7" w:rsidRDefault="00FE3A42" w:rsidP="0033636E">
      <w:pPr>
        <w:rPr>
          <w:rFonts w:ascii="Arial" w:hAnsi="Arial" w:cs="Arial"/>
          <w:color w:val="000000"/>
          <w:sz w:val="24"/>
          <w:szCs w:val="24"/>
        </w:rPr>
      </w:pPr>
      <w:r>
        <w:rPr>
          <w:rFonts w:ascii="Arial" w:hAnsi="Arial" w:cs="Arial"/>
          <w:sz w:val="24"/>
          <w:szCs w:val="24"/>
        </w:rPr>
        <w:t>However, EU</w:t>
      </w:r>
      <w:r w:rsidR="00130A81">
        <w:rPr>
          <w:rFonts w:ascii="Arial" w:hAnsi="Arial" w:cs="Arial"/>
          <w:sz w:val="24"/>
          <w:szCs w:val="24"/>
        </w:rPr>
        <w:t xml:space="preserve"> member</w:t>
      </w:r>
      <w:r>
        <w:rPr>
          <w:rFonts w:ascii="Arial" w:hAnsi="Arial" w:cs="Arial"/>
          <w:sz w:val="24"/>
          <w:szCs w:val="24"/>
        </w:rPr>
        <w:t xml:space="preserve"> </w:t>
      </w:r>
      <w:r w:rsidR="00130A81">
        <w:rPr>
          <w:rFonts w:ascii="Arial" w:hAnsi="Arial" w:cs="Arial"/>
          <w:sz w:val="24"/>
          <w:szCs w:val="24"/>
        </w:rPr>
        <w:t xml:space="preserve">states do have the right to expel foreign citizens under certain circumstances, to cite </w:t>
      </w:r>
      <w:proofErr w:type="spellStart"/>
      <w:r w:rsidR="00130A81">
        <w:rPr>
          <w:rFonts w:ascii="Arial" w:hAnsi="Arial" w:cs="Arial"/>
          <w:sz w:val="24"/>
          <w:szCs w:val="24"/>
        </w:rPr>
        <w:t>Malowski</w:t>
      </w:r>
      <w:proofErr w:type="spellEnd"/>
      <w:r w:rsidR="00130A81">
        <w:rPr>
          <w:rFonts w:ascii="Arial" w:hAnsi="Arial" w:cs="Arial"/>
          <w:sz w:val="24"/>
          <w:szCs w:val="24"/>
        </w:rPr>
        <w:t xml:space="preserve"> (2015) “</w:t>
      </w:r>
      <w:r w:rsidR="00130A81" w:rsidRPr="00B562CB">
        <w:rPr>
          <w:rFonts w:ascii="Arial" w:hAnsi="Arial" w:cs="Arial"/>
          <w:sz w:val="24"/>
          <w:szCs w:val="24"/>
          <w:shd w:val="clear" w:color="auto" w:fill="FFFFFF"/>
        </w:rPr>
        <w:t>Host Member States are not obliged to provide social security benefits to economically inactive mobile EU citizens who do not fulfil the conditions of Article 14-1 of Directive 2004/38/EC on the retention of the right of residence. They are even allowed to terminate the stay of such citizens if all the material and procedural safeguards are fulfilled.</w:t>
      </w:r>
      <w:r w:rsidR="00B562CB">
        <w:rPr>
          <w:rFonts w:ascii="Arial" w:hAnsi="Arial" w:cs="Arial"/>
          <w:sz w:val="24"/>
          <w:szCs w:val="24"/>
          <w:shd w:val="clear" w:color="auto" w:fill="FFFFFF"/>
        </w:rPr>
        <w:t>”</w:t>
      </w:r>
      <w:r w:rsidR="00FD564A">
        <w:rPr>
          <w:rFonts w:ascii="Arial" w:hAnsi="Arial" w:cs="Arial"/>
          <w:sz w:val="24"/>
          <w:szCs w:val="24"/>
          <w:shd w:val="clear" w:color="auto" w:fill="FFFFFF"/>
        </w:rPr>
        <w:t xml:space="preserve"> </w:t>
      </w:r>
      <w:r w:rsidR="006C5CEF">
        <w:rPr>
          <w:rFonts w:ascii="Arial" w:hAnsi="Arial" w:cs="Arial"/>
          <w:sz w:val="24"/>
          <w:szCs w:val="24"/>
          <w:shd w:val="clear" w:color="auto" w:fill="FFFFFF"/>
        </w:rPr>
        <w:t xml:space="preserve">Additionally, </w:t>
      </w:r>
      <w:r w:rsidR="002D7482">
        <w:rPr>
          <w:rFonts w:ascii="Arial" w:hAnsi="Arial" w:cs="Arial"/>
          <w:sz w:val="24"/>
          <w:szCs w:val="24"/>
          <w:shd w:val="clear" w:color="auto" w:fill="FFFFFF"/>
        </w:rPr>
        <w:t>expanding</w:t>
      </w:r>
      <w:r w:rsidR="00FD564A">
        <w:rPr>
          <w:rFonts w:ascii="Arial" w:hAnsi="Arial" w:cs="Arial"/>
          <w:sz w:val="24"/>
          <w:szCs w:val="24"/>
          <w:shd w:val="clear" w:color="auto" w:fill="FFFFFF"/>
        </w:rPr>
        <w:t xml:space="preserve"> on this information, it is arguable that this is a major hinderance to free movement of persons, </w:t>
      </w:r>
      <w:r w:rsidR="00D94230">
        <w:rPr>
          <w:rFonts w:ascii="Arial" w:hAnsi="Arial" w:cs="Arial"/>
          <w:sz w:val="24"/>
          <w:szCs w:val="24"/>
          <w:shd w:val="clear" w:color="auto" w:fill="FFFFFF"/>
        </w:rPr>
        <w:t>and</w:t>
      </w:r>
      <w:r w:rsidR="00E25A5C">
        <w:rPr>
          <w:rFonts w:ascii="Arial" w:hAnsi="Arial" w:cs="Arial"/>
          <w:sz w:val="24"/>
          <w:szCs w:val="24"/>
          <w:shd w:val="clear" w:color="auto" w:fill="FFFFFF"/>
        </w:rPr>
        <w:t xml:space="preserve"> these conditions in order to expel someone must be clearly outlined</w:t>
      </w:r>
      <w:r w:rsidR="00B959D8">
        <w:rPr>
          <w:rFonts w:ascii="Arial" w:hAnsi="Arial" w:cs="Arial"/>
          <w:sz w:val="24"/>
          <w:szCs w:val="24"/>
          <w:shd w:val="clear" w:color="auto" w:fill="FFFFFF"/>
        </w:rPr>
        <w:t xml:space="preserve"> and applied to Mary, Nadine and Oscar. </w:t>
      </w:r>
      <w:r w:rsidR="00D94230">
        <w:rPr>
          <w:rFonts w:ascii="Arial" w:hAnsi="Arial" w:cs="Arial"/>
          <w:sz w:val="24"/>
          <w:szCs w:val="24"/>
          <w:shd w:val="clear" w:color="auto" w:fill="FFFFFF"/>
        </w:rPr>
        <w:t>Art 8 might be of relevance in relation to Nadine’s situation, because Art 8 sets to eliminate inequalities, Art 3 also states that “</w:t>
      </w:r>
      <w:r w:rsidR="00D94230" w:rsidRPr="00D94230">
        <w:rPr>
          <w:rFonts w:ascii="Arial" w:hAnsi="Arial" w:cs="Arial"/>
          <w:color w:val="000000"/>
          <w:sz w:val="24"/>
          <w:szCs w:val="24"/>
        </w:rPr>
        <w:t>It shall combat social exclusion and discrimination, and shall promote social justice and protection, equality between women and men, solidarity between generations and protection of the rights of the child.</w:t>
      </w:r>
      <w:r w:rsidR="00D94230">
        <w:rPr>
          <w:rFonts w:ascii="Arial" w:hAnsi="Arial" w:cs="Arial"/>
          <w:color w:val="000000"/>
          <w:sz w:val="24"/>
          <w:szCs w:val="24"/>
        </w:rPr>
        <w:t xml:space="preserve">” </w:t>
      </w:r>
      <w:r w:rsidR="00D61B67">
        <w:rPr>
          <w:rFonts w:ascii="Arial" w:hAnsi="Arial" w:cs="Arial"/>
          <w:color w:val="000000"/>
          <w:sz w:val="24"/>
          <w:szCs w:val="24"/>
        </w:rPr>
        <w:t xml:space="preserve">Applying Art 8 and 3 of the TFEU to Nadine’s medical condition, Mary has a right to citizenship and shouldn’t be denied a fair opportunity at gaining </w:t>
      </w:r>
      <w:r w:rsidR="000B3F46">
        <w:rPr>
          <w:rFonts w:ascii="Arial" w:hAnsi="Arial" w:cs="Arial"/>
          <w:color w:val="000000"/>
          <w:sz w:val="24"/>
          <w:szCs w:val="24"/>
        </w:rPr>
        <w:t xml:space="preserve">residency. </w:t>
      </w:r>
    </w:p>
    <w:p w14:paraId="39AE8357" w14:textId="7681F857" w:rsidR="00E440F7" w:rsidRPr="00E440F7" w:rsidRDefault="00E440F7" w:rsidP="0033636E">
      <w:pPr>
        <w:rPr>
          <w:rFonts w:ascii="Arial" w:hAnsi="Arial" w:cs="Arial"/>
          <w:color w:val="000000"/>
          <w:sz w:val="24"/>
          <w:szCs w:val="24"/>
        </w:rPr>
      </w:pPr>
      <w:r>
        <w:rPr>
          <w:rFonts w:ascii="Arial" w:hAnsi="Arial" w:cs="Arial"/>
          <w:color w:val="000000"/>
          <w:sz w:val="24"/>
          <w:szCs w:val="24"/>
        </w:rPr>
        <w:t xml:space="preserve">Regarding Oscar’s situation, </w:t>
      </w:r>
      <w:r w:rsidR="008C1AD8">
        <w:rPr>
          <w:rFonts w:ascii="Arial" w:hAnsi="Arial" w:cs="Arial"/>
          <w:color w:val="000000"/>
          <w:sz w:val="24"/>
          <w:szCs w:val="24"/>
        </w:rPr>
        <w:t xml:space="preserve">with Art 8 and Art 3 </w:t>
      </w:r>
      <w:r w:rsidR="00F815AB">
        <w:rPr>
          <w:rFonts w:ascii="Arial" w:hAnsi="Arial" w:cs="Arial"/>
          <w:color w:val="000000"/>
          <w:sz w:val="24"/>
          <w:szCs w:val="24"/>
        </w:rPr>
        <w:t xml:space="preserve">being presented above, the same can be applied here </w:t>
      </w:r>
      <w:r w:rsidR="00F1282F">
        <w:rPr>
          <w:rFonts w:ascii="Arial" w:hAnsi="Arial" w:cs="Arial"/>
          <w:color w:val="000000"/>
          <w:sz w:val="24"/>
          <w:szCs w:val="24"/>
        </w:rPr>
        <w:t xml:space="preserve">with his mental health condition </w:t>
      </w:r>
      <w:r w:rsidR="00F815AB">
        <w:rPr>
          <w:rFonts w:ascii="Arial" w:hAnsi="Arial" w:cs="Arial"/>
          <w:color w:val="000000"/>
          <w:sz w:val="24"/>
          <w:szCs w:val="24"/>
        </w:rPr>
        <w:t xml:space="preserve">however given Oscar’s </w:t>
      </w:r>
      <w:r w:rsidR="00F1282F">
        <w:rPr>
          <w:rFonts w:ascii="Arial" w:hAnsi="Arial" w:cs="Arial"/>
          <w:color w:val="000000"/>
          <w:sz w:val="24"/>
          <w:szCs w:val="24"/>
        </w:rPr>
        <w:t xml:space="preserve">history and being convicted of arson, </w:t>
      </w:r>
      <w:r w:rsidR="000F2D6C">
        <w:rPr>
          <w:rFonts w:ascii="Arial" w:hAnsi="Arial" w:cs="Arial"/>
          <w:color w:val="000000"/>
          <w:sz w:val="24"/>
          <w:szCs w:val="24"/>
        </w:rPr>
        <w:t>it is imperative to establish what options are available within the parameters of law and policy previously mentioned.</w:t>
      </w:r>
      <w:r w:rsidR="002356C3">
        <w:rPr>
          <w:rFonts w:ascii="Arial" w:hAnsi="Arial" w:cs="Arial"/>
          <w:color w:val="000000"/>
          <w:sz w:val="24"/>
          <w:szCs w:val="24"/>
        </w:rPr>
        <w:t xml:space="preserve"> </w:t>
      </w:r>
    </w:p>
    <w:p w14:paraId="75FB2B5E" w14:textId="6810A61C" w:rsidR="00467A3D" w:rsidRDefault="00CA6343">
      <w:pPr>
        <w:rPr>
          <w:rFonts w:ascii="Arial" w:hAnsi="Arial" w:cs="Arial"/>
          <w:sz w:val="24"/>
          <w:szCs w:val="24"/>
          <w:shd w:val="clear" w:color="auto" w:fill="FFFFFF"/>
        </w:rPr>
      </w:pPr>
      <w:r>
        <w:rPr>
          <w:rFonts w:ascii="Arial" w:hAnsi="Arial" w:cs="Arial"/>
          <w:sz w:val="24"/>
          <w:szCs w:val="24"/>
          <w:shd w:val="clear" w:color="auto" w:fill="FFFFFF"/>
        </w:rPr>
        <w:t xml:space="preserve">To conclude, Mary, Nadine, and Oscar </w:t>
      </w:r>
      <w:r w:rsidR="008B36EB">
        <w:rPr>
          <w:rFonts w:ascii="Arial" w:hAnsi="Arial" w:cs="Arial"/>
          <w:sz w:val="24"/>
          <w:szCs w:val="24"/>
          <w:shd w:val="clear" w:color="auto" w:fill="FFFFFF"/>
        </w:rPr>
        <w:t xml:space="preserve">are </w:t>
      </w:r>
      <w:r>
        <w:rPr>
          <w:rFonts w:ascii="Arial" w:hAnsi="Arial" w:cs="Arial"/>
          <w:sz w:val="24"/>
          <w:szCs w:val="24"/>
          <w:shd w:val="clear" w:color="auto" w:fill="FFFFFF"/>
        </w:rPr>
        <w:t>entitle</w:t>
      </w:r>
      <w:r w:rsidR="008B36EB">
        <w:rPr>
          <w:rFonts w:ascii="Arial" w:hAnsi="Arial" w:cs="Arial"/>
          <w:sz w:val="24"/>
          <w:szCs w:val="24"/>
          <w:shd w:val="clear" w:color="auto" w:fill="FFFFFF"/>
        </w:rPr>
        <w:t>d</w:t>
      </w:r>
      <w:r>
        <w:rPr>
          <w:rFonts w:ascii="Arial" w:hAnsi="Arial" w:cs="Arial"/>
          <w:sz w:val="24"/>
          <w:szCs w:val="24"/>
          <w:shd w:val="clear" w:color="auto" w:fill="FFFFFF"/>
        </w:rPr>
        <w:t xml:space="preserve"> by EU</w:t>
      </w:r>
      <w:r w:rsidR="008B36EB">
        <w:rPr>
          <w:rFonts w:ascii="Arial" w:hAnsi="Arial" w:cs="Arial"/>
          <w:sz w:val="24"/>
          <w:szCs w:val="24"/>
          <w:shd w:val="clear" w:color="auto" w:fill="FFFFFF"/>
        </w:rPr>
        <w:t xml:space="preserve"> law </w:t>
      </w:r>
      <w:r>
        <w:rPr>
          <w:rFonts w:ascii="Arial" w:hAnsi="Arial" w:cs="Arial"/>
          <w:sz w:val="24"/>
          <w:szCs w:val="24"/>
          <w:shd w:val="clear" w:color="auto" w:fill="FFFFFF"/>
        </w:rPr>
        <w:t xml:space="preserve">to </w:t>
      </w:r>
      <w:r w:rsidR="00D53539">
        <w:rPr>
          <w:rFonts w:ascii="Arial" w:hAnsi="Arial" w:cs="Arial"/>
          <w:sz w:val="24"/>
          <w:szCs w:val="24"/>
          <w:shd w:val="clear" w:color="auto" w:fill="FFFFFF"/>
        </w:rPr>
        <w:t xml:space="preserve">live in another member state and </w:t>
      </w:r>
      <w:r>
        <w:rPr>
          <w:rFonts w:ascii="Arial" w:hAnsi="Arial" w:cs="Arial"/>
          <w:sz w:val="24"/>
          <w:szCs w:val="24"/>
          <w:shd w:val="clear" w:color="auto" w:fill="FFFFFF"/>
        </w:rPr>
        <w:t xml:space="preserve">have </w:t>
      </w:r>
      <w:r w:rsidR="00D53539">
        <w:rPr>
          <w:rFonts w:ascii="Arial" w:hAnsi="Arial" w:cs="Arial"/>
          <w:sz w:val="24"/>
          <w:szCs w:val="24"/>
          <w:shd w:val="clear" w:color="auto" w:fill="FFFFFF"/>
        </w:rPr>
        <w:t>the</w:t>
      </w:r>
      <w:r>
        <w:rPr>
          <w:rFonts w:ascii="Arial" w:hAnsi="Arial" w:cs="Arial"/>
          <w:sz w:val="24"/>
          <w:szCs w:val="24"/>
          <w:shd w:val="clear" w:color="auto" w:fill="FFFFFF"/>
        </w:rPr>
        <w:t xml:space="preserve"> </w:t>
      </w:r>
      <w:r w:rsidR="008B36EB">
        <w:rPr>
          <w:rFonts w:ascii="Arial" w:hAnsi="Arial" w:cs="Arial"/>
          <w:sz w:val="24"/>
          <w:szCs w:val="24"/>
          <w:shd w:val="clear" w:color="auto" w:fill="FFFFFF"/>
        </w:rPr>
        <w:t xml:space="preserve">right </w:t>
      </w:r>
      <w:r>
        <w:rPr>
          <w:rFonts w:ascii="Arial" w:hAnsi="Arial" w:cs="Arial"/>
          <w:sz w:val="24"/>
          <w:szCs w:val="24"/>
          <w:shd w:val="clear" w:color="auto" w:fill="FFFFFF"/>
        </w:rPr>
        <w:t xml:space="preserve">to </w:t>
      </w:r>
      <w:r w:rsidR="008B36EB">
        <w:rPr>
          <w:rFonts w:ascii="Arial" w:hAnsi="Arial" w:cs="Arial"/>
          <w:sz w:val="24"/>
          <w:szCs w:val="24"/>
          <w:shd w:val="clear" w:color="auto" w:fill="FFFFFF"/>
        </w:rPr>
        <w:t xml:space="preserve">residency, although EU law might have to be enforced in national courts due to a point of contention with Oscar’s previous history and medical condition, along with Nadine’s condition. </w:t>
      </w:r>
      <w:r w:rsidR="001160BB">
        <w:rPr>
          <w:rFonts w:ascii="Arial" w:hAnsi="Arial" w:cs="Arial"/>
          <w:sz w:val="24"/>
          <w:szCs w:val="24"/>
          <w:shd w:val="clear" w:color="auto" w:fill="FFFFFF"/>
        </w:rPr>
        <w:t xml:space="preserve">But, given that they are Mary’s family members therefore they are entitled to reside elsewhere as stated </w:t>
      </w:r>
      <w:r w:rsidR="00AA782C">
        <w:rPr>
          <w:rFonts w:ascii="Arial" w:hAnsi="Arial" w:cs="Arial"/>
          <w:sz w:val="24"/>
          <w:szCs w:val="24"/>
          <w:shd w:val="clear" w:color="auto" w:fill="FFFFFF"/>
        </w:rPr>
        <w:t xml:space="preserve">in Articles previously mentioned. </w:t>
      </w:r>
      <w:r w:rsidR="00467A3D">
        <w:rPr>
          <w:rFonts w:ascii="Arial" w:hAnsi="Arial" w:cs="Arial"/>
          <w:sz w:val="24"/>
          <w:szCs w:val="24"/>
          <w:shd w:val="clear" w:color="auto" w:fill="FFFFFF"/>
        </w:rPr>
        <w:br w:type="page"/>
      </w:r>
    </w:p>
    <w:p w14:paraId="0A44A245" w14:textId="3BBDE348" w:rsidR="00FE3A42" w:rsidRDefault="00467A3D" w:rsidP="0033636E">
      <w:pPr>
        <w:rPr>
          <w:rFonts w:ascii="Arial" w:hAnsi="Arial" w:cs="Arial"/>
          <w:sz w:val="24"/>
          <w:szCs w:val="24"/>
          <w:u w:val="single"/>
        </w:rPr>
      </w:pPr>
      <w:r>
        <w:rPr>
          <w:rFonts w:ascii="Arial" w:hAnsi="Arial" w:cs="Arial"/>
          <w:sz w:val="24"/>
          <w:szCs w:val="24"/>
          <w:u w:val="single"/>
        </w:rPr>
        <w:lastRenderedPageBreak/>
        <w:t>Question 2 References</w:t>
      </w:r>
    </w:p>
    <w:p w14:paraId="7EC52495" w14:textId="131EC514" w:rsidR="002B788E" w:rsidRDefault="002B788E" w:rsidP="0033636E">
      <w:pPr>
        <w:rPr>
          <w:rFonts w:ascii="Arial" w:hAnsi="Arial" w:cs="Arial"/>
          <w:color w:val="000000"/>
          <w:sz w:val="24"/>
          <w:szCs w:val="24"/>
        </w:rPr>
      </w:pPr>
      <w:r w:rsidRPr="002B788E">
        <w:rPr>
          <w:rFonts w:ascii="Arial" w:hAnsi="Arial" w:cs="Arial"/>
          <w:color w:val="000000"/>
          <w:sz w:val="24"/>
          <w:szCs w:val="24"/>
        </w:rPr>
        <w:t>European Court. (1986). </w:t>
      </w:r>
      <w:r w:rsidRPr="002B788E">
        <w:rPr>
          <w:rFonts w:ascii="Arial" w:hAnsi="Arial" w:cs="Arial"/>
          <w:i/>
          <w:iCs/>
          <w:color w:val="000000"/>
          <w:sz w:val="24"/>
          <w:szCs w:val="24"/>
        </w:rPr>
        <w:t xml:space="preserve">Judgment of the Court of 17 April 1986. - State of the Netherlands v Ann Florence Reed. - Reference for a preliminary ruling: Hoge </w:t>
      </w:r>
      <w:proofErr w:type="spellStart"/>
      <w:r w:rsidRPr="002B788E">
        <w:rPr>
          <w:rFonts w:ascii="Arial" w:hAnsi="Arial" w:cs="Arial"/>
          <w:i/>
          <w:iCs/>
          <w:color w:val="000000"/>
          <w:sz w:val="24"/>
          <w:szCs w:val="24"/>
        </w:rPr>
        <w:t>Raad</w:t>
      </w:r>
      <w:proofErr w:type="spellEnd"/>
      <w:r w:rsidRPr="002B788E">
        <w:rPr>
          <w:rFonts w:ascii="Arial" w:hAnsi="Arial" w:cs="Arial"/>
          <w:i/>
          <w:iCs/>
          <w:color w:val="000000"/>
          <w:sz w:val="24"/>
          <w:szCs w:val="24"/>
        </w:rPr>
        <w:t xml:space="preserve"> - Netherlands. - Right of residence of the unmarried companion o.</w:t>
      </w:r>
      <w:r w:rsidRPr="002B788E">
        <w:rPr>
          <w:rFonts w:ascii="Arial" w:hAnsi="Arial" w:cs="Arial"/>
          <w:color w:val="000000"/>
          <w:sz w:val="24"/>
          <w:szCs w:val="24"/>
        </w:rPr>
        <w:t xml:space="preserve"> Available: </w:t>
      </w:r>
      <w:hyperlink r:id="rId9" w:anchor="SM" w:history="1">
        <w:r w:rsidRPr="002B788E">
          <w:rPr>
            <w:rStyle w:val="Hyperlink"/>
            <w:rFonts w:ascii="Arial" w:hAnsi="Arial" w:cs="Arial"/>
            <w:sz w:val="24"/>
            <w:szCs w:val="24"/>
          </w:rPr>
          <w:t>https://eur-lex.europa.eu/legal-content/EN/TXT/?uri=CELEX:61985CJ0059#SM</w:t>
        </w:r>
      </w:hyperlink>
      <w:r w:rsidRPr="002B788E">
        <w:rPr>
          <w:rFonts w:ascii="Arial" w:hAnsi="Arial" w:cs="Arial"/>
          <w:color w:val="000000"/>
          <w:sz w:val="24"/>
          <w:szCs w:val="24"/>
        </w:rPr>
        <w:t>. Last accessed 7th May 2021.</w:t>
      </w:r>
    </w:p>
    <w:p w14:paraId="1E7B4F0F" w14:textId="4C85429F" w:rsidR="000F4B8D" w:rsidRPr="000F4B8D" w:rsidRDefault="000F4B8D" w:rsidP="0033636E">
      <w:pPr>
        <w:rPr>
          <w:rFonts w:ascii="Arial" w:hAnsi="Arial" w:cs="Arial"/>
          <w:sz w:val="24"/>
          <w:szCs w:val="24"/>
          <w:u w:val="single"/>
        </w:rPr>
      </w:pPr>
      <w:r w:rsidRPr="000F4B8D">
        <w:rPr>
          <w:rFonts w:ascii="Arial" w:hAnsi="Arial" w:cs="Arial"/>
          <w:color w:val="000000"/>
          <w:sz w:val="24"/>
          <w:szCs w:val="24"/>
        </w:rPr>
        <w:t>European Court. (1986). </w:t>
      </w:r>
      <w:r w:rsidRPr="000F4B8D">
        <w:rPr>
          <w:rFonts w:ascii="Arial" w:hAnsi="Arial" w:cs="Arial"/>
          <w:i/>
          <w:iCs/>
          <w:color w:val="000000"/>
          <w:sz w:val="24"/>
          <w:szCs w:val="24"/>
        </w:rPr>
        <w:t xml:space="preserve">Judgment of the Court of 3 June 1986. - R. H. </w:t>
      </w:r>
      <w:proofErr w:type="spellStart"/>
      <w:r w:rsidRPr="000F4B8D">
        <w:rPr>
          <w:rFonts w:ascii="Arial" w:hAnsi="Arial" w:cs="Arial"/>
          <w:i/>
          <w:iCs/>
          <w:color w:val="000000"/>
          <w:sz w:val="24"/>
          <w:szCs w:val="24"/>
        </w:rPr>
        <w:t>Kempf</w:t>
      </w:r>
      <w:proofErr w:type="spellEnd"/>
      <w:r w:rsidRPr="000F4B8D">
        <w:rPr>
          <w:rFonts w:ascii="Arial" w:hAnsi="Arial" w:cs="Arial"/>
          <w:i/>
          <w:iCs/>
          <w:color w:val="000000"/>
          <w:sz w:val="24"/>
          <w:szCs w:val="24"/>
        </w:rPr>
        <w:t xml:space="preserve"> v </w:t>
      </w:r>
      <w:proofErr w:type="spellStart"/>
      <w:r w:rsidRPr="000F4B8D">
        <w:rPr>
          <w:rFonts w:ascii="Arial" w:hAnsi="Arial" w:cs="Arial"/>
          <w:i/>
          <w:iCs/>
          <w:color w:val="000000"/>
          <w:sz w:val="24"/>
          <w:szCs w:val="24"/>
        </w:rPr>
        <w:t>Staatssecretaris</w:t>
      </w:r>
      <w:proofErr w:type="spellEnd"/>
      <w:r w:rsidRPr="000F4B8D">
        <w:rPr>
          <w:rFonts w:ascii="Arial" w:hAnsi="Arial" w:cs="Arial"/>
          <w:i/>
          <w:iCs/>
          <w:color w:val="000000"/>
          <w:sz w:val="24"/>
          <w:szCs w:val="24"/>
        </w:rPr>
        <w:t xml:space="preserve"> van </w:t>
      </w:r>
      <w:proofErr w:type="spellStart"/>
      <w:r w:rsidRPr="000F4B8D">
        <w:rPr>
          <w:rFonts w:ascii="Arial" w:hAnsi="Arial" w:cs="Arial"/>
          <w:i/>
          <w:iCs/>
          <w:color w:val="000000"/>
          <w:sz w:val="24"/>
          <w:szCs w:val="24"/>
        </w:rPr>
        <w:t>Justitie</w:t>
      </w:r>
      <w:proofErr w:type="spellEnd"/>
      <w:r w:rsidRPr="000F4B8D">
        <w:rPr>
          <w:rFonts w:ascii="Arial" w:hAnsi="Arial" w:cs="Arial"/>
          <w:i/>
          <w:iCs/>
          <w:color w:val="000000"/>
          <w:sz w:val="24"/>
          <w:szCs w:val="24"/>
        </w:rPr>
        <w:t xml:space="preserve">. - Reference for a preliminary ruling: </w:t>
      </w:r>
      <w:proofErr w:type="spellStart"/>
      <w:r w:rsidRPr="000F4B8D">
        <w:rPr>
          <w:rFonts w:ascii="Arial" w:hAnsi="Arial" w:cs="Arial"/>
          <w:i/>
          <w:iCs/>
          <w:color w:val="000000"/>
          <w:sz w:val="24"/>
          <w:szCs w:val="24"/>
        </w:rPr>
        <w:t>Raad</w:t>
      </w:r>
      <w:proofErr w:type="spellEnd"/>
      <w:r w:rsidRPr="000F4B8D">
        <w:rPr>
          <w:rFonts w:ascii="Arial" w:hAnsi="Arial" w:cs="Arial"/>
          <w:i/>
          <w:iCs/>
          <w:color w:val="000000"/>
          <w:sz w:val="24"/>
          <w:szCs w:val="24"/>
        </w:rPr>
        <w:t xml:space="preserve"> van State - Netherlands. - Freedom of movement for workers - Concept </w:t>
      </w:r>
      <w:proofErr w:type="gramStart"/>
      <w:r w:rsidRPr="000F4B8D">
        <w:rPr>
          <w:rFonts w:ascii="Arial" w:hAnsi="Arial" w:cs="Arial"/>
          <w:i/>
          <w:iCs/>
          <w:color w:val="000000"/>
          <w:sz w:val="24"/>
          <w:szCs w:val="24"/>
        </w:rPr>
        <w:t>of .</w:t>
      </w:r>
      <w:proofErr w:type="gramEnd"/>
      <w:r w:rsidRPr="000F4B8D">
        <w:rPr>
          <w:rFonts w:ascii="Arial" w:hAnsi="Arial" w:cs="Arial"/>
          <w:color w:val="000000"/>
          <w:sz w:val="24"/>
          <w:szCs w:val="24"/>
        </w:rPr>
        <w:t xml:space="preserve"> Available: </w:t>
      </w:r>
      <w:hyperlink r:id="rId10" w:history="1">
        <w:r w:rsidRPr="00F84F73">
          <w:rPr>
            <w:rStyle w:val="Hyperlink"/>
            <w:rFonts w:ascii="Arial" w:hAnsi="Arial" w:cs="Arial"/>
            <w:sz w:val="24"/>
            <w:szCs w:val="24"/>
          </w:rPr>
          <w:t>https://eur-lex.europa.eu/legal-content/EN/TXT/?uri=CELEX%3A61985CJ0139</w:t>
        </w:r>
      </w:hyperlink>
      <w:r w:rsidRPr="000F4B8D">
        <w:rPr>
          <w:rFonts w:ascii="Arial" w:hAnsi="Arial" w:cs="Arial"/>
          <w:color w:val="000000"/>
          <w:sz w:val="24"/>
          <w:szCs w:val="24"/>
        </w:rPr>
        <w:t>.</w:t>
      </w:r>
      <w:r>
        <w:rPr>
          <w:rFonts w:ascii="Arial" w:hAnsi="Arial" w:cs="Arial"/>
          <w:color w:val="000000"/>
          <w:sz w:val="24"/>
          <w:szCs w:val="24"/>
        </w:rPr>
        <w:t xml:space="preserve"> </w:t>
      </w:r>
      <w:r w:rsidRPr="000F4B8D">
        <w:rPr>
          <w:rFonts w:ascii="Arial" w:hAnsi="Arial" w:cs="Arial"/>
          <w:color w:val="000000"/>
          <w:sz w:val="24"/>
          <w:szCs w:val="24"/>
        </w:rPr>
        <w:t>Last accessed 7th May 2021.</w:t>
      </w:r>
    </w:p>
    <w:p w14:paraId="2A0FB671" w14:textId="0F19B1E5" w:rsidR="00E134E3" w:rsidRDefault="00E134E3" w:rsidP="00E134E3">
      <w:pPr>
        <w:pStyle w:val="NormalWeb"/>
        <w:rPr>
          <w:rFonts w:ascii="Arial" w:hAnsi="Arial" w:cs="Arial"/>
          <w:color w:val="000000"/>
        </w:rPr>
      </w:pPr>
      <w:r w:rsidRPr="00E134E3">
        <w:rPr>
          <w:rFonts w:ascii="Arial" w:hAnsi="Arial" w:cs="Arial"/>
          <w:color w:val="000000"/>
        </w:rPr>
        <w:t>European Union. (2008). Consolidated version of the Treaty on European Union - TITLE I: COMMON PROVISIONS. </w:t>
      </w:r>
      <w:r w:rsidRPr="00E134E3">
        <w:rPr>
          <w:rFonts w:ascii="Arial" w:hAnsi="Arial" w:cs="Arial"/>
          <w:i/>
          <w:iCs/>
          <w:color w:val="000000"/>
        </w:rPr>
        <w:t>Official Journal of the European Union</w:t>
      </w:r>
      <w:r w:rsidRPr="00E134E3">
        <w:rPr>
          <w:rFonts w:ascii="Arial" w:hAnsi="Arial" w:cs="Arial"/>
          <w:color w:val="000000"/>
        </w:rPr>
        <w:t>. 51 (1), p17.</w:t>
      </w:r>
    </w:p>
    <w:p w14:paraId="67CA5AF5" w14:textId="00D4051A" w:rsidR="00EE7C12" w:rsidRPr="00EE7C12" w:rsidRDefault="00EE7C12" w:rsidP="00E134E3">
      <w:pPr>
        <w:pStyle w:val="NormalWeb"/>
        <w:rPr>
          <w:rFonts w:ascii="Arial" w:hAnsi="Arial" w:cs="Arial"/>
          <w:color w:val="000000"/>
        </w:rPr>
      </w:pPr>
      <w:proofErr w:type="spellStart"/>
      <w:r w:rsidRPr="00EE7C12">
        <w:rPr>
          <w:rFonts w:ascii="Arial" w:hAnsi="Arial" w:cs="Arial"/>
          <w:color w:val="000000"/>
        </w:rPr>
        <w:t>Maslowski</w:t>
      </w:r>
      <w:proofErr w:type="spellEnd"/>
      <w:r w:rsidRPr="00EE7C12">
        <w:rPr>
          <w:rFonts w:ascii="Arial" w:hAnsi="Arial" w:cs="Arial"/>
          <w:color w:val="000000"/>
        </w:rPr>
        <w:t>, S. (2015). The Expulsion of European Union Citizens from the Host Member State: Legal Grounds and Practice. </w:t>
      </w:r>
      <w:r w:rsidRPr="00EE7C12">
        <w:rPr>
          <w:rFonts w:ascii="Arial" w:hAnsi="Arial" w:cs="Arial"/>
          <w:i/>
          <w:iCs/>
          <w:color w:val="000000"/>
        </w:rPr>
        <w:t>Central and Eastern European Migration Review</w:t>
      </w:r>
      <w:r w:rsidRPr="00EE7C12">
        <w:rPr>
          <w:rFonts w:ascii="Arial" w:hAnsi="Arial" w:cs="Arial"/>
          <w:color w:val="000000"/>
        </w:rPr>
        <w:t>. 4 (2), p61-85.</w:t>
      </w:r>
    </w:p>
    <w:p w14:paraId="53C49F22" w14:textId="3919C17B" w:rsidR="00467A3D" w:rsidRDefault="00467A3D" w:rsidP="0033636E">
      <w:pPr>
        <w:rPr>
          <w:rFonts w:ascii="Arial" w:hAnsi="Arial" w:cs="Arial"/>
          <w:sz w:val="24"/>
          <w:szCs w:val="24"/>
          <w:u w:val="single"/>
        </w:rPr>
      </w:pPr>
    </w:p>
    <w:p w14:paraId="49826ED0" w14:textId="5ACAEC93" w:rsidR="00467A3D" w:rsidRPr="00467A3D" w:rsidRDefault="00467A3D" w:rsidP="0033636E">
      <w:pPr>
        <w:rPr>
          <w:rFonts w:ascii="Arial" w:hAnsi="Arial" w:cs="Arial"/>
          <w:sz w:val="24"/>
          <w:szCs w:val="24"/>
          <w:u w:val="single"/>
        </w:rPr>
      </w:pPr>
      <w:r>
        <w:rPr>
          <w:rFonts w:ascii="Arial" w:hAnsi="Arial" w:cs="Arial"/>
          <w:sz w:val="24"/>
          <w:szCs w:val="24"/>
          <w:u w:val="single"/>
        </w:rPr>
        <w:t>Question 2 Case List</w:t>
      </w:r>
    </w:p>
    <w:p w14:paraId="4C91FD25" w14:textId="5CD382CA" w:rsidR="001C2239" w:rsidRDefault="00D61B67" w:rsidP="007150EE">
      <w:pPr>
        <w:shd w:val="clear" w:color="auto" w:fill="FFFFFF"/>
        <w:spacing w:before="100" w:beforeAutospacing="1" w:after="100" w:afterAutospacing="1" w:line="240" w:lineRule="auto"/>
        <w:rPr>
          <w:sz w:val="28"/>
          <w:szCs w:val="28"/>
        </w:rPr>
      </w:pPr>
      <w:r>
        <w:rPr>
          <w:sz w:val="28"/>
          <w:szCs w:val="28"/>
        </w:rPr>
        <w:t>Reed (1986)</w:t>
      </w:r>
    </w:p>
    <w:p w14:paraId="394D5EC4" w14:textId="3EE5150D" w:rsidR="00D61B67" w:rsidRDefault="00D61B67" w:rsidP="007150EE">
      <w:pPr>
        <w:shd w:val="clear" w:color="auto" w:fill="FFFFFF"/>
        <w:spacing w:before="100" w:beforeAutospacing="1" w:after="100" w:afterAutospacing="1" w:line="240" w:lineRule="auto"/>
        <w:rPr>
          <w:sz w:val="28"/>
          <w:szCs w:val="28"/>
        </w:rPr>
      </w:pPr>
      <w:proofErr w:type="spellStart"/>
      <w:r>
        <w:rPr>
          <w:sz w:val="28"/>
          <w:szCs w:val="28"/>
        </w:rPr>
        <w:t>Kempf</w:t>
      </w:r>
      <w:proofErr w:type="spellEnd"/>
      <w:r>
        <w:rPr>
          <w:sz w:val="28"/>
          <w:szCs w:val="28"/>
        </w:rPr>
        <w:t xml:space="preserve"> (1985)</w:t>
      </w:r>
    </w:p>
    <w:p w14:paraId="54F715D5" w14:textId="6E83FC92" w:rsidR="00D61B67" w:rsidRPr="00D61B67" w:rsidRDefault="00D61B67" w:rsidP="007150EE">
      <w:pPr>
        <w:shd w:val="clear" w:color="auto" w:fill="FFFFFF"/>
        <w:spacing w:before="100" w:beforeAutospacing="1" w:after="100" w:afterAutospacing="1" w:line="240" w:lineRule="auto"/>
        <w:rPr>
          <w:sz w:val="28"/>
          <w:szCs w:val="28"/>
        </w:rPr>
      </w:pPr>
      <w:proofErr w:type="spellStart"/>
      <w:r>
        <w:rPr>
          <w:sz w:val="28"/>
          <w:szCs w:val="28"/>
        </w:rPr>
        <w:t>Grzelczyk</w:t>
      </w:r>
      <w:proofErr w:type="spellEnd"/>
      <w:r>
        <w:rPr>
          <w:sz w:val="28"/>
          <w:szCs w:val="28"/>
        </w:rPr>
        <w:t xml:space="preserve"> (2001)</w:t>
      </w:r>
    </w:p>
    <w:p w14:paraId="5F7E0145" w14:textId="77777777" w:rsidR="001C2239" w:rsidRDefault="001C2239" w:rsidP="007150EE">
      <w:pPr>
        <w:shd w:val="clear" w:color="auto" w:fill="FFFFFF"/>
        <w:spacing w:before="100" w:beforeAutospacing="1" w:after="100" w:afterAutospacing="1" w:line="240" w:lineRule="auto"/>
        <w:rPr>
          <w:rFonts w:ascii="Arial" w:hAnsi="Arial" w:cs="Arial"/>
          <w:sz w:val="24"/>
          <w:szCs w:val="24"/>
        </w:rPr>
      </w:pPr>
    </w:p>
    <w:p w14:paraId="34922AB5" w14:textId="77777777" w:rsidR="00B87A04" w:rsidRDefault="00B87A04" w:rsidP="007150EE">
      <w:pPr>
        <w:shd w:val="clear" w:color="auto" w:fill="FFFFFF"/>
        <w:spacing w:before="100" w:beforeAutospacing="1" w:after="100" w:afterAutospacing="1" w:line="240" w:lineRule="auto"/>
        <w:rPr>
          <w:rFonts w:ascii="Arial" w:hAnsi="Arial" w:cs="Arial"/>
          <w:sz w:val="24"/>
          <w:szCs w:val="24"/>
        </w:rPr>
      </w:pPr>
    </w:p>
    <w:p w14:paraId="29E9F46D" w14:textId="3CE816D3" w:rsidR="007150EE" w:rsidRPr="005A4DC3" w:rsidRDefault="003B0B56" w:rsidP="007150EE">
      <w:pPr>
        <w:shd w:val="clear" w:color="auto" w:fill="FFFFFF"/>
        <w:spacing w:before="100" w:beforeAutospacing="1" w:after="100" w:afterAutospacing="1" w:line="240" w:lineRule="auto"/>
        <w:rPr>
          <w:rFonts w:ascii="Arial" w:hAnsi="Arial" w:cs="Arial"/>
          <w:sz w:val="24"/>
          <w:szCs w:val="24"/>
        </w:rPr>
      </w:pPr>
      <w:r>
        <w:rPr>
          <w:rFonts w:ascii="Arial" w:hAnsi="Arial" w:cs="Arial"/>
          <w:sz w:val="24"/>
          <w:szCs w:val="24"/>
        </w:rPr>
        <w:t xml:space="preserve"> </w:t>
      </w:r>
      <w:r w:rsidR="002C3CBB">
        <w:rPr>
          <w:rFonts w:ascii="Arial" w:hAnsi="Arial" w:cs="Arial"/>
          <w:sz w:val="24"/>
          <w:szCs w:val="24"/>
        </w:rPr>
        <w:tab/>
      </w:r>
    </w:p>
    <w:p w14:paraId="03328213" w14:textId="77777777" w:rsidR="007150EE" w:rsidRPr="00741333" w:rsidRDefault="007150EE" w:rsidP="007150EE">
      <w:pPr>
        <w:shd w:val="clear" w:color="auto" w:fill="FFFFFF"/>
        <w:spacing w:before="100" w:beforeAutospacing="1" w:after="100" w:afterAutospacing="1" w:line="240" w:lineRule="auto"/>
        <w:ind w:left="360"/>
        <w:rPr>
          <w:rFonts w:ascii="Arial" w:eastAsia="Times New Roman" w:hAnsi="Arial" w:cs="Arial"/>
          <w:sz w:val="24"/>
          <w:szCs w:val="24"/>
          <w:lang w:eastAsia="en-GB"/>
        </w:rPr>
      </w:pPr>
    </w:p>
    <w:p w14:paraId="25E37D4C" w14:textId="020FC470" w:rsidR="00B60FEF" w:rsidRPr="00CB794D" w:rsidRDefault="00B60FEF" w:rsidP="00921BBD">
      <w:pPr>
        <w:rPr>
          <w:rFonts w:ascii="Arial" w:hAnsi="Arial" w:cs="Arial"/>
          <w:sz w:val="24"/>
          <w:szCs w:val="24"/>
        </w:rPr>
      </w:pPr>
    </w:p>
    <w:sectPr w:rsidR="00B60FEF" w:rsidRPr="00CB79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613B1"/>
    <w:multiLevelType w:val="multilevel"/>
    <w:tmpl w:val="660C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94B"/>
    <w:rsid w:val="0004153E"/>
    <w:rsid w:val="000665F5"/>
    <w:rsid w:val="00085C7C"/>
    <w:rsid w:val="000B3AC4"/>
    <w:rsid w:val="000B3F46"/>
    <w:rsid w:val="000D0FE1"/>
    <w:rsid w:val="000F2D6C"/>
    <w:rsid w:val="000F4B8D"/>
    <w:rsid w:val="000F6CCF"/>
    <w:rsid w:val="001160BB"/>
    <w:rsid w:val="00130A81"/>
    <w:rsid w:val="00152B5B"/>
    <w:rsid w:val="0017697F"/>
    <w:rsid w:val="001C2239"/>
    <w:rsid w:val="001C23FD"/>
    <w:rsid w:val="001F328C"/>
    <w:rsid w:val="00211ADE"/>
    <w:rsid w:val="002155DB"/>
    <w:rsid w:val="002356C3"/>
    <w:rsid w:val="002678D3"/>
    <w:rsid w:val="002B788E"/>
    <w:rsid w:val="002C3CBB"/>
    <w:rsid w:val="002C7F78"/>
    <w:rsid w:val="002D7482"/>
    <w:rsid w:val="00321AF6"/>
    <w:rsid w:val="00324426"/>
    <w:rsid w:val="0033636E"/>
    <w:rsid w:val="00337F62"/>
    <w:rsid w:val="003428EC"/>
    <w:rsid w:val="003575A8"/>
    <w:rsid w:val="00364C1B"/>
    <w:rsid w:val="003800EF"/>
    <w:rsid w:val="003B0B56"/>
    <w:rsid w:val="003D0DEC"/>
    <w:rsid w:val="00467A3D"/>
    <w:rsid w:val="00474A72"/>
    <w:rsid w:val="004A6FDD"/>
    <w:rsid w:val="004B1B43"/>
    <w:rsid w:val="004D6B53"/>
    <w:rsid w:val="00512633"/>
    <w:rsid w:val="00542418"/>
    <w:rsid w:val="00575CC3"/>
    <w:rsid w:val="00595D57"/>
    <w:rsid w:val="005A4DC3"/>
    <w:rsid w:val="005C07A4"/>
    <w:rsid w:val="005D2C5C"/>
    <w:rsid w:val="005E3D2E"/>
    <w:rsid w:val="005F09F5"/>
    <w:rsid w:val="00606FEB"/>
    <w:rsid w:val="0062114E"/>
    <w:rsid w:val="00631607"/>
    <w:rsid w:val="00670721"/>
    <w:rsid w:val="006C5CEF"/>
    <w:rsid w:val="006F410B"/>
    <w:rsid w:val="007150EE"/>
    <w:rsid w:val="00741333"/>
    <w:rsid w:val="00743844"/>
    <w:rsid w:val="0078642F"/>
    <w:rsid w:val="007F5621"/>
    <w:rsid w:val="008224F8"/>
    <w:rsid w:val="008B36EB"/>
    <w:rsid w:val="008C1AD8"/>
    <w:rsid w:val="00921BBD"/>
    <w:rsid w:val="00943789"/>
    <w:rsid w:val="00957A46"/>
    <w:rsid w:val="0096561B"/>
    <w:rsid w:val="009817B3"/>
    <w:rsid w:val="009B0B76"/>
    <w:rsid w:val="00A4109F"/>
    <w:rsid w:val="00A663A8"/>
    <w:rsid w:val="00AA782C"/>
    <w:rsid w:val="00AF382D"/>
    <w:rsid w:val="00B562CB"/>
    <w:rsid w:val="00B60FEF"/>
    <w:rsid w:val="00B87A04"/>
    <w:rsid w:val="00B959D8"/>
    <w:rsid w:val="00B97DA6"/>
    <w:rsid w:val="00BB3D54"/>
    <w:rsid w:val="00BC7B82"/>
    <w:rsid w:val="00BD4C46"/>
    <w:rsid w:val="00C32207"/>
    <w:rsid w:val="00C74610"/>
    <w:rsid w:val="00CA6343"/>
    <w:rsid w:val="00CB794D"/>
    <w:rsid w:val="00CC38D2"/>
    <w:rsid w:val="00CE7234"/>
    <w:rsid w:val="00CF3768"/>
    <w:rsid w:val="00D3686C"/>
    <w:rsid w:val="00D53539"/>
    <w:rsid w:val="00D5494B"/>
    <w:rsid w:val="00D61B67"/>
    <w:rsid w:val="00D94230"/>
    <w:rsid w:val="00DA30B2"/>
    <w:rsid w:val="00DE11C3"/>
    <w:rsid w:val="00DF4C96"/>
    <w:rsid w:val="00E134E3"/>
    <w:rsid w:val="00E23C76"/>
    <w:rsid w:val="00E25A5C"/>
    <w:rsid w:val="00E342A9"/>
    <w:rsid w:val="00E349C3"/>
    <w:rsid w:val="00E440F7"/>
    <w:rsid w:val="00E9139A"/>
    <w:rsid w:val="00E93281"/>
    <w:rsid w:val="00EA3A06"/>
    <w:rsid w:val="00ED6709"/>
    <w:rsid w:val="00EE7C12"/>
    <w:rsid w:val="00F1282F"/>
    <w:rsid w:val="00F42F75"/>
    <w:rsid w:val="00F43484"/>
    <w:rsid w:val="00F634E8"/>
    <w:rsid w:val="00F815AB"/>
    <w:rsid w:val="00F862BE"/>
    <w:rsid w:val="00F94786"/>
    <w:rsid w:val="00FB16D0"/>
    <w:rsid w:val="00FB2CBE"/>
    <w:rsid w:val="00FD3E5C"/>
    <w:rsid w:val="00FD564A"/>
    <w:rsid w:val="00FE3A42"/>
    <w:rsid w:val="00FF7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4DF2E"/>
  <w15:chartTrackingRefBased/>
  <w15:docId w15:val="{01F4237E-93D8-4C42-8874-E49B8D251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
    <w:name w:val="bold"/>
    <w:basedOn w:val="DefaultParagraphFont"/>
    <w:rsid w:val="00741333"/>
  </w:style>
  <w:style w:type="character" w:styleId="Hyperlink">
    <w:name w:val="Hyperlink"/>
    <w:basedOn w:val="DefaultParagraphFont"/>
    <w:uiPriority w:val="99"/>
    <w:unhideWhenUsed/>
    <w:rsid w:val="002B788E"/>
    <w:rPr>
      <w:color w:val="0563C1" w:themeColor="hyperlink"/>
      <w:u w:val="single"/>
    </w:rPr>
  </w:style>
  <w:style w:type="character" w:styleId="UnresolvedMention">
    <w:name w:val="Unresolved Mention"/>
    <w:basedOn w:val="DefaultParagraphFont"/>
    <w:uiPriority w:val="99"/>
    <w:semiHidden/>
    <w:unhideWhenUsed/>
    <w:rsid w:val="002B788E"/>
    <w:rPr>
      <w:color w:val="605E5C"/>
      <w:shd w:val="clear" w:color="auto" w:fill="E1DFDD"/>
    </w:rPr>
  </w:style>
  <w:style w:type="paragraph" w:styleId="NormalWeb">
    <w:name w:val="Normal (Web)"/>
    <w:basedOn w:val="Normal"/>
    <w:uiPriority w:val="99"/>
    <w:semiHidden/>
    <w:unhideWhenUsed/>
    <w:rsid w:val="00E134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62619">
      <w:bodyDiv w:val="1"/>
      <w:marLeft w:val="0"/>
      <w:marRight w:val="0"/>
      <w:marTop w:val="0"/>
      <w:marBottom w:val="0"/>
      <w:divBdr>
        <w:top w:val="none" w:sz="0" w:space="0" w:color="auto"/>
        <w:left w:val="none" w:sz="0" w:space="0" w:color="auto"/>
        <w:bottom w:val="none" w:sz="0" w:space="0" w:color="auto"/>
        <w:right w:val="none" w:sz="0" w:space="0" w:color="auto"/>
      </w:divBdr>
    </w:div>
    <w:div w:id="63583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EN/TXT/?uri=LEGISSUM%3Al26114#:~:text=Article%20101(3)%20acknowledges%20that,those%20agreements%20from%20these%20prohibitions" TargetMode="External"/><Relationship Id="rId3" Type="http://schemas.openxmlformats.org/officeDocument/2006/relationships/settings" Target="settings.xml"/><Relationship Id="rId7" Type="http://schemas.openxmlformats.org/officeDocument/2006/relationships/hyperlink" Target="https://www.concurrences.com/en/dictionary/Relevant-mark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lex.europa.eu/legal-content/EN/ALL/?uri=celex%3A31997Y1209%2801%29" TargetMode="External"/><Relationship Id="rId11" Type="http://schemas.openxmlformats.org/officeDocument/2006/relationships/fontTable" Target="fontTable.xml"/><Relationship Id="rId5" Type="http://schemas.openxmlformats.org/officeDocument/2006/relationships/hyperlink" Target="https://www.twobirds.com/en/news/articles/2015/uk/competition-law-access-to-facilities" TargetMode="External"/><Relationship Id="rId10" Type="http://schemas.openxmlformats.org/officeDocument/2006/relationships/hyperlink" Target="https://eur-lex.europa.eu/legal-content/EN/TXT/?uri=CELEX%3A61985CJ0139" TargetMode="External"/><Relationship Id="rId4" Type="http://schemas.openxmlformats.org/officeDocument/2006/relationships/webSettings" Target="webSettings.xml"/><Relationship Id="rId9" Type="http://schemas.openxmlformats.org/officeDocument/2006/relationships/hyperlink" Target="https://eur-lex.europa.eu/legal-content/EN/TXT/?uri=CELEX:61985CJ0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2128</TotalTime>
  <Pages>5</Pages>
  <Words>1590</Words>
  <Characters>9067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Spencer</dc:creator>
  <cp:keywords/>
  <dc:description/>
  <cp:lastModifiedBy>Kirsty Spencer</cp:lastModifiedBy>
  <cp:revision>254</cp:revision>
  <dcterms:created xsi:type="dcterms:W3CDTF">2021-05-04T10:57:00Z</dcterms:created>
  <dcterms:modified xsi:type="dcterms:W3CDTF">2021-05-07T21:21:00Z</dcterms:modified>
</cp:coreProperties>
</file>