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96B5A" w14:textId="6708A015" w:rsidR="006C735B" w:rsidRPr="001D0253" w:rsidRDefault="00EB31D5" w:rsidP="00DA49F4">
      <w:pPr>
        <w:rPr>
          <w:rFonts w:ascii="Arial" w:hAnsi="Arial" w:cs="Arial"/>
          <w:b/>
          <w:bCs/>
          <w:sz w:val="24"/>
          <w:szCs w:val="24"/>
          <w:u w:val="single"/>
        </w:rPr>
      </w:pPr>
      <w:r w:rsidRPr="001D0253">
        <w:rPr>
          <w:rFonts w:ascii="Arial" w:hAnsi="Arial" w:cs="Arial"/>
          <w:b/>
          <w:bCs/>
          <w:sz w:val="24"/>
          <w:szCs w:val="24"/>
          <w:u w:val="single"/>
        </w:rPr>
        <w:t>A</w:t>
      </w:r>
      <w:r w:rsidR="00285CF7" w:rsidRPr="001D0253">
        <w:rPr>
          <w:rFonts w:ascii="Arial" w:hAnsi="Arial" w:cs="Arial"/>
          <w:b/>
          <w:bCs/>
          <w:sz w:val="24"/>
          <w:szCs w:val="24"/>
          <w:u w:val="single"/>
        </w:rPr>
        <w:t>C 1.1</w:t>
      </w:r>
      <w:r w:rsidR="00DA49F4" w:rsidRPr="001D0253">
        <w:rPr>
          <w:rFonts w:ascii="Arial" w:hAnsi="Arial" w:cs="Arial"/>
          <w:b/>
          <w:bCs/>
          <w:sz w:val="24"/>
          <w:szCs w:val="24"/>
          <w:u w:val="single"/>
        </w:rPr>
        <w:t xml:space="preserve">  </w:t>
      </w:r>
    </w:p>
    <w:p w14:paraId="34820558" w14:textId="4E04F8FA" w:rsidR="006C735B" w:rsidRPr="001D0253" w:rsidRDefault="00D114B3" w:rsidP="006C735B">
      <w:pPr>
        <w:rPr>
          <w:rFonts w:ascii="Arial" w:hAnsi="Arial" w:cs="Arial"/>
          <w:sz w:val="24"/>
          <w:szCs w:val="24"/>
        </w:rPr>
      </w:pPr>
      <w:r w:rsidRPr="001D0253">
        <w:rPr>
          <w:rFonts w:ascii="Arial" w:hAnsi="Arial" w:cs="Arial"/>
          <w:sz w:val="24"/>
          <w:szCs w:val="24"/>
        </w:rPr>
        <w:t>A</w:t>
      </w:r>
      <w:r w:rsidR="006C735B" w:rsidRPr="001D0253">
        <w:rPr>
          <w:rFonts w:ascii="Arial" w:hAnsi="Arial" w:cs="Arial"/>
          <w:sz w:val="24"/>
          <w:szCs w:val="24"/>
        </w:rPr>
        <w:t>ccording to Barends and Rousseau (2018, pp.2 &amp; 12), EBP supports better decision</w:t>
      </w:r>
      <w:r w:rsidRPr="001D0253">
        <w:rPr>
          <w:rFonts w:ascii="Arial" w:hAnsi="Arial" w:cs="Arial"/>
          <w:sz w:val="24"/>
          <w:szCs w:val="24"/>
        </w:rPr>
        <w:t xml:space="preserve"> </w:t>
      </w:r>
      <w:r w:rsidR="006C735B" w:rsidRPr="001D0253">
        <w:rPr>
          <w:rFonts w:ascii="Arial" w:hAnsi="Arial" w:cs="Arial"/>
          <w:sz w:val="24"/>
          <w:szCs w:val="24"/>
        </w:rPr>
        <w:t>making by applying critical thinking and credible evidence. It helps avoid choices based on assumptions, trends, or unsupported bias, which often result in weak outcomes and limited insight. EBP encourages professionals to question the reliability of their evidence, seek multiple sources, and evaluate them carefully to guide informed and effective practice.</w:t>
      </w:r>
    </w:p>
    <w:p w14:paraId="7B13CB72" w14:textId="77777777" w:rsidR="006C735B" w:rsidRPr="001D0253" w:rsidRDefault="006C735B" w:rsidP="006C735B">
      <w:pPr>
        <w:rPr>
          <w:rFonts w:ascii="Arial" w:hAnsi="Arial" w:cs="Arial"/>
          <w:sz w:val="24"/>
          <w:szCs w:val="24"/>
        </w:rPr>
      </w:pPr>
      <w:r w:rsidRPr="001D0253">
        <w:rPr>
          <w:rFonts w:ascii="Arial" w:hAnsi="Arial" w:cs="Arial"/>
          <w:sz w:val="24"/>
          <w:szCs w:val="24"/>
        </w:rPr>
        <w:t>The Centre for Evidence-Based Management (CEBMa) and CIPD define EBP as “making decisions through the conscientious, explicit and judicious use of the best available evidence from multiple sources… to increase the likelihood of a favourable outcome” (CIPD, 2015). Barends, Rousseau and Briner (2014) identify four key sources of evidence: scientific research, organisational data, professional expertise, and stakeholder perspectives. Once gathered, Briner (2019) outlines a six-step model to guide decision-making: asking, acquiring, appraising, aggregating, applying, and assessing evidence. CIPD (2015) also endorses this structured approach.</w:t>
      </w:r>
    </w:p>
    <w:p w14:paraId="4170C362" w14:textId="77777777" w:rsidR="006C735B" w:rsidRPr="001D0253" w:rsidRDefault="006C735B" w:rsidP="006C735B">
      <w:pPr>
        <w:rPr>
          <w:rFonts w:ascii="Arial" w:hAnsi="Arial" w:cs="Arial"/>
          <w:sz w:val="24"/>
          <w:szCs w:val="24"/>
        </w:rPr>
      </w:pPr>
      <w:r w:rsidRPr="001D0253">
        <w:rPr>
          <w:rFonts w:ascii="Arial" w:hAnsi="Arial" w:cs="Arial"/>
          <w:sz w:val="24"/>
          <w:szCs w:val="24"/>
        </w:rPr>
        <w:t>Scott and Bruce (1995) describe four decision-making styles: rational, intuitive, dependent, and avoidant. While intuitive and dependent styles are common, rational decision-making is more effective for complex organisational challenges involving strategic outcomes. It follows a structured process: defining the problem, clarifying goals, conducting gap analysis, gathering data, evaluating options, and implementing solutions (Uzonwanne, 2016).</w:t>
      </w:r>
    </w:p>
    <w:p w14:paraId="1E0460E4" w14:textId="433438D2" w:rsidR="006C735B" w:rsidRPr="001D0253" w:rsidRDefault="006C735B" w:rsidP="006C735B">
      <w:pPr>
        <w:rPr>
          <w:rFonts w:ascii="Arial" w:hAnsi="Arial" w:cs="Arial"/>
          <w:sz w:val="24"/>
          <w:szCs w:val="24"/>
        </w:rPr>
      </w:pPr>
      <w:r w:rsidRPr="001D0253">
        <w:rPr>
          <w:rFonts w:ascii="Arial" w:hAnsi="Arial" w:cs="Arial"/>
          <w:sz w:val="24"/>
          <w:szCs w:val="24"/>
        </w:rPr>
        <w:t xml:space="preserve">Technivara can enhance recruitment outcomes by applying EBP. Current reliance on subjective criteria and outdated job descriptions risks poor hires and high turnover. Groysberg et al. (2009) found that one-third of new hires leave within three years, creating significant cost implications. Armstrong and Taylor (2020, p.245) emphasise the importance of aligning recruitment with strategic goals. By analysing metrics such as time-to-hire, cost-per-hire, and retention rates, and using validated tools like structured interviews and cognitive ability tests (Schmidt &amp; Hunter, 1998), Technivara can shift from subjective hiring to a predictive, </w:t>
      </w:r>
      <w:r w:rsidR="001871AC" w:rsidRPr="001D0253">
        <w:rPr>
          <w:rFonts w:ascii="Arial" w:hAnsi="Arial" w:cs="Arial"/>
          <w:sz w:val="24"/>
          <w:szCs w:val="24"/>
        </w:rPr>
        <w:t xml:space="preserve">digital based </w:t>
      </w:r>
      <w:r w:rsidRPr="001D0253">
        <w:rPr>
          <w:rFonts w:ascii="Arial" w:hAnsi="Arial" w:cs="Arial"/>
          <w:sz w:val="24"/>
          <w:szCs w:val="24"/>
        </w:rPr>
        <w:t>evidence</w:t>
      </w:r>
      <w:r w:rsidR="001871AC" w:rsidRPr="001D0253">
        <w:rPr>
          <w:rFonts w:ascii="Arial" w:hAnsi="Arial" w:cs="Arial"/>
          <w:sz w:val="24"/>
          <w:szCs w:val="24"/>
        </w:rPr>
        <w:t xml:space="preserve"> </w:t>
      </w:r>
      <w:r w:rsidRPr="001D0253">
        <w:rPr>
          <w:rFonts w:ascii="Arial" w:hAnsi="Arial" w:cs="Arial"/>
          <w:sz w:val="24"/>
          <w:szCs w:val="24"/>
        </w:rPr>
        <w:t>informed process that improves performance and retention.</w:t>
      </w:r>
    </w:p>
    <w:p w14:paraId="7E5E2901" w14:textId="79ACC1FA" w:rsidR="006C735B" w:rsidRPr="001D0253" w:rsidRDefault="006C735B" w:rsidP="006C735B">
      <w:pPr>
        <w:rPr>
          <w:rFonts w:ascii="Arial" w:hAnsi="Arial" w:cs="Arial"/>
          <w:sz w:val="24"/>
          <w:szCs w:val="24"/>
        </w:rPr>
      </w:pPr>
      <w:r w:rsidRPr="001D0253">
        <w:rPr>
          <w:rFonts w:ascii="Arial" w:hAnsi="Arial" w:cs="Arial"/>
          <w:sz w:val="24"/>
          <w:szCs w:val="24"/>
        </w:rPr>
        <w:t xml:space="preserve">Technivara’s expansion also risks placing pressure on its engineering workforce. To mitigate this, HR can apply EBP to support wellbeing, helping prevent stress and foster positive working environments where employees and organisations thrive (CIPD, 2025). Triangulating </w:t>
      </w:r>
      <w:r w:rsidR="00FA4274" w:rsidRPr="001D0253">
        <w:rPr>
          <w:rFonts w:ascii="Arial" w:hAnsi="Arial" w:cs="Arial"/>
          <w:sz w:val="24"/>
          <w:szCs w:val="24"/>
        </w:rPr>
        <w:t>data</w:t>
      </w:r>
      <w:r w:rsidR="00A63908" w:rsidRPr="001D0253">
        <w:rPr>
          <w:rFonts w:ascii="Arial" w:hAnsi="Arial" w:cs="Arial"/>
          <w:sz w:val="24"/>
          <w:szCs w:val="24"/>
        </w:rPr>
        <w:t xml:space="preserve"> from external </w:t>
      </w:r>
      <w:r w:rsidR="002B4CBE" w:rsidRPr="001D0253">
        <w:rPr>
          <w:rFonts w:ascii="Arial" w:hAnsi="Arial" w:cs="Arial"/>
          <w:sz w:val="24"/>
          <w:szCs w:val="24"/>
        </w:rPr>
        <w:t xml:space="preserve">industry </w:t>
      </w:r>
      <w:r w:rsidR="00A63908" w:rsidRPr="001D0253">
        <w:rPr>
          <w:rFonts w:ascii="Arial" w:hAnsi="Arial" w:cs="Arial"/>
          <w:sz w:val="24"/>
          <w:szCs w:val="24"/>
        </w:rPr>
        <w:t xml:space="preserve">benchmarking </w:t>
      </w:r>
      <w:r w:rsidR="002B4CBE" w:rsidRPr="001D0253">
        <w:rPr>
          <w:rFonts w:ascii="Arial" w:hAnsi="Arial" w:cs="Arial"/>
          <w:sz w:val="24"/>
          <w:szCs w:val="24"/>
        </w:rPr>
        <w:t xml:space="preserve"> sources, </w:t>
      </w:r>
      <w:r w:rsidRPr="001D0253">
        <w:rPr>
          <w:rFonts w:ascii="Arial" w:hAnsi="Arial" w:cs="Arial"/>
          <w:sz w:val="24"/>
          <w:szCs w:val="24"/>
        </w:rPr>
        <w:t>quantitative</w:t>
      </w:r>
      <w:r w:rsidR="002B4CBE" w:rsidRPr="001D0253">
        <w:rPr>
          <w:rFonts w:ascii="Arial" w:hAnsi="Arial" w:cs="Arial"/>
          <w:sz w:val="24"/>
          <w:szCs w:val="24"/>
        </w:rPr>
        <w:t xml:space="preserve"> data</w:t>
      </w:r>
      <w:r w:rsidRPr="001D0253">
        <w:rPr>
          <w:rFonts w:ascii="Arial" w:hAnsi="Arial" w:cs="Arial"/>
          <w:sz w:val="24"/>
          <w:szCs w:val="24"/>
        </w:rPr>
        <w:t xml:space="preserve"> metrics like overtime, error rates, and sickness absence, alongside qualitative insights from interviews and focus groups</w:t>
      </w:r>
      <w:r w:rsidR="00FA4274" w:rsidRPr="001D0253">
        <w:rPr>
          <w:rFonts w:ascii="Arial" w:hAnsi="Arial" w:cs="Arial"/>
          <w:sz w:val="24"/>
          <w:szCs w:val="24"/>
        </w:rPr>
        <w:t xml:space="preserve"> </w:t>
      </w:r>
      <w:r w:rsidR="00771CF8" w:rsidRPr="001D0253">
        <w:rPr>
          <w:rFonts w:ascii="Arial" w:hAnsi="Arial" w:cs="Arial"/>
          <w:sz w:val="24"/>
          <w:szCs w:val="24"/>
        </w:rPr>
        <w:t xml:space="preserve">(Taylor &amp; Woodhams, 2023, pp.126–129) </w:t>
      </w:r>
      <w:r w:rsidRPr="001D0253">
        <w:rPr>
          <w:rFonts w:ascii="Arial" w:hAnsi="Arial" w:cs="Arial"/>
          <w:sz w:val="24"/>
          <w:szCs w:val="24"/>
        </w:rPr>
        <w:t>can reveal stress levels</w:t>
      </w:r>
      <w:r w:rsidR="00B80B7D" w:rsidRPr="001D0253">
        <w:rPr>
          <w:rFonts w:ascii="Arial" w:hAnsi="Arial" w:cs="Arial"/>
          <w:sz w:val="24"/>
          <w:szCs w:val="24"/>
        </w:rPr>
        <w:t xml:space="preserve">, trends in similar sectors </w:t>
      </w:r>
      <w:r w:rsidRPr="001D0253">
        <w:rPr>
          <w:rFonts w:ascii="Arial" w:hAnsi="Arial" w:cs="Arial"/>
          <w:sz w:val="24"/>
          <w:szCs w:val="24"/>
        </w:rPr>
        <w:t>and improvement opportunities The CIPD Health and Wellbeing at Work Survey 2025 reports the highest recorded sickness absence rate, with stress a leading cause of both short- and long-term absence, up from 2023. Prioritising wellbeing through evidence</w:t>
      </w:r>
      <w:r w:rsidR="00771CF8" w:rsidRPr="001D0253">
        <w:rPr>
          <w:rFonts w:ascii="Arial" w:hAnsi="Arial" w:cs="Arial"/>
          <w:sz w:val="24"/>
          <w:szCs w:val="24"/>
        </w:rPr>
        <w:t xml:space="preserve"> based </w:t>
      </w:r>
      <w:r w:rsidRPr="001D0253">
        <w:rPr>
          <w:rFonts w:ascii="Arial" w:hAnsi="Arial" w:cs="Arial"/>
          <w:sz w:val="24"/>
          <w:szCs w:val="24"/>
        </w:rPr>
        <w:t>informed interventions can enhance health, engagement, and performance (CIPD, 2025).</w:t>
      </w:r>
    </w:p>
    <w:p w14:paraId="51E87149" w14:textId="77777777" w:rsidR="00EB31D5" w:rsidRPr="001D0253" w:rsidRDefault="00285CF7" w:rsidP="00FF386D">
      <w:pPr>
        <w:rPr>
          <w:rFonts w:ascii="Arial" w:hAnsi="Arial" w:cs="Arial"/>
          <w:b/>
          <w:bCs/>
          <w:sz w:val="24"/>
          <w:szCs w:val="24"/>
          <w:u w:val="single"/>
        </w:rPr>
      </w:pPr>
      <w:r w:rsidRPr="001D0253">
        <w:rPr>
          <w:rFonts w:ascii="Arial" w:hAnsi="Arial" w:cs="Arial"/>
          <w:b/>
          <w:bCs/>
          <w:sz w:val="24"/>
          <w:szCs w:val="24"/>
          <w:u w:val="single"/>
        </w:rPr>
        <w:lastRenderedPageBreak/>
        <w:t>AC 1.2</w:t>
      </w:r>
    </w:p>
    <w:p w14:paraId="0BD6694A" w14:textId="7A0CA37A" w:rsidR="00FF386D" w:rsidRPr="001D0253" w:rsidRDefault="00FF386D" w:rsidP="00FF386D">
      <w:pPr>
        <w:rPr>
          <w:rFonts w:ascii="Arial" w:hAnsi="Arial" w:cs="Arial"/>
          <w:sz w:val="24"/>
          <w:szCs w:val="24"/>
        </w:rPr>
      </w:pPr>
      <w:r w:rsidRPr="001D0253">
        <w:rPr>
          <w:rFonts w:ascii="Arial" w:hAnsi="Arial" w:cs="Arial"/>
          <w:sz w:val="24"/>
          <w:szCs w:val="24"/>
        </w:rPr>
        <w:t>As Technivara prepares for expansion and digital transformation, leaders must analyse both internal and external environments to navigate risks and embrace opportunities (Taylor &amp; Woodhams, 2023, p.47). External models such as PESTLE, SWOT, Mendelow’s Matrix (Mendelow, 1991), and Ansoff’s Product-Market Matrix (Bevers, Read &amp; Hayden, 2000, p.49) support strategic planning.</w:t>
      </w:r>
    </w:p>
    <w:p w14:paraId="3B91FB93" w14:textId="77777777" w:rsidR="00FF386D" w:rsidRPr="001D0253" w:rsidRDefault="00FF386D" w:rsidP="00FF386D">
      <w:pPr>
        <w:rPr>
          <w:rFonts w:ascii="Arial" w:hAnsi="Arial" w:cs="Arial"/>
          <w:sz w:val="24"/>
          <w:szCs w:val="24"/>
        </w:rPr>
      </w:pPr>
      <w:r w:rsidRPr="001D0253">
        <w:rPr>
          <w:rFonts w:ascii="Arial" w:hAnsi="Arial" w:cs="Arial"/>
          <w:sz w:val="24"/>
          <w:szCs w:val="24"/>
        </w:rPr>
        <w:t>Porter’s Five Forces (1980) offers a robust framework to assess Technivara’s competitive landscape and inform talent strategies. It evaluates competitive rivalry, supplier power, buyer power, threat of substitution, and threat of new entrants (Taylor &amp; Woodhams, 2023, p.46). In engineering, where innovation and speed to market are vital, rivalry is high (Hofman, 2023), increasing poaching and turnover risks. HR can respond by promoting career development and a positive work culture (CIPD, 2025a).</w:t>
      </w:r>
    </w:p>
    <w:p w14:paraId="6A6CF903" w14:textId="62EE04D6" w:rsidR="00FF386D" w:rsidRPr="001D0253" w:rsidRDefault="00FF386D" w:rsidP="00FF386D">
      <w:pPr>
        <w:rPr>
          <w:rFonts w:ascii="Arial" w:hAnsi="Arial" w:cs="Arial"/>
          <w:sz w:val="24"/>
          <w:szCs w:val="24"/>
        </w:rPr>
      </w:pPr>
      <w:r w:rsidRPr="001D0253">
        <w:rPr>
          <w:rFonts w:ascii="Arial" w:hAnsi="Arial" w:cs="Arial"/>
          <w:sz w:val="24"/>
          <w:szCs w:val="24"/>
        </w:rPr>
        <w:t xml:space="preserve">In industries with limited skilled professionals, candidates hold greater supplier power. HR can remain competitive by offering agile working, development opportunities, and fair pay. Where candidates have multiple options, buyer power increases. Technivara can mitigate this by building links between academia and industry, Swansea University do this well, creating </w:t>
      </w:r>
      <w:r w:rsidR="00792E6E" w:rsidRPr="001D0253">
        <w:rPr>
          <w:rFonts w:ascii="Arial" w:hAnsi="Arial" w:cs="Arial"/>
          <w:sz w:val="24"/>
          <w:szCs w:val="24"/>
        </w:rPr>
        <w:t>two-way</w:t>
      </w:r>
      <w:r w:rsidRPr="001D0253">
        <w:rPr>
          <w:rFonts w:ascii="Arial" w:hAnsi="Arial" w:cs="Arial"/>
          <w:sz w:val="24"/>
          <w:szCs w:val="24"/>
        </w:rPr>
        <w:t xml:space="preserve"> access to talent and future</w:t>
      </w:r>
      <w:r w:rsidR="00AA2DDF" w:rsidRPr="001D0253">
        <w:rPr>
          <w:rFonts w:ascii="Arial" w:hAnsi="Arial" w:cs="Arial"/>
          <w:sz w:val="24"/>
          <w:szCs w:val="24"/>
        </w:rPr>
        <w:t xml:space="preserve"> </w:t>
      </w:r>
      <w:r w:rsidRPr="001D0253">
        <w:rPr>
          <w:rFonts w:ascii="Arial" w:hAnsi="Arial" w:cs="Arial"/>
          <w:sz w:val="24"/>
          <w:szCs w:val="24"/>
        </w:rPr>
        <w:t xml:space="preserve">proofing skills (Swansea.ac) This would </w:t>
      </w:r>
      <w:r w:rsidR="008F7736" w:rsidRPr="001D0253">
        <w:rPr>
          <w:rFonts w:ascii="Arial" w:hAnsi="Arial" w:cs="Arial"/>
          <w:sz w:val="24"/>
          <w:szCs w:val="24"/>
        </w:rPr>
        <w:t>be promoting</w:t>
      </w:r>
      <w:r w:rsidRPr="001D0253">
        <w:rPr>
          <w:rFonts w:ascii="Arial" w:hAnsi="Arial" w:cs="Arial"/>
          <w:sz w:val="24"/>
          <w:szCs w:val="24"/>
        </w:rPr>
        <w:t xml:space="preserve"> Technivara’s values and culture.</w:t>
      </w:r>
    </w:p>
    <w:p w14:paraId="7199D449" w14:textId="77777777" w:rsidR="00FF386D" w:rsidRPr="001D0253" w:rsidRDefault="00FF386D" w:rsidP="00FF386D">
      <w:pPr>
        <w:rPr>
          <w:rFonts w:ascii="Arial" w:hAnsi="Arial" w:cs="Arial"/>
          <w:sz w:val="24"/>
          <w:szCs w:val="24"/>
        </w:rPr>
      </w:pPr>
      <w:r w:rsidRPr="001D0253">
        <w:rPr>
          <w:rFonts w:ascii="Arial" w:hAnsi="Arial" w:cs="Arial"/>
          <w:sz w:val="24"/>
          <w:szCs w:val="24"/>
        </w:rPr>
        <w:t>Low entry barriers heighten the threat of new competitors, intensifying demand for skilled staff. HR should strengthen employer branding and offer flexible, tailored reward packages (CIPD, 2025b). However, Porter’s model focuses externally and lacks insight into internal workforce dynamics. Combining it with SWOT enables more holistic workforce planning (Armstrong &amp; Taylor, 2003).</w:t>
      </w:r>
    </w:p>
    <w:p w14:paraId="3571D973" w14:textId="77777777" w:rsidR="00FF386D" w:rsidRPr="001D0253" w:rsidRDefault="00FF386D" w:rsidP="00FF386D">
      <w:pPr>
        <w:rPr>
          <w:rFonts w:ascii="Arial" w:hAnsi="Arial" w:cs="Arial"/>
          <w:sz w:val="24"/>
          <w:szCs w:val="24"/>
        </w:rPr>
      </w:pPr>
      <w:r w:rsidRPr="001D0253">
        <w:rPr>
          <w:rFonts w:ascii="Arial" w:hAnsi="Arial" w:cs="Arial"/>
          <w:sz w:val="24"/>
          <w:szCs w:val="24"/>
        </w:rPr>
        <w:t>Expansion and digital change require careful management. CIPD (2024) advises using analytical methods to capture employee voice during transitions. Questionnaire surveys offer structured, quantifiable data to assess engagement, satisfaction, and readiness for change (Waite et al., 2021; Marchington et al., 2021). CIPD (2025) recommends surveys as a direct mechanism to help employees feel valued and influential.</w:t>
      </w:r>
    </w:p>
    <w:p w14:paraId="6BAFDE07" w14:textId="77777777" w:rsidR="00FF386D" w:rsidRPr="001D0253" w:rsidRDefault="00FF386D" w:rsidP="00FF386D">
      <w:pPr>
        <w:rPr>
          <w:rFonts w:ascii="Arial" w:hAnsi="Arial" w:cs="Arial"/>
          <w:sz w:val="24"/>
          <w:szCs w:val="24"/>
        </w:rPr>
      </w:pPr>
      <w:r w:rsidRPr="001D0253">
        <w:rPr>
          <w:rFonts w:ascii="Arial" w:hAnsi="Arial" w:cs="Arial"/>
          <w:sz w:val="24"/>
          <w:szCs w:val="24"/>
        </w:rPr>
        <w:t xml:space="preserve">Surveys are cost-effective, scalable, and support statistical analysis. Anonymity encourages honest feedback, and digital tools aid presentation. However, they may lack depth, suffer low response rates, and risk bias from poor wording or limited options. Unlike interviews, surveys </w:t>
      </w:r>
      <w:proofErr w:type="gramStart"/>
      <w:r w:rsidRPr="001D0253">
        <w:rPr>
          <w:rFonts w:ascii="Arial" w:hAnsi="Arial" w:cs="Arial"/>
          <w:sz w:val="24"/>
          <w:szCs w:val="24"/>
        </w:rPr>
        <w:t>don’t</w:t>
      </w:r>
      <w:proofErr w:type="gramEnd"/>
      <w:r w:rsidRPr="001D0253">
        <w:rPr>
          <w:rFonts w:ascii="Arial" w:hAnsi="Arial" w:cs="Arial"/>
          <w:sz w:val="24"/>
          <w:szCs w:val="24"/>
        </w:rPr>
        <w:t xml:space="preserve"> allow clarification and may reduce engagement (Stevens, 2025).</w:t>
      </w:r>
    </w:p>
    <w:p w14:paraId="54E596CC" w14:textId="0C1ACD4A" w:rsidR="00FF386D" w:rsidRPr="001D0253" w:rsidRDefault="00FF386D" w:rsidP="00FF386D">
      <w:pPr>
        <w:rPr>
          <w:rFonts w:ascii="Arial" w:hAnsi="Arial" w:cs="Arial"/>
          <w:sz w:val="24"/>
          <w:szCs w:val="24"/>
        </w:rPr>
      </w:pPr>
      <w:r w:rsidRPr="001D0253">
        <w:rPr>
          <w:rFonts w:ascii="Arial" w:hAnsi="Arial" w:cs="Arial"/>
          <w:sz w:val="24"/>
          <w:szCs w:val="24"/>
        </w:rPr>
        <w:t xml:space="preserve">Together, Porter’s Five </w:t>
      </w:r>
      <w:r w:rsidR="008F7736" w:rsidRPr="001D0253">
        <w:rPr>
          <w:rFonts w:ascii="Arial" w:hAnsi="Arial" w:cs="Arial"/>
          <w:sz w:val="24"/>
          <w:szCs w:val="24"/>
        </w:rPr>
        <w:t>Forces,</w:t>
      </w:r>
      <w:r w:rsidRPr="001D0253">
        <w:rPr>
          <w:rFonts w:ascii="Arial" w:hAnsi="Arial" w:cs="Arial"/>
          <w:sz w:val="24"/>
          <w:szCs w:val="24"/>
        </w:rPr>
        <w:t xml:space="preserve"> and questionnaire surveys offer complementary insights</w:t>
      </w:r>
      <w:r w:rsidR="002F0CA2" w:rsidRPr="001D0253">
        <w:rPr>
          <w:rFonts w:ascii="Arial" w:hAnsi="Arial" w:cs="Arial"/>
          <w:sz w:val="24"/>
          <w:szCs w:val="24"/>
        </w:rPr>
        <w:t xml:space="preserve"> to </w:t>
      </w:r>
      <w:r w:rsidRPr="001D0253">
        <w:rPr>
          <w:rFonts w:ascii="Arial" w:hAnsi="Arial" w:cs="Arial"/>
          <w:sz w:val="24"/>
          <w:szCs w:val="24"/>
        </w:rPr>
        <w:t>external market pressures and internal workforce sentiment</w:t>
      </w:r>
      <w:r w:rsidR="00B4743A" w:rsidRPr="001D0253">
        <w:rPr>
          <w:rFonts w:ascii="Arial" w:hAnsi="Arial" w:cs="Arial"/>
          <w:sz w:val="24"/>
          <w:szCs w:val="24"/>
        </w:rPr>
        <w:t xml:space="preserve"> (Genesh, 2025)</w:t>
      </w:r>
      <w:r w:rsidR="002F0CA2" w:rsidRPr="001D0253">
        <w:rPr>
          <w:rFonts w:ascii="Arial" w:hAnsi="Arial" w:cs="Arial"/>
          <w:sz w:val="24"/>
          <w:szCs w:val="24"/>
        </w:rPr>
        <w:t xml:space="preserve">, </w:t>
      </w:r>
      <w:r w:rsidRPr="001D0253">
        <w:rPr>
          <w:rFonts w:ascii="Arial" w:hAnsi="Arial" w:cs="Arial"/>
          <w:sz w:val="24"/>
          <w:szCs w:val="24"/>
        </w:rPr>
        <w:t>supporting Technivara’s strategic growth and</w:t>
      </w:r>
      <w:r w:rsidR="002F0CA2" w:rsidRPr="001D0253">
        <w:rPr>
          <w:rFonts w:ascii="Arial" w:hAnsi="Arial" w:cs="Arial"/>
          <w:sz w:val="24"/>
          <w:szCs w:val="24"/>
        </w:rPr>
        <w:t xml:space="preserve"> digital</w:t>
      </w:r>
      <w:r w:rsidRPr="001D0253">
        <w:rPr>
          <w:rFonts w:ascii="Arial" w:hAnsi="Arial" w:cs="Arial"/>
          <w:sz w:val="24"/>
          <w:szCs w:val="24"/>
        </w:rPr>
        <w:t xml:space="preserve"> transformation.</w:t>
      </w:r>
    </w:p>
    <w:p w14:paraId="4EE907CC" w14:textId="48687C89" w:rsidR="00285CF7" w:rsidRPr="001D0253" w:rsidRDefault="00285CF7" w:rsidP="00285CF7">
      <w:pPr>
        <w:rPr>
          <w:rFonts w:ascii="Arial" w:hAnsi="Arial" w:cs="Arial"/>
          <w:b/>
          <w:bCs/>
          <w:sz w:val="24"/>
          <w:szCs w:val="24"/>
          <w:u w:val="single"/>
        </w:rPr>
      </w:pPr>
      <w:r w:rsidRPr="001D0253">
        <w:rPr>
          <w:rFonts w:ascii="Arial" w:hAnsi="Arial" w:cs="Arial"/>
          <w:b/>
          <w:bCs/>
          <w:sz w:val="24"/>
          <w:szCs w:val="24"/>
          <w:u w:val="single"/>
        </w:rPr>
        <w:t xml:space="preserve">AC 1.3 </w:t>
      </w:r>
    </w:p>
    <w:p w14:paraId="60C7974E" w14:textId="77777777" w:rsidR="00285CF7" w:rsidRPr="001D0253" w:rsidRDefault="00285CF7" w:rsidP="00285CF7">
      <w:pPr>
        <w:rPr>
          <w:rFonts w:ascii="Arial" w:hAnsi="Arial" w:cs="Arial"/>
          <w:sz w:val="24"/>
          <w:szCs w:val="24"/>
        </w:rPr>
      </w:pPr>
      <w:r w:rsidRPr="001D0253">
        <w:rPr>
          <w:rFonts w:ascii="Arial" w:hAnsi="Arial" w:cs="Arial"/>
          <w:sz w:val="24"/>
          <w:szCs w:val="24"/>
        </w:rPr>
        <w:t xml:space="preserve">According to Howlett (2019), critical thinking involves the ability to think clearly and reflectively when engaging with the views, reasoning, and assertions of others. He </w:t>
      </w:r>
      <w:r w:rsidRPr="001D0253">
        <w:rPr>
          <w:rFonts w:ascii="Arial" w:hAnsi="Arial" w:cs="Arial"/>
          <w:sz w:val="24"/>
          <w:szCs w:val="24"/>
        </w:rPr>
        <w:lastRenderedPageBreak/>
        <w:t>highlights three key elements: the ability to evaluate and challenge the arguments and perspectives presented by others; the capacity to construct and communicate week reasoned ideas and opinions; and the awareness to recognise when others are applying critical thinking techniques that may influence how they develop their own arguments or a plan to support their decision.</w:t>
      </w:r>
    </w:p>
    <w:p w14:paraId="1AF75B00" w14:textId="5F535D3E" w:rsidR="00285CF7" w:rsidRPr="001D0253" w:rsidRDefault="00285CF7" w:rsidP="00285CF7">
      <w:pPr>
        <w:rPr>
          <w:rFonts w:ascii="Arial" w:hAnsi="Arial" w:cs="Arial"/>
          <w:sz w:val="24"/>
          <w:szCs w:val="24"/>
        </w:rPr>
      </w:pPr>
      <w:r w:rsidRPr="001D0253">
        <w:rPr>
          <w:rFonts w:ascii="Arial" w:hAnsi="Arial" w:cs="Arial"/>
          <w:sz w:val="24"/>
          <w:szCs w:val="24"/>
        </w:rPr>
        <w:t xml:space="preserve">Armstrong and Taylor (2023, p.593) support this by stating that “critical thinking is the process of analysing and evaluating the quality of ideas, theories, and concepts to establish the degree to which they are valid and supported by evidence, and the extent to which they may be biased. It involves reflection, interpretation of data, drawing warranted conclusions, and recognising </w:t>
      </w:r>
      <w:r w:rsidR="008F7736" w:rsidRPr="001D0253">
        <w:rPr>
          <w:rFonts w:ascii="Arial" w:hAnsi="Arial" w:cs="Arial"/>
          <w:sz w:val="24"/>
          <w:szCs w:val="24"/>
        </w:rPr>
        <w:t>ill-defined</w:t>
      </w:r>
      <w:r w:rsidRPr="001D0253">
        <w:rPr>
          <w:rFonts w:ascii="Arial" w:hAnsi="Arial" w:cs="Arial"/>
          <w:sz w:val="24"/>
          <w:szCs w:val="24"/>
        </w:rPr>
        <w:t xml:space="preserve"> assumptions.”</w:t>
      </w:r>
      <w:r w:rsidR="007628CE" w:rsidRPr="001D0253">
        <w:rPr>
          <w:rFonts w:ascii="Arial" w:hAnsi="Arial" w:cs="Arial"/>
          <w:sz w:val="24"/>
          <w:szCs w:val="24"/>
        </w:rPr>
        <w:t xml:space="preserve">   </w:t>
      </w:r>
      <w:r w:rsidRPr="001D0253">
        <w:rPr>
          <w:rFonts w:ascii="Arial" w:hAnsi="Arial" w:cs="Arial"/>
          <w:sz w:val="24"/>
          <w:szCs w:val="24"/>
        </w:rPr>
        <w:t xml:space="preserve">To support this, key principles apply to both my own and others’ ideas. Clarity ensures that ideas and terminology </w:t>
      </w:r>
      <w:proofErr w:type="gramStart"/>
      <w:r w:rsidRPr="001D0253">
        <w:rPr>
          <w:rFonts w:ascii="Arial" w:hAnsi="Arial" w:cs="Arial"/>
          <w:sz w:val="24"/>
          <w:szCs w:val="24"/>
        </w:rPr>
        <w:t>are clearly defined</w:t>
      </w:r>
      <w:proofErr w:type="gramEnd"/>
      <w:r w:rsidRPr="001D0253">
        <w:rPr>
          <w:rFonts w:ascii="Arial" w:hAnsi="Arial" w:cs="Arial"/>
          <w:sz w:val="24"/>
          <w:szCs w:val="24"/>
        </w:rPr>
        <w:t>, helping avoid misunderstanding and miscommunication. When presenting ideas, I should use precise language and avoid jargon, and when evaluating others’ input, I should seek clarification to ensure mutual understanding.</w:t>
      </w:r>
    </w:p>
    <w:p w14:paraId="1E6AD210" w14:textId="77777777" w:rsidR="00285CF7" w:rsidRPr="001D0253" w:rsidRDefault="00285CF7" w:rsidP="00285CF7">
      <w:pPr>
        <w:rPr>
          <w:rFonts w:ascii="Arial" w:hAnsi="Arial" w:cs="Arial"/>
          <w:sz w:val="24"/>
          <w:szCs w:val="24"/>
        </w:rPr>
      </w:pPr>
      <w:r w:rsidRPr="001D0253">
        <w:rPr>
          <w:rFonts w:ascii="Arial" w:hAnsi="Arial" w:cs="Arial"/>
          <w:sz w:val="24"/>
          <w:szCs w:val="24"/>
        </w:rPr>
        <w:t>Accuracy involves using information that is correct to support decisions. This means reviewing others’ proposals critically to assess whether the evidence is credible and current, and ensuring that my own understanding is based on trustworthy sources rather than anecdotal claims.</w:t>
      </w:r>
    </w:p>
    <w:p w14:paraId="03097919" w14:textId="77777777" w:rsidR="00285CF7" w:rsidRPr="001D0253" w:rsidRDefault="00285CF7" w:rsidP="00285CF7">
      <w:pPr>
        <w:rPr>
          <w:rFonts w:ascii="Arial" w:hAnsi="Arial" w:cs="Arial"/>
          <w:sz w:val="24"/>
          <w:szCs w:val="24"/>
        </w:rPr>
      </w:pPr>
      <w:r w:rsidRPr="001D0253">
        <w:rPr>
          <w:rFonts w:ascii="Arial" w:hAnsi="Arial" w:cs="Arial"/>
          <w:sz w:val="24"/>
          <w:szCs w:val="24"/>
        </w:rPr>
        <w:t xml:space="preserve">Precision and relevance help keep discussions focused on key issues and ensure that arguments and evidence </w:t>
      </w:r>
      <w:proofErr w:type="gramStart"/>
      <w:r w:rsidRPr="001D0253">
        <w:rPr>
          <w:rFonts w:ascii="Arial" w:hAnsi="Arial" w:cs="Arial"/>
          <w:sz w:val="24"/>
          <w:szCs w:val="24"/>
        </w:rPr>
        <w:t>directly relate</w:t>
      </w:r>
      <w:proofErr w:type="gramEnd"/>
      <w:r w:rsidRPr="001D0253">
        <w:rPr>
          <w:rFonts w:ascii="Arial" w:hAnsi="Arial" w:cs="Arial"/>
          <w:sz w:val="24"/>
          <w:szCs w:val="24"/>
        </w:rPr>
        <w:t xml:space="preserve"> to the topic (Cottrell, 2023). When contributing to debate, I should ensure my views </w:t>
      </w:r>
      <w:proofErr w:type="gramStart"/>
      <w:r w:rsidRPr="001D0253">
        <w:rPr>
          <w:rFonts w:ascii="Arial" w:hAnsi="Arial" w:cs="Arial"/>
          <w:sz w:val="24"/>
          <w:szCs w:val="24"/>
        </w:rPr>
        <w:t>are linked</w:t>
      </w:r>
      <w:proofErr w:type="gramEnd"/>
      <w:r w:rsidRPr="001D0253">
        <w:rPr>
          <w:rFonts w:ascii="Arial" w:hAnsi="Arial" w:cs="Arial"/>
          <w:sz w:val="24"/>
          <w:szCs w:val="24"/>
        </w:rPr>
        <w:t xml:space="preserve"> to the issue at hand, and when analysing others’ ideas, I should challenge irrelevant or tangential arguments.</w:t>
      </w:r>
    </w:p>
    <w:p w14:paraId="1D7759EC" w14:textId="05E234B3" w:rsidR="00285CF7" w:rsidRPr="001D0253" w:rsidRDefault="00285CF7" w:rsidP="00285CF7">
      <w:pPr>
        <w:rPr>
          <w:rFonts w:ascii="Arial" w:hAnsi="Arial" w:cs="Arial"/>
          <w:sz w:val="24"/>
          <w:szCs w:val="24"/>
        </w:rPr>
      </w:pPr>
      <w:r w:rsidRPr="001D0253">
        <w:rPr>
          <w:rFonts w:ascii="Arial" w:hAnsi="Arial" w:cs="Arial"/>
          <w:sz w:val="24"/>
          <w:szCs w:val="24"/>
        </w:rPr>
        <w:t xml:space="preserve">To explore complex issues and consider multiple perspectives, depth and breadth </w:t>
      </w:r>
      <w:proofErr w:type="gramStart"/>
      <w:r w:rsidRPr="001D0253">
        <w:rPr>
          <w:rFonts w:ascii="Arial" w:hAnsi="Arial" w:cs="Arial"/>
          <w:sz w:val="24"/>
          <w:szCs w:val="24"/>
        </w:rPr>
        <w:t>are required</w:t>
      </w:r>
      <w:proofErr w:type="gramEnd"/>
      <w:r w:rsidRPr="001D0253">
        <w:rPr>
          <w:rFonts w:ascii="Arial" w:hAnsi="Arial" w:cs="Arial"/>
          <w:sz w:val="24"/>
          <w:szCs w:val="24"/>
        </w:rPr>
        <w:t xml:space="preserve">. This involves examining underlying causes and long-term implications in my own </w:t>
      </w:r>
      <w:r w:rsidR="008F7736" w:rsidRPr="001D0253">
        <w:rPr>
          <w:rFonts w:ascii="Arial" w:hAnsi="Arial" w:cs="Arial"/>
          <w:sz w:val="24"/>
          <w:szCs w:val="24"/>
        </w:rPr>
        <w:t>analysis and</w:t>
      </w:r>
      <w:r w:rsidRPr="001D0253">
        <w:rPr>
          <w:rFonts w:ascii="Arial" w:hAnsi="Arial" w:cs="Arial"/>
          <w:sz w:val="24"/>
          <w:szCs w:val="24"/>
        </w:rPr>
        <w:t xml:space="preserve"> being open to alternative viewpoints and methodologies when engaging with others’ ideas.</w:t>
      </w:r>
    </w:p>
    <w:p w14:paraId="06C1822A" w14:textId="77777777" w:rsidR="00285CF7" w:rsidRPr="001D0253" w:rsidRDefault="00285CF7" w:rsidP="00285CF7">
      <w:pPr>
        <w:rPr>
          <w:rFonts w:ascii="Arial" w:hAnsi="Arial" w:cs="Arial"/>
          <w:sz w:val="24"/>
          <w:szCs w:val="24"/>
        </w:rPr>
      </w:pPr>
      <w:r w:rsidRPr="001D0253">
        <w:rPr>
          <w:rFonts w:ascii="Arial" w:hAnsi="Arial" w:cs="Arial"/>
          <w:sz w:val="24"/>
          <w:szCs w:val="24"/>
        </w:rPr>
        <w:t>Logic ensures ideas are clear and make sense. I should build my argument step-by-step, using facts to back up points and check others’ reasoning to see if their conclusions follow from the evidence or are unsupported.</w:t>
      </w:r>
    </w:p>
    <w:p w14:paraId="48AB3E0E" w14:textId="77777777" w:rsidR="00285CF7" w:rsidRPr="001D0253" w:rsidRDefault="00285CF7" w:rsidP="00285CF7">
      <w:pPr>
        <w:rPr>
          <w:rFonts w:ascii="Arial" w:hAnsi="Arial" w:cs="Arial"/>
          <w:sz w:val="24"/>
          <w:szCs w:val="24"/>
        </w:rPr>
      </w:pPr>
      <w:r w:rsidRPr="001D0253">
        <w:rPr>
          <w:rFonts w:ascii="Arial" w:hAnsi="Arial" w:cs="Arial"/>
          <w:sz w:val="24"/>
          <w:szCs w:val="24"/>
        </w:rPr>
        <w:t>Fairness involves being impartially and recognising both conscious and unconscious bias, in myself and others. I should reflect on how values may influence judgement and focus on the merit of the reasoning rather than the individual.</w:t>
      </w:r>
    </w:p>
    <w:p w14:paraId="6C786CC9" w14:textId="77777777" w:rsidR="00285CF7" w:rsidRPr="001D0253" w:rsidRDefault="00285CF7" w:rsidP="00285CF7">
      <w:pPr>
        <w:rPr>
          <w:rFonts w:ascii="Arial" w:hAnsi="Arial" w:cs="Arial"/>
          <w:sz w:val="24"/>
          <w:szCs w:val="24"/>
        </w:rPr>
      </w:pPr>
      <w:r w:rsidRPr="001D0253">
        <w:rPr>
          <w:rFonts w:ascii="Arial" w:hAnsi="Arial" w:cs="Arial"/>
          <w:sz w:val="24"/>
          <w:szCs w:val="24"/>
        </w:rPr>
        <w:t>Coburn (2019) highlights the importance of recognising common errors in reasoning, such as red herrings, appeals to history and being aware of misinformation and “fake news”, which can distort debate and undermine credibility.</w:t>
      </w:r>
    </w:p>
    <w:p w14:paraId="58C15E98" w14:textId="6EC62165" w:rsidR="00285CF7" w:rsidRPr="001D0253" w:rsidRDefault="00285CF7" w:rsidP="00285CF7">
      <w:pPr>
        <w:rPr>
          <w:rFonts w:ascii="Arial" w:hAnsi="Arial" w:cs="Arial"/>
          <w:b/>
          <w:bCs/>
          <w:sz w:val="24"/>
          <w:szCs w:val="24"/>
          <w:u w:val="single"/>
        </w:rPr>
      </w:pPr>
      <w:r w:rsidRPr="001D0253">
        <w:rPr>
          <w:rFonts w:ascii="Arial" w:hAnsi="Arial" w:cs="Arial"/>
          <w:b/>
          <w:bCs/>
          <w:sz w:val="24"/>
          <w:szCs w:val="24"/>
          <w:u w:val="single"/>
        </w:rPr>
        <w:t>AC 1.4</w:t>
      </w:r>
    </w:p>
    <w:p w14:paraId="7B5D8FED" w14:textId="2B931DDD" w:rsidR="00B61CC5" w:rsidRPr="001D0253" w:rsidRDefault="00B61CC5" w:rsidP="00B61CC5">
      <w:pPr>
        <w:rPr>
          <w:rFonts w:ascii="Arial" w:hAnsi="Arial" w:cs="Arial"/>
          <w:sz w:val="24"/>
          <w:szCs w:val="24"/>
        </w:rPr>
      </w:pPr>
      <w:r w:rsidRPr="001D0253">
        <w:rPr>
          <w:rFonts w:ascii="Arial" w:hAnsi="Arial" w:cs="Arial"/>
          <w:sz w:val="24"/>
          <w:szCs w:val="24"/>
        </w:rPr>
        <w:t>Effective decision-making is a critical skill for people professionals, extending beyond problem</w:t>
      </w:r>
      <w:r w:rsidR="007628CE" w:rsidRPr="001D0253">
        <w:rPr>
          <w:rFonts w:ascii="Arial" w:hAnsi="Arial" w:cs="Arial"/>
          <w:sz w:val="24"/>
          <w:szCs w:val="24"/>
        </w:rPr>
        <w:t xml:space="preserve"> </w:t>
      </w:r>
      <w:r w:rsidRPr="001D0253">
        <w:rPr>
          <w:rFonts w:ascii="Arial" w:hAnsi="Arial" w:cs="Arial"/>
          <w:sz w:val="24"/>
          <w:szCs w:val="24"/>
        </w:rPr>
        <w:t xml:space="preserve">solving to include strategic planning and innovation. Managers must balance analytical thinking with intuition, consult relevant stakeholders, and select the most appropriate approach for each situation. However, cognitive biases such as confirmation bias, tunnel vision, and loss aversion can distort judgement. </w:t>
      </w:r>
      <w:r w:rsidRPr="001D0253">
        <w:rPr>
          <w:rFonts w:ascii="Arial" w:hAnsi="Arial" w:cs="Arial"/>
          <w:sz w:val="24"/>
          <w:szCs w:val="24"/>
        </w:rPr>
        <w:lastRenderedPageBreak/>
        <w:t xml:space="preserve">Recognising these biases and involving others through consultation can significantly improve decision quality. Strong decision-making supports ethical practice, reduces risk, and aligns outcomes with organisational goals, </w:t>
      </w:r>
      <w:proofErr w:type="gramStart"/>
      <w:r w:rsidRPr="001D0253">
        <w:rPr>
          <w:rFonts w:ascii="Arial" w:hAnsi="Arial" w:cs="Arial"/>
          <w:sz w:val="24"/>
          <w:szCs w:val="24"/>
        </w:rPr>
        <w:t>ultimately adding</w:t>
      </w:r>
      <w:proofErr w:type="gramEnd"/>
      <w:r w:rsidRPr="001D0253">
        <w:rPr>
          <w:rFonts w:ascii="Arial" w:hAnsi="Arial" w:cs="Arial"/>
          <w:sz w:val="24"/>
          <w:szCs w:val="24"/>
        </w:rPr>
        <w:t xml:space="preserve"> value to both people and business strategy (Chartered Management Institute, 2015).</w:t>
      </w:r>
    </w:p>
    <w:p w14:paraId="4F677487" w14:textId="77777777" w:rsidR="00B61CC5" w:rsidRPr="001D0253" w:rsidRDefault="00B61CC5" w:rsidP="00B61CC5">
      <w:pPr>
        <w:rPr>
          <w:rFonts w:ascii="Arial" w:hAnsi="Arial" w:cs="Arial"/>
          <w:sz w:val="24"/>
          <w:szCs w:val="24"/>
        </w:rPr>
      </w:pPr>
      <w:r w:rsidRPr="001D0253">
        <w:rPr>
          <w:rFonts w:ascii="Arial" w:hAnsi="Arial" w:cs="Arial"/>
          <w:sz w:val="24"/>
          <w:szCs w:val="24"/>
        </w:rPr>
        <w:t>Armstrong and Taylor (2023, p.588) define decision-making as “essentially about making choices, often in conditions of uncertainty.”</w:t>
      </w:r>
    </w:p>
    <w:p w14:paraId="2470831F" w14:textId="781E50C8" w:rsidR="00B61CC5" w:rsidRPr="001D0253" w:rsidRDefault="00B61CC5" w:rsidP="00B61CC5">
      <w:pPr>
        <w:rPr>
          <w:rFonts w:ascii="Arial" w:hAnsi="Arial" w:cs="Arial"/>
          <w:sz w:val="24"/>
          <w:szCs w:val="24"/>
        </w:rPr>
      </w:pPr>
      <w:r w:rsidRPr="001D0253">
        <w:rPr>
          <w:rFonts w:ascii="Arial" w:hAnsi="Arial" w:cs="Arial"/>
          <w:sz w:val="24"/>
          <w:szCs w:val="24"/>
        </w:rPr>
        <w:t>De Bono’s Six Thinking Hats (2020</w:t>
      </w:r>
      <w:r w:rsidR="008F7736" w:rsidRPr="001D0253">
        <w:rPr>
          <w:rFonts w:ascii="Arial" w:hAnsi="Arial" w:cs="Arial"/>
          <w:sz w:val="24"/>
          <w:szCs w:val="24"/>
        </w:rPr>
        <w:t>) provides</w:t>
      </w:r>
      <w:r w:rsidRPr="001D0253">
        <w:rPr>
          <w:rFonts w:ascii="Arial" w:hAnsi="Arial" w:cs="Arial"/>
          <w:sz w:val="24"/>
          <w:szCs w:val="24"/>
        </w:rPr>
        <w:t xml:space="preserve"> a structured method for exploring decisions from multiple perspectives. Each coloured hat represents a distinct thinking style, encouraging parallel thinking and reducing conflict. According to De Bono (2000, p.16), the hats can </w:t>
      </w:r>
      <w:proofErr w:type="gramStart"/>
      <w:r w:rsidRPr="001D0253">
        <w:rPr>
          <w:rFonts w:ascii="Arial" w:hAnsi="Arial" w:cs="Arial"/>
          <w:sz w:val="24"/>
          <w:szCs w:val="24"/>
        </w:rPr>
        <w:t>be used</w:t>
      </w:r>
      <w:proofErr w:type="gramEnd"/>
      <w:r w:rsidRPr="001D0253">
        <w:rPr>
          <w:rFonts w:ascii="Arial" w:hAnsi="Arial" w:cs="Arial"/>
          <w:sz w:val="24"/>
          <w:szCs w:val="24"/>
        </w:rPr>
        <w:t xml:space="preserve"> individually or in sequence to guide problem-solving. For example, Technivara could apply this model when considering whether to modernise HR through digitalisation. The White Hat focuses on facts and data, such as benchmarking and workforce metrics. The Red Hat allows emotional response, </w:t>
      </w:r>
      <w:proofErr w:type="gramStart"/>
      <w:r w:rsidRPr="001D0253">
        <w:rPr>
          <w:rFonts w:ascii="Arial" w:hAnsi="Arial" w:cs="Arial"/>
          <w:sz w:val="24"/>
          <w:szCs w:val="24"/>
        </w:rPr>
        <w:t>some</w:t>
      </w:r>
      <w:proofErr w:type="gramEnd"/>
      <w:r w:rsidRPr="001D0253">
        <w:rPr>
          <w:rFonts w:ascii="Arial" w:hAnsi="Arial" w:cs="Arial"/>
          <w:sz w:val="24"/>
          <w:szCs w:val="24"/>
        </w:rPr>
        <w:t xml:space="preserve"> staff may feel uneasy about losing personal contact, while others may welcome the convenience of digital systems. The Black Hat highlights risks, including data privacy concerns or the exclusion of less tech abled employees</w:t>
      </w:r>
      <w:r w:rsidR="00272BD2" w:rsidRPr="001D0253">
        <w:rPr>
          <w:rFonts w:ascii="Arial" w:hAnsi="Arial" w:cs="Arial"/>
          <w:sz w:val="24"/>
          <w:szCs w:val="24"/>
        </w:rPr>
        <w:t xml:space="preserve">, </w:t>
      </w:r>
      <w:r w:rsidR="008F7736" w:rsidRPr="001D0253">
        <w:rPr>
          <w:rFonts w:ascii="Arial" w:hAnsi="Arial" w:cs="Arial"/>
          <w:sz w:val="24"/>
          <w:szCs w:val="24"/>
        </w:rPr>
        <w:t>although</w:t>
      </w:r>
      <w:r w:rsidRPr="001D0253">
        <w:rPr>
          <w:rFonts w:ascii="Arial" w:hAnsi="Arial" w:cs="Arial"/>
          <w:sz w:val="24"/>
          <w:szCs w:val="24"/>
        </w:rPr>
        <w:t xml:space="preserve"> often perceived as negative, De Bono argues this hat is essential for critical thinking. The Yellow Hat promotes optimism, such as improved onboarding and reduced paperwork. The Green Hat encourages creative solutions, like piloting the system in one department or adopting a hybrid model. The Blue Hat manages the thinking process, ensuring structure and balanced input. As De Bono (2020, Ch. 43, p.173) notes, “decisions seem to make themselves”—by the Blue Hat stage, the best option is often clear.</w:t>
      </w:r>
    </w:p>
    <w:p w14:paraId="12A68502" w14:textId="5FB817CB" w:rsidR="00F451A4" w:rsidRPr="001D0253" w:rsidRDefault="00B61CC5" w:rsidP="00F451A4">
      <w:pPr>
        <w:rPr>
          <w:rFonts w:ascii="Arial" w:hAnsi="Arial" w:cs="Arial"/>
          <w:sz w:val="24"/>
          <w:szCs w:val="24"/>
        </w:rPr>
      </w:pPr>
      <w:r w:rsidRPr="001D0253">
        <w:rPr>
          <w:rFonts w:ascii="Arial" w:hAnsi="Arial" w:cs="Arial"/>
          <w:sz w:val="24"/>
          <w:szCs w:val="24"/>
        </w:rPr>
        <w:t xml:space="preserve">The Vroom-Yetton Decision Model (1973), expanded </w:t>
      </w:r>
      <w:r w:rsidR="00710A24" w:rsidRPr="001D0253">
        <w:rPr>
          <w:rFonts w:ascii="Arial" w:hAnsi="Arial" w:cs="Arial"/>
          <w:sz w:val="24"/>
          <w:szCs w:val="24"/>
        </w:rPr>
        <w:t>to</w:t>
      </w:r>
      <w:r w:rsidRPr="001D0253">
        <w:rPr>
          <w:rFonts w:ascii="Arial" w:hAnsi="Arial" w:cs="Arial"/>
          <w:sz w:val="24"/>
          <w:szCs w:val="24"/>
        </w:rPr>
        <w:t xml:space="preserve"> Vroom-Yetton-Jago Model (1988), is a prescriptive framework that focuses on how decisions </w:t>
      </w:r>
      <w:proofErr w:type="gramStart"/>
      <w:r w:rsidRPr="001D0253">
        <w:rPr>
          <w:rFonts w:ascii="Arial" w:hAnsi="Arial" w:cs="Arial"/>
          <w:sz w:val="24"/>
          <w:szCs w:val="24"/>
        </w:rPr>
        <w:t>are made</w:t>
      </w:r>
      <w:proofErr w:type="gramEnd"/>
      <w:r w:rsidRPr="001D0253">
        <w:rPr>
          <w:rFonts w:ascii="Arial" w:hAnsi="Arial" w:cs="Arial"/>
          <w:sz w:val="24"/>
          <w:szCs w:val="24"/>
        </w:rPr>
        <w:t xml:space="preserve">, particularly the level of subordinate involvement. It includes diagnostic questions, decision rules, and a range of decision-making styles from autocratic to </w:t>
      </w:r>
      <w:r w:rsidR="008F7736" w:rsidRPr="001D0253">
        <w:rPr>
          <w:rFonts w:ascii="Arial" w:hAnsi="Arial" w:cs="Arial"/>
          <w:sz w:val="24"/>
          <w:szCs w:val="24"/>
        </w:rPr>
        <w:t>group based</w:t>
      </w:r>
      <w:proofErr w:type="gramStart"/>
      <w:r w:rsidRPr="001D0253">
        <w:rPr>
          <w:rFonts w:ascii="Arial" w:hAnsi="Arial" w:cs="Arial"/>
          <w:sz w:val="24"/>
          <w:szCs w:val="24"/>
        </w:rPr>
        <w:t>.</w:t>
      </w:r>
      <w:r w:rsidR="00F451A4" w:rsidRPr="001D0253">
        <w:rPr>
          <w:rFonts w:ascii="Arial" w:hAnsi="Arial" w:cs="Arial"/>
          <w:sz w:val="24"/>
          <w:szCs w:val="24"/>
        </w:rPr>
        <w:t xml:space="preserve">  </w:t>
      </w:r>
      <w:proofErr w:type="gramEnd"/>
      <w:r w:rsidR="00F451A4" w:rsidRPr="001D0253">
        <w:rPr>
          <w:rFonts w:ascii="Arial" w:hAnsi="Arial" w:cs="Arial"/>
          <w:sz w:val="24"/>
          <w:szCs w:val="24"/>
        </w:rPr>
        <w:t xml:space="preserve">The Vroom models </w:t>
      </w:r>
      <w:r w:rsidR="008F7736" w:rsidRPr="001D0253">
        <w:rPr>
          <w:rFonts w:ascii="Arial" w:hAnsi="Arial" w:cs="Arial"/>
          <w:sz w:val="24"/>
          <w:szCs w:val="24"/>
        </w:rPr>
        <w:t>outline</w:t>
      </w:r>
      <w:r w:rsidR="00F451A4" w:rsidRPr="001D0253">
        <w:rPr>
          <w:rFonts w:ascii="Arial" w:hAnsi="Arial" w:cs="Arial"/>
          <w:sz w:val="24"/>
          <w:szCs w:val="24"/>
        </w:rPr>
        <w:t xml:space="preserve"> five styles: A1 and A2 (autocratic), C1 and C2 (consultative), and G2 (collaborative). These range from leader-only decisions to group-based consensus. (Leadership Central)</w:t>
      </w:r>
    </w:p>
    <w:p w14:paraId="563B399D" w14:textId="684DCA05" w:rsidR="004B5B30" w:rsidRPr="001D0253" w:rsidRDefault="00B61CC5" w:rsidP="00B61CC5">
      <w:pPr>
        <w:rPr>
          <w:rFonts w:ascii="Arial" w:hAnsi="Arial" w:cs="Arial"/>
          <w:sz w:val="24"/>
          <w:szCs w:val="24"/>
        </w:rPr>
      </w:pPr>
      <w:r w:rsidRPr="001D0253">
        <w:rPr>
          <w:rFonts w:ascii="Arial" w:hAnsi="Arial" w:cs="Arial"/>
          <w:sz w:val="24"/>
          <w:szCs w:val="24"/>
        </w:rPr>
        <w:t>The model is based on two key principles</w:t>
      </w:r>
      <w:r w:rsidR="00F451A4" w:rsidRPr="001D0253">
        <w:rPr>
          <w:rFonts w:ascii="Arial" w:hAnsi="Arial" w:cs="Arial"/>
          <w:sz w:val="24"/>
          <w:szCs w:val="24"/>
        </w:rPr>
        <w:t xml:space="preserve">, </w:t>
      </w:r>
      <w:r w:rsidRPr="001D0253">
        <w:rPr>
          <w:rFonts w:ascii="Arial" w:hAnsi="Arial" w:cs="Arial"/>
          <w:sz w:val="24"/>
          <w:szCs w:val="24"/>
        </w:rPr>
        <w:t xml:space="preserve">how well the decision meets its objectives, </w:t>
      </w:r>
      <w:r w:rsidR="00F451A4" w:rsidRPr="001D0253">
        <w:rPr>
          <w:rFonts w:ascii="Arial" w:hAnsi="Arial" w:cs="Arial"/>
          <w:sz w:val="24"/>
          <w:szCs w:val="24"/>
        </w:rPr>
        <w:t>and</w:t>
      </w:r>
      <w:r w:rsidRPr="001D0253">
        <w:rPr>
          <w:rFonts w:ascii="Arial" w:hAnsi="Arial" w:cs="Arial"/>
          <w:sz w:val="24"/>
          <w:szCs w:val="24"/>
        </w:rPr>
        <w:t xml:space="preserve"> how well</w:t>
      </w:r>
      <w:r w:rsidR="0014025E" w:rsidRPr="001D0253">
        <w:rPr>
          <w:rFonts w:ascii="Arial" w:hAnsi="Arial" w:cs="Arial"/>
          <w:sz w:val="24"/>
          <w:szCs w:val="24"/>
        </w:rPr>
        <w:t xml:space="preserve"> the decision</w:t>
      </w:r>
      <w:r w:rsidRPr="001D0253">
        <w:rPr>
          <w:rFonts w:ascii="Arial" w:hAnsi="Arial" w:cs="Arial"/>
          <w:sz w:val="24"/>
          <w:szCs w:val="24"/>
        </w:rPr>
        <w:t xml:space="preserve"> it </w:t>
      </w:r>
      <w:proofErr w:type="gramStart"/>
      <w:r w:rsidRPr="001D0253">
        <w:rPr>
          <w:rFonts w:ascii="Arial" w:hAnsi="Arial" w:cs="Arial"/>
          <w:sz w:val="24"/>
          <w:szCs w:val="24"/>
        </w:rPr>
        <w:t>is received</w:t>
      </w:r>
      <w:proofErr w:type="gramEnd"/>
      <w:r w:rsidRPr="001D0253">
        <w:rPr>
          <w:rFonts w:ascii="Arial" w:hAnsi="Arial" w:cs="Arial"/>
          <w:sz w:val="24"/>
          <w:szCs w:val="24"/>
        </w:rPr>
        <w:t xml:space="preserve"> by those who must implement it. Vroom (</w:t>
      </w:r>
      <w:proofErr w:type="gramStart"/>
      <w:r w:rsidRPr="001D0253">
        <w:rPr>
          <w:rFonts w:ascii="Arial" w:hAnsi="Arial" w:cs="Arial"/>
          <w:sz w:val="24"/>
          <w:szCs w:val="24"/>
        </w:rPr>
        <w:t>2000</w:t>
      </w:r>
      <w:proofErr w:type="gramEnd"/>
      <w:r w:rsidRPr="001D0253">
        <w:rPr>
          <w:rFonts w:ascii="Arial" w:hAnsi="Arial" w:cs="Arial"/>
          <w:sz w:val="24"/>
          <w:szCs w:val="24"/>
        </w:rPr>
        <w:t xml:space="preserve">) found that leaders adapt their style depending on the situation. A decision tree with seven diagnostic questions </w:t>
      </w:r>
      <w:r w:rsidR="004B7236" w:rsidRPr="001D0253">
        <w:rPr>
          <w:rFonts w:ascii="Arial" w:hAnsi="Arial" w:cs="Arial"/>
          <w:sz w:val="24"/>
          <w:szCs w:val="24"/>
        </w:rPr>
        <w:t>can</w:t>
      </w:r>
      <w:r w:rsidRPr="001D0253">
        <w:rPr>
          <w:rFonts w:ascii="Arial" w:hAnsi="Arial" w:cs="Arial"/>
          <w:sz w:val="24"/>
          <w:szCs w:val="24"/>
        </w:rPr>
        <w:t xml:space="preserve"> determine the appropriate level of team involvement. (Buchanan, 2023) </w:t>
      </w:r>
    </w:p>
    <w:p w14:paraId="1BA9FEF1" w14:textId="15789A7C" w:rsidR="00B61CC5" w:rsidRPr="001D0253" w:rsidRDefault="00B61CC5" w:rsidP="00B61CC5">
      <w:pPr>
        <w:rPr>
          <w:rFonts w:ascii="Arial" w:hAnsi="Arial" w:cs="Arial"/>
          <w:sz w:val="24"/>
          <w:szCs w:val="24"/>
        </w:rPr>
      </w:pPr>
      <w:r w:rsidRPr="001D0253">
        <w:rPr>
          <w:rFonts w:ascii="Arial" w:hAnsi="Arial" w:cs="Arial"/>
          <w:sz w:val="24"/>
          <w:szCs w:val="24"/>
        </w:rPr>
        <w:t>In practical application, such as Technivara’s decision to implement a new digital IT system, the Vroom-Yetton model helps determine whether leadership should decide independently or involve the team.</w:t>
      </w:r>
      <w:r w:rsidR="006D2E06" w:rsidRPr="001D0253">
        <w:rPr>
          <w:rFonts w:ascii="Arial" w:hAnsi="Arial" w:cs="Arial"/>
          <w:sz w:val="24"/>
          <w:szCs w:val="24"/>
        </w:rPr>
        <w:t xml:space="preserve"> </w:t>
      </w:r>
      <w:r w:rsidR="00D069B5" w:rsidRPr="001D0253">
        <w:rPr>
          <w:rFonts w:ascii="Arial" w:hAnsi="Arial" w:cs="Arial"/>
          <w:sz w:val="24"/>
          <w:szCs w:val="24"/>
        </w:rPr>
        <w:t xml:space="preserve">For urgent </w:t>
      </w:r>
      <w:r w:rsidR="00684A71" w:rsidRPr="001D0253">
        <w:rPr>
          <w:rFonts w:ascii="Arial" w:hAnsi="Arial" w:cs="Arial"/>
          <w:sz w:val="24"/>
          <w:szCs w:val="24"/>
        </w:rPr>
        <w:t xml:space="preserve">IT upgrades an autocratic style may ensure speed </w:t>
      </w:r>
      <w:r w:rsidR="008F7D19" w:rsidRPr="001D0253">
        <w:rPr>
          <w:rFonts w:ascii="Arial" w:hAnsi="Arial" w:cs="Arial"/>
          <w:sz w:val="24"/>
          <w:szCs w:val="24"/>
        </w:rPr>
        <w:t xml:space="preserve">and accuracy, </w:t>
      </w:r>
      <w:r w:rsidR="00684A71" w:rsidRPr="001D0253">
        <w:rPr>
          <w:rFonts w:ascii="Arial" w:hAnsi="Arial" w:cs="Arial"/>
          <w:sz w:val="24"/>
          <w:szCs w:val="24"/>
        </w:rPr>
        <w:t xml:space="preserve">but in contrast group decision making suits areas like </w:t>
      </w:r>
      <w:r w:rsidR="00AD30E8" w:rsidRPr="001D0253">
        <w:rPr>
          <w:rFonts w:ascii="Arial" w:hAnsi="Arial" w:cs="Arial"/>
          <w:sz w:val="24"/>
          <w:szCs w:val="24"/>
        </w:rPr>
        <w:t xml:space="preserve">digital training </w:t>
      </w:r>
      <w:r w:rsidR="007628CE" w:rsidRPr="001D0253">
        <w:rPr>
          <w:rFonts w:ascii="Arial" w:hAnsi="Arial" w:cs="Arial"/>
          <w:sz w:val="24"/>
          <w:szCs w:val="24"/>
        </w:rPr>
        <w:t xml:space="preserve">planning </w:t>
      </w:r>
      <w:r w:rsidRPr="001D0253">
        <w:rPr>
          <w:rFonts w:ascii="Arial" w:hAnsi="Arial" w:cs="Arial"/>
          <w:sz w:val="24"/>
          <w:szCs w:val="24"/>
        </w:rPr>
        <w:t>ensur</w:t>
      </w:r>
      <w:r w:rsidR="007A7E3C" w:rsidRPr="001D0253">
        <w:rPr>
          <w:rFonts w:ascii="Arial" w:hAnsi="Arial" w:cs="Arial"/>
          <w:sz w:val="24"/>
          <w:szCs w:val="24"/>
        </w:rPr>
        <w:t>ing a</w:t>
      </w:r>
      <w:r w:rsidRPr="001D0253">
        <w:rPr>
          <w:rFonts w:ascii="Arial" w:hAnsi="Arial" w:cs="Arial"/>
          <w:sz w:val="24"/>
          <w:szCs w:val="24"/>
        </w:rPr>
        <w:t xml:space="preserve"> balance between efficiency and employee engagement</w:t>
      </w:r>
      <w:r w:rsidR="00866D92" w:rsidRPr="001D0253">
        <w:rPr>
          <w:rFonts w:ascii="Arial" w:hAnsi="Arial" w:cs="Arial"/>
          <w:sz w:val="24"/>
          <w:szCs w:val="24"/>
        </w:rPr>
        <w:t xml:space="preserve"> that </w:t>
      </w:r>
      <w:r w:rsidR="00AD30E8" w:rsidRPr="001D0253">
        <w:rPr>
          <w:rFonts w:ascii="Arial" w:hAnsi="Arial" w:cs="Arial"/>
          <w:sz w:val="24"/>
          <w:szCs w:val="24"/>
        </w:rPr>
        <w:t xml:space="preserve">builds trust, </w:t>
      </w:r>
      <w:r w:rsidR="007A7E3C" w:rsidRPr="001D0253">
        <w:rPr>
          <w:rFonts w:ascii="Arial" w:hAnsi="Arial" w:cs="Arial"/>
          <w:sz w:val="24"/>
          <w:szCs w:val="24"/>
        </w:rPr>
        <w:t>supports</w:t>
      </w:r>
      <w:r w:rsidR="00EB171E" w:rsidRPr="001D0253">
        <w:rPr>
          <w:rFonts w:ascii="Arial" w:hAnsi="Arial" w:cs="Arial"/>
          <w:sz w:val="24"/>
          <w:szCs w:val="24"/>
        </w:rPr>
        <w:t xml:space="preserve"> successful </w:t>
      </w:r>
      <w:r w:rsidR="007A7E3C" w:rsidRPr="001D0253">
        <w:rPr>
          <w:rFonts w:ascii="Arial" w:hAnsi="Arial" w:cs="Arial"/>
          <w:sz w:val="24"/>
          <w:szCs w:val="24"/>
        </w:rPr>
        <w:t>change</w:t>
      </w:r>
      <w:r w:rsidR="00EB171E" w:rsidRPr="001D0253">
        <w:rPr>
          <w:rFonts w:ascii="Arial" w:hAnsi="Arial" w:cs="Arial"/>
          <w:sz w:val="24"/>
          <w:szCs w:val="24"/>
        </w:rPr>
        <w:t xml:space="preserve"> adoption</w:t>
      </w:r>
      <w:r w:rsidR="007A7E3C" w:rsidRPr="001D0253">
        <w:rPr>
          <w:rFonts w:ascii="Arial" w:hAnsi="Arial" w:cs="Arial"/>
          <w:sz w:val="24"/>
          <w:szCs w:val="24"/>
        </w:rPr>
        <w:t xml:space="preserve">, </w:t>
      </w:r>
      <w:r w:rsidRPr="001D0253">
        <w:rPr>
          <w:rFonts w:ascii="Arial" w:hAnsi="Arial" w:cs="Arial"/>
          <w:sz w:val="24"/>
          <w:szCs w:val="24"/>
        </w:rPr>
        <w:t>leading to more effective and accepted outcomes.</w:t>
      </w:r>
    </w:p>
    <w:p w14:paraId="4D8BB254" w14:textId="77777777" w:rsidR="002D1E18" w:rsidRPr="001D0253" w:rsidRDefault="00285CF7" w:rsidP="004A0A1F">
      <w:pPr>
        <w:rPr>
          <w:rFonts w:ascii="Arial" w:hAnsi="Arial" w:cs="Arial"/>
          <w:b/>
          <w:bCs/>
          <w:sz w:val="24"/>
          <w:szCs w:val="24"/>
          <w:u w:val="single"/>
        </w:rPr>
      </w:pPr>
      <w:r w:rsidRPr="001D0253">
        <w:rPr>
          <w:rFonts w:ascii="Arial" w:hAnsi="Arial" w:cs="Arial"/>
          <w:b/>
          <w:bCs/>
          <w:sz w:val="24"/>
          <w:szCs w:val="24"/>
          <w:u w:val="single"/>
        </w:rPr>
        <w:t>AC 1.5</w:t>
      </w:r>
      <w:r w:rsidR="002D1E18" w:rsidRPr="001D0253">
        <w:rPr>
          <w:rFonts w:ascii="Arial" w:hAnsi="Arial" w:cs="Arial"/>
          <w:b/>
          <w:bCs/>
          <w:sz w:val="24"/>
          <w:szCs w:val="24"/>
          <w:u w:val="single"/>
        </w:rPr>
        <w:t xml:space="preserve"> </w:t>
      </w:r>
    </w:p>
    <w:p w14:paraId="55586EB5" w14:textId="081CA251" w:rsidR="004A0A1F" w:rsidRPr="001D0253" w:rsidRDefault="004A0A1F" w:rsidP="004A0A1F">
      <w:pPr>
        <w:rPr>
          <w:rFonts w:ascii="Arial" w:hAnsi="Arial" w:cs="Arial"/>
          <w:sz w:val="24"/>
          <w:szCs w:val="24"/>
        </w:rPr>
      </w:pPr>
      <w:r w:rsidRPr="001D0253">
        <w:rPr>
          <w:rFonts w:ascii="Arial" w:hAnsi="Arial" w:cs="Arial"/>
          <w:sz w:val="24"/>
          <w:szCs w:val="24"/>
        </w:rPr>
        <w:lastRenderedPageBreak/>
        <w:t xml:space="preserve">Buchanan and Huczynski (2020, p.96) define ethics as “the code of moral principles, values and rules that govern our decisions and actions with respect to what is right and wrong, good and bad.” In HR, ethics shape professional </w:t>
      </w:r>
      <w:proofErr w:type="gramStart"/>
      <w:r w:rsidRPr="001D0253">
        <w:rPr>
          <w:rFonts w:ascii="Arial" w:hAnsi="Arial" w:cs="Arial"/>
          <w:sz w:val="24"/>
          <w:szCs w:val="24"/>
        </w:rPr>
        <w:t>conduct</w:t>
      </w:r>
      <w:proofErr w:type="gramEnd"/>
      <w:r w:rsidRPr="001D0253">
        <w:rPr>
          <w:rFonts w:ascii="Arial" w:hAnsi="Arial" w:cs="Arial"/>
          <w:sz w:val="24"/>
          <w:szCs w:val="24"/>
        </w:rPr>
        <w:t xml:space="preserve"> and guide decision-making. According to CIPD (2024), understanding ethical perspectives helps embed core principles into everyday practice, fostering a culture of trust and openness, especially when advising senior leaders. Ethical practice is a core behaviour in the CIPD Profession Map</w:t>
      </w:r>
      <w:r w:rsidR="00611634" w:rsidRPr="001D0253">
        <w:rPr>
          <w:rFonts w:ascii="Arial" w:hAnsi="Arial" w:cs="Arial"/>
          <w:sz w:val="24"/>
          <w:szCs w:val="24"/>
        </w:rPr>
        <w:t xml:space="preserve"> (CIPD, 2025)</w:t>
      </w:r>
      <w:r w:rsidRPr="001D0253">
        <w:rPr>
          <w:rFonts w:ascii="Arial" w:hAnsi="Arial" w:cs="Arial"/>
          <w:sz w:val="24"/>
          <w:szCs w:val="24"/>
        </w:rPr>
        <w:t>, and their research (CIPD, 2015) introduces eight ethical lenses: Fairness, Merit, Markets, Democracy, Well-being, Character, Rights and Duties, and the Handling Down, These offer broader ways of evaluating decisions beyond simple right or wrong judgments.</w:t>
      </w:r>
    </w:p>
    <w:p w14:paraId="738483C1" w14:textId="4493E5A1" w:rsidR="004A0A1F" w:rsidRPr="001D0253" w:rsidRDefault="004A0A1F" w:rsidP="004A0A1F">
      <w:pPr>
        <w:rPr>
          <w:rFonts w:ascii="Arial" w:hAnsi="Arial" w:cs="Arial"/>
          <w:sz w:val="24"/>
          <w:szCs w:val="24"/>
        </w:rPr>
      </w:pPr>
      <w:r w:rsidRPr="001D0253">
        <w:rPr>
          <w:rFonts w:ascii="Arial" w:hAnsi="Arial" w:cs="Arial"/>
          <w:sz w:val="24"/>
          <w:szCs w:val="24"/>
        </w:rPr>
        <w:t xml:space="preserve">Waite et al. (2021, p.70) explain two contrasting ethical theories. Kant’s Deontological theory focuses on doing the right thing based on justice, fairness, and equality, assuming there are fundamental moral duties. It emphasises acting with integrity, regardless of outcomes, and </w:t>
      </w:r>
      <w:proofErr w:type="gramStart"/>
      <w:r w:rsidRPr="001D0253">
        <w:rPr>
          <w:rFonts w:ascii="Arial" w:hAnsi="Arial" w:cs="Arial"/>
          <w:sz w:val="24"/>
          <w:szCs w:val="24"/>
        </w:rPr>
        <w:t>is often linked</w:t>
      </w:r>
      <w:proofErr w:type="gramEnd"/>
      <w:r w:rsidRPr="001D0253">
        <w:rPr>
          <w:rFonts w:ascii="Arial" w:hAnsi="Arial" w:cs="Arial"/>
          <w:sz w:val="24"/>
          <w:szCs w:val="24"/>
        </w:rPr>
        <w:t xml:space="preserve"> to spiritual values and a duty of care. In contrast, Utilitarianism aims for the greatest good for the greatest number, judging actions by the happiness or benefit they produce.</w:t>
      </w:r>
    </w:p>
    <w:p w14:paraId="73DED19F" w14:textId="53E83C76" w:rsidR="004A0A1F" w:rsidRPr="001D0253" w:rsidRDefault="004A0A1F" w:rsidP="004A0A1F">
      <w:pPr>
        <w:rPr>
          <w:rFonts w:ascii="Arial" w:hAnsi="Arial" w:cs="Arial"/>
          <w:sz w:val="24"/>
          <w:szCs w:val="24"/>
        </w:rPr>
      </w:pPr>
      <w:r w:rsidRPr="001D0253">
        <w:rPr>
          <w:rFonts w:ascii="Arial" w:hAnsi="Arial" w:cs="Arial"/>
          <w:sz w:val="24"/>
          <w:szCs w:val="24"/>
        </w:rPr>
        <w:t>For Technivara, deontological ethics would guide HR to manage recruitment and employee relations with fairness, transparency, and compliance with employment law (CIPD, 2022</w:t>
      </w:r>
      <w:r w:rsidR="001E328C" w:rsidRPr="001D0253">
        <w:rPr>
          <w:rFonts w:ascii="Arial" w:hAnsi="Arial" w:cs="Arial"/>
          <w:sz w:val="24"/>
          <w:szCs w:val="24"/>
        </w:rPr>
        <w:t>a</w:t>
      </w:r>
      <w:r w:rsidRPr="001D0253">
        <w:rPr>
          <w:rFonts w:ascii="Arial" w:hAnsi="Arial" w:cs="Arial"/>
          <w:sz w:val="24"/>
          <w:szCs w:val="24"/>
        </w:rPr>
        <w:t xml:space="preserve">). Rapid hiring may </w:t>
      </w:r>
      <w:proofErr w:type="gramStart"/>
      <w:r w:rsidRPr="001D0253">
        <w:rPr>
          <w:rFonts w:ascii="Arial" w:hAnsi="Arial" w:cs="Arial"/>
          <w:sz w:val="24"/>
          <w:szCs w:val="24"/>
        </w:rPr>
        <w:t>be needed</w:t>
      </w:r>
      <w:proofErr w:type="gramEnd"/>
      <w:r w:rsidRPr="001D0253">
        <w:rPr>
          <w:rFonts w:ascii="Arial" w:hAnsi="Arial" w:cs="Arial"/>
          <w:sz w:val="24"/>
          <w:szCs w:val="24"/>
        </w:rPr>
        <w:t xml:space="preserve"> to support expansion, but HR would be ethically bound to follow fair selection processes and avoid discrimination (Taylor &amp; Woodhams, 2021). During restructuring, deontological reasoning would require the organisation to honour contracts and employee rights, rather than prioritising efficiency. However, this principled approach may limit </w:t>
      </w:r>
      <w:r w:rsidR="008F7736" w:rsidRPr="001D0253">
        <w:rPr>
          <w:rFonts w:ascii="Arial" w:hAnsi="Arial" w:cs="Arial"/>
          <w:sz w:val="24"/>
          <w:szCs w:val="24"/>
        </w:rPr>
        <w:t>Technivara ability</w:t>
      </w:r>
      <w:r w:rsidRPr="001D0253">
        <w:rPr>
          <w:rFonts w:ascii="Arial" w:hAnsi="Arial" w:cs="Arial"/>
          <w:sz w:val="24"/>
          <w:szCs w:val="24"/>
        </w:rPr>
        <w:t xml:space="preserve"> to respond quickly to market pressures. Viewed through the Fairness and Justice Lens, deontology ensures decisions </w:t>
      </w:r>
      <w:proofErr w:type="gramStart"/>
      <w:r w:rsidRPr="001D0253">
        <w:rPr>
          <w:rFonts w:ascii="Arial" w:hAnsi="Arial" w:cs="Arial"/>
          <w:sz w:val="24"/>
          <w:szCs w:val="24"/>
        </w:rPr>
        <w:t>are made</w:t>
      </w:r>
      <w:proofErr w:type="gramEnd"/>
      <w:r w:rsidRPr="001D0253">
        <w:rPr>
          <w:rFonts w:ascii="Arial" w:hAnsi="Arial" w:cs="Arial"/>
          <w:sz w:val="24"/>
          <w:szCs w:val="24"/>
        </w:rPr>
        <w:t xml:space="preserve"> with integrity and respect for legal standards (CIPD, 2015).</w:t>
      </w:r>
    </w:p>
    <w:p w14:paraId="54AB5D83" w14:textId="029BD9DB" w:rsidR="004A0A1F" w:rsidRPr="001D0253" w:rsidRDefault="004A0A1F" w:rsidP="004A0A1F">
      <w:pPr>
        <w:rPr>
          <w:rFonts w:ascii="Arial" w:hAnsi="Arial" w:cs="Arial"/>
          <w:sz w:val="24"/>
          <w:szCs w:val="24"/>
        </w:rPr>
      </w:pPr>
      <w:r w:rsidRPr="001D0253">
        <w:rPr>
          <w:rFonts w:ascii="Arial" w:hAnsi="Arial" w:cs="Arial"/>
          <w:sz w:val="24"/>
          <w:szCs w:val="24"/>
        </w:rPr>
        <w:t>Utilitarianism, a teleological framework (Taylor &amp; Woodhams, 2021), could support Tec</w:t>
      </w:r>
      <w:r w:rsidR="00825459" w:rsidRPr="001D0253">
        <w:rPr>
          <w:rFonts w:ascii="Arial" w:hAnsi="Arial" w:cs="Arial"/>
          <w:sz w:val="24"/>
          <w:szCs w:val="24"/>
        </w:rPr>
        <w:t>hnivara</w:t>
      </w:r>
      <w:r w:rsidRPr="001D0253">
        <w:rPr>
          <w:rFonts w:ascii="Arial" w:hAnsi="Arial" w:cs="Arial"/>
          <w:sz w:val="24"/>
          <w:szCs w:val="24"/>
        </w:rPr>
        <w:t xml:space="preserve"> shift from paper-based HR systems to digital processes. While this may disrupt staff who are less digitally confident, it could lead to long term benefits such as improved efficiency, reduced costs, and better data tracking. AI and automation may reduce </w:t>
      </w:r>
      <w:proofErr w:type="gramStart"/>
      <w:r w:rsidRPr="001D0253">
        <w:rPr>
          <w:rFonts w:ascii="Arial" w:hAnsi="Arial" w:cs="Arial"/>
          <w:sz w:val="24"/>
          <w:szCs w:val="24"/>
        </w:rPr>
        <w:t>some</w:t>
      </w:r>
      <w:proofErr w:type="gramEnd"/>
      <w:r w:rsidRPr="001D0253">
        <w:rPr>
          <w:rFonts w:ascii="Arial" w:hAnsi="Arial" w:cs="Arial"/>
          <w:sz w:val="24"/>
          <w:szCs w:val="24"/>
        </w:rPr>
        <w:t xml:space="preserve"> roles but also create opportunities for new skills and future growth (CIPD</w:t>
      </w:r>
      <w:r w:rsidR="00541434" w:rsidRPr="001D0253">
        <w:rPr>
          <w:rFonts w:ascii="Arial" w:hAnsi="Arial" w:cs="Arial"/>
          <w:sz w:val="24"/>
          <w:szCs w:val="24"/>
        </w:rPr>
        <w:t>, 2022</w:t>
      </w:r>
      <w:r w:rsidR="001E328C" w:rsidRPr="001D0253">
        <w:rPr>
          <w:rFonts w:ascii="Arial" w:hAnsi="Arial" w:cs="Arial"/>
          <w:sz w:val="24"/>
          <w:szCs w:val="24"/>
        </w:rPr>
        <w:t>b</w:t>
      </w:r>
      <w:r w:rsidR="00D5036E" w:rsidRPr="001D0253">
        <w:rPr>
          <w:rFonts w:ascii="Arial" w:hAnsi="Arial" w:cs="Arial"/>
          <w:sz w:val="24"/>
          <w:szCs w:val="24"/>
        </w:rPr>
        <w:t xml:space="preserve">) </w:t>
      </w:r>
      <w:r w:rsidRPr="001D0253">
        <w:rPr>
          <w:rFonts w:ascii="Arial" w:hAnsi="Arial" w:cs="Arial"/>
          <w:sz w:val="24"/>
          <w:szCs w:val="24"/>
        </w:rPr>
        <w:t xml:space="preserve">However, this approach may overlook the negative impact on smaller groups if their needs </w:t>
      </w:r>
      <w:proofErr w:type="gramStart"/>
      <w:r w:rsidRPr="001D0253">
        <w:rPr>
          <w:rFonts w:ascii="Arial" w:hAnsi="Arial" w:cs="Arial"/>
          <w:sz w:val="24"/>
          <w:szCs w:val="24"/>
        </w:rPr>
        <w:t>don’t</w:t>
      </w:r>
      <w:proofErr w:type="gramEnd"/>
      <w:r w:rsidRPr="001D0253">
        <w:rPr>
          <w:rFonts w:ascii="Arial" w:hAnsi="Arial" w:cs="Arial"/>
          <w:sz w:val="24"/>
          <w:szCs w:val="24"/>
        </w:rPr>
        <w:t xml:space="preserve"> affect the majority outcome, potentially violating individual rights (Buchanan, 2023). This can </w:t>
      </w:r>
      <w:proofErr w:type="gramStart"/>
      <w:r w:rsidRPr="001D0253">
        <w:rPr>
          <w:rFonts w:ascii="Arial" w:hAnsi="Arial" w:cs="Arial"/>
          <w:sz w:val="24"/>
          <w:szCs w:val="24"/>
        </w:rPr>
        <w:t>be explored</w:t>
      </w:r>
      <w:proofErr w:type="gramEnd"/>
      <w:r w:rsidRPr="001D0253">
        <w:rPr>
          <w:rFonts w:ascii="Arial" w:hAnsi="Arial" w:cs="Arial"/>
          <w:sz w:val="24"/>
          <w:szCs w:val="24"/>
        </w:rPr>
        <w:t xml:space="preserve"> through the Well-being Lens, which considers employee experience and inclusion, and the Markets Lens, which supports decisions that improve value, performance, and long-term sustainability.</w:t>
      </w:r>
    </w:p>
    <w:p w14:paraId="2C82FD8D" w14:textId="09CF2A6A" w:rsidR="004A0A1F" w:rsidRPr="001D0253" w:rsidRDefault="004A0A1F" w:rsidP="004A0A1F">
      <w:pPr>
        <w:rPr>
          <w:rFonts w:ascii="Arial" w:hAnsi="Arial" w:cs="Arial"/>
          <w:sz w:val="24"/>
          <w:szCs w:val="24"/>
        </w:rPr>
      </w:pPr>
      <w:r w:rsidRPr="001D0253">
        <w:rPr>
          <w:rFonts w:ascii="Arial" w:hAnsi="Arial" w:cs="Arial"/>
          <w:sz w:val="24"/>
          <w:szCs w:val="24"/>
        </w:rPr>
        <w:t xml:space="preserve">Deontology would help Technivara maintain </w:t>
      </w:r>
      <w:proofErr w:type="gramStart"/>
      <w:r w:rsidRPr="001D0253">
        <w:rPr>
          <w:rFonts w:ascii="Arial" w:hAnsi="Arial" w:cs="Arial"/>
          <w:sz w:val="24"/>
          <w:szCs w:val="24"/>
        </w:rPr>
        <w:t>fairness and rights</w:t>
      </w:r>
      <w:proofErr w:type="gramEnd"/>
      <w:r w:rsidRPr="001D0253">
        <w:rPr>
          <w:rFonts w:ascii="Arial" w:hAnsi="Arial" w:cs="Arial"/>
          <w:sz w:val="24"/>
          <w:szCs w:val="24"/>
        </w:rPr>
        <w:t xml:space="preserve"> and utilitarianism focuses on choices that benefit the organisation. </w:t>
      </w:r>
      <w:r w:rsidR="008F7736" w:rsidRPr="001D0253">
        <w:rPr>
          <w:rFonts w:ascii="Arial" w:hAnsi="Arial" w:cs="Arial"/>
          <w:sz w:val="24"/>
          <w:szCs w:val="24"/>
        </w:rPr>
        <w:t>Therefore,</w:t>
      </w:r>
      <w:r w:rsidRPr="001D0253">
        <w:rPr>
          <w:rFonts w:ascii="Arial" w:hAnsi="Arial" w:cs="Arial"/>
          <w:sz w:val="24"/>
          <w:szCs w:val="24"/>
        </w:rPr>
        <w:t xml:space="preserve"> although contrasting, could </w:t>
      </w:r>
      <w:proofErr w:type="gramStart"/>
      <w:r w:rsidRPr="001D0253">
        <w:rPr>
          <w:rFonts w:ascii="Arial" w:hAnsi="Arial" w:cs="Arial"/>
          <w:sz w:val="24"/>
          <w:szCs w:val="24"/>
        </w:rPr>
        <w:t>be used</w:t>
      </w:r>
      <w:proofErr w:type="gramEnd"/>
      <w:r w:rsidRPr="001D0253">
        <w:rPr>
          <w:rFonts w:ascii="Arial" w:hAnsi="Arial" w:cs="Arial"/>
          <w:sz w:val="24"/>
          <w:szCs w:val="24"/>
        </w:rPr>
        <w:t xml:space="preserve"> together to provide a balanced approach to ethical </w:t>
      </w:r>
      <w:r w:rsidR="00792E6E" w:rsidRPr="001D0253">
        <w:rPr>
          <w:rFonts w:ascii="Arial" w:hAnsi="Arial" w:cs="Arial"/>
          <w:sz w:val="24"/>
          <w:szCs w:val="24"/>
        </w:rPr>
        <w:t>decision-making</w:t>
      </w:r>
      <w:r w:rsidRPr="001D0253">
        <w:rPr>
          <w:rFonts w:ascii="Arial" w:hAnsi="Arial" w:cs="Arial"/>
          <w:sz w:val="24"/>
          <w:szCs w:val="24"/>
        </w:rPr>
        <w:t xml:space="preserve"> during time of modernisation and expansion.</w:t>
      </w:r>
    </w:p>
    <w:p w14:paraId="79A0E7F8" w14:textId="77777777" w:rsidR="000A4846" w:rsidRPr="001D0253" w:rsidRDefault="00285CF7" w:rsidP="00B56152">
      <w:pPr>
        <w:rPr>
          <w:rFonts w:ascii="Arial" w:hAnsi="Arial" w:cs="Arial"/>
          <w:sz w:val="24"/>
          <w:szCs w:val="24"/>
        </w:rPr>
      </w:pPr>
      <w:r w:rsidRPr="001D0253">
        <w:rPr>
          <w:rFonts w:ascii="Arial" w:hAnsi="Arial" w:cs="Arial"/>
          <w:b/>
          <w:bCs/>
          <w:sz w:val="24"/>
          <w:szCs w:val="24"/>
          <w:u w:val="single"/>
        </w:rPr>
        <w:t>AC</w:t>
      </w:r>
      <w:r w:rsidR="00B56152" w:rsidRPr="001D0253">
        <w:rPr>
          <w:rFonts w:ascii="Arial" w:hAnsi="Arial" w:cs="Arial"/>
          <w:b/>
          <w:bCs/>
          <w:sz w:val="24"/>
          <w:szCs w:val="24"/>
          <w:u w:val="single"/>
        </w:rPr>
        <w:t xml:space="preserve"> 3.1  </w:t>
      </w:r>
      <w:r w:rsidRPr="001D0253">
        <w:rPr>
          <w:rFonts w:ascii="Arial" w:hAnsi="Arial" w:cs="Arial"/>
          <w:sz w:val="24"/>
          <w:szCs w:val="24"/>
        </w:rPr>
        <w:t xml:space="preserve"> </w:t>
      </w:r>
    </w:p>
    <w:p w14:paraId="42CC10D7" w14:textId="2CE42129" w:rsidR="00B56152" w:rsidRPr="001D0253" w:rsidRDefault="00B56152" w:rsidP="00B56152">
      <w:pPr>
        <w:rPr>
          <w:rFonts w:ascii="Arial" w:hAnsi="Arial" w:cs="Arial"/>
          <w:sz w:val="24"/>
          <w:szCs w:val="24"/>
        </w:rPr>
      </w:pPr>
      <w:r w:rsidRPr="001D0253">
        <w:rPr>
          <w:rFonts w:ascii="Arial" w:hAnsi="Arial" w:cs="Arial"/>
          <w:sz w:val="24"/>
          <w:szCs w:val="24"/>
        </w:rPr>
        <w:t xml:space="preserve">(Waite et al., p. 52) identifies the balance sheet (BS) as a key financial tool, offering a snapshot of a company’s financial position, detailing assets, liabilities, and equity </w:t>
      </w:r>
      <w:r w:rsidRPr="001D0253">
        <w:rPr>
          <w:rFonts w:ascii="Arial" w:hAnsi="Arial" w:cs="Arial"/>
          <w:sz w:val="24"/>
          <w:szCs w:val="24"/>
        </w:rPr>
        <w:lastRenderedPageBreak/>
        <w:t>at a specific point in time, which must balance</w:t>
      </w:r>
      <w:proofErr w:type="gramStart"/>
      <w:r w:rsidRPr="001D0253">
        <w:rPr>
          <w:rFonts w:ascii="Arial" w:hAnsi="Arial" w:cs="Arial"/>
          <w:sz w:val="24"/>
          <w:szCs w:val="24"/>
        </w:rPr>
        <w:t>.</w:t>
      </w:r>
      <w:r w:rsidR="007D5DD3" w:rsidRPr="001D0253">
        <w:rPr>
          <w:rFonts w:ascii="Arial" w:hAnsi="Arial" w:cs="Arial"/>
          <w:sz w:val="24"/>
          <w:szCs w:val="24"/>
        </w:rPr>
        <w:t xml:space="preserve"> </w:t>
      </w:r>
      <w:r w:rsidR="00150B7D" w:rsidRPr="001D0253">
        <w:rPr>
          <w:rFonts w:ascii="Arial" w:hAnsi="Arial" w:cs="Arial"/>
          <w:sz w:val="24"/>
          <w:szCs w:val="24"/>
        </w:rPr>
        <w:t xml:space="preserve"> </w:t>
      </w:r>
      <w:proofErr w:type="gramEnd"/>
      <w:r w:rsidR="007D5DD3" w:rsidRPr="001D0253">
        <w:rPr>
          <w:rFonts w:ascii="Arial" w:hAnsi="Arial" w:cs="Arial"/>
          <w:sz w:val="24"/>
          <w:szCs w:val="24"/>
        </w:rPr>
        <w:t xml:space="preserve">The balance sheet equation is Capital + Liabilities = Assets </w:t>
      </w:r>
      <w:r w:rsidR="006A2586" w:rsidRPr="001D0253">
        <w:rPr>
          <w:rFonts w:ascii="Arial" w:hAnsi="Arial" w:cs="Arial"/>
          <w:sz w:val="24"/>
          <w:szCs w:val="24"/>
        </w:rPr>
        <w:t>and analy</w:t>
      </w:r>
      <w:r w:rsidR="00F40C54" w:rsidRPr="001D0253">
        <w:rPr>
          <w:rFonts w:ascii="Arial" w:hAnsi="Arial" w:cs="Arial"/>
          <w:sz w:val="24"/>
          <w:szCs w:val="24"/>
        </w:rPr>
        <w:t xml:space="preserve">ses </w:t>
      </w:r>
      <w:r w:rsidR="00792E6E" w:rsidRPr="001D0253">
        <w:rPr>
          <w:rFonts w:ascii="Arial" w:hAnsi="Arial" w:cs="Arial"/>
          <w:sz w:val="24"/>
          <w:szCs w:val="24"/>
        </w:rPr>
        <w:t>the financial</w:t>
      </w:r>
      <w:r w:rsidR="00F40C54" w:rsidRPr="001D0253">
        <w:rPr>
          <w:rFonts w:ascii="Arial" w:hAnsi="Arial" w:cs="Arial"/>
          <w:sz w:val="24"/>
          <w:szCs w:val="24"/>
        </w:rPr>
        <w:t xml:space="preserve"> strengths of a company </w:t>
      </w:r>
      <w:r w:rsidR="00150B7D" w:rsidRPr="001D0253">
        <w:rPr>
          <w:rFonts w:ascii="Arial" w:hAnsi="Arial" w:cs="Arial"/>
          <w:sz w:val="24"/>
          <w:szCs w:val="24"/>
        </w:rPr>
        <w:t>(Armstrong</w:t>
      </w:r>
      <w:r w:rsidR="00073660" w:rsidRPr="001D0253">
        <w:rPr>
          <w:rFonts w:ascii="Arial" w:hAnsi="Arial" w:cs="Arial"/>
          <w:sz w:val="24"/>
          <w:szCs w:val="24"/>
        </w:rPr>
        <w:t xml:space="preserve"> &amp; Taylor, </w:t>
      </w:r>
      <w:r w:rsidR="00477135" w:rsidRPr="001D0253">
        <w:rPr>
          <w:rFonts w:ascii="Arial" w:hAnsi="Arial" w:cs="Arial"/>
          <w:sz w:val="24"/>
          <w:szCs w:val="24"/>
        </w:rPr>
        <w:t>2003 p.574)</w:t>
      </w:r>
      <w:r w:rsidR="00F40C54" w:rsidRPr="001D0253">
        <w:rPr>
          <w:rFonts w:ascii="Arial" w:hAnsi="Arial" w:cs="Arial"/>
          <w:sz w:val="24"/>
          <w:szCs w:val="24"/>
        </w:rPr>
        <w:t>.</w:t>
      </w:r>
      <w:r w:rsidR="00EF401F" w:rsidRPr="001D0253">
        <w:rPr>
          <w:rFonts w:ascii="Arial" w:hAnsi="Arial" w:cs="Arial"/>
          <w:sz w:val="24"/>
          <w:szCs w:val="24"/>
        </w:rPr>
        <w:t xml:space="preserve"> </w:t>
      </w:r>
    </w:p>
    <w:p w14:paraId="29AEDA61" w14:textId="77777777" w:rsidR="00B56152" w:rsidRPr="001D0253" w:rsidRDefault="00B56152" w:rsidP="00B56152">
      <w:pPr>
        <w:rPr>
          <w:rFonts w:ascii="Arial" w:hAnsi="Arial" w:cs="Arial"/>
          <w:sz w:val="24"/>
          <w:szCs w:val="24"/>
        </w:rPr>
      </w:pPr>
      <w:r w:rsidRPr="001D0253">
        <w:rPr>
          <w:rFonts w:ascii="Arial" w:hAnsi="Arial" w:cs="Arial"/>
          <w:sz w:val="24"/>
          <w:szCs w:val="24"/>
        </w:rPr>
        <w:t>According to Stobierski (2021), the BS serves multiple purpose, externally, it helps investors assess resources, financing, and growth potential, internally, it supports strategic decision-making by highlighting strengths and weaknesses. Employees can also use it to align their work with organisational goals. Typically produced monthly or quarterly, the BS is based on past data and does not show cash flow or predict future outcomes. Broome (2024) stresses that integrating the BS with profit and loss and cash flow statements provides a more complete view of financial health.</w:t>
      </w:r>
    </w:p>
    <w:p w14:paraId="33FC7FA6" w14:textId="77777777" w:rsidR="00B56152" w:rsidRPr="001D0253" w:rsidRDefault="00B56152" w:rsidP="00B56152">
      <w:pPr>
        <w:rPr>
          <w:rFonts w:ascii="Arial" w:hAnsi="Arial" w:cs="Arial"/>
          <w:sz w:val="24"/>
          <w:szCs w:val="24"/>
        </w:rPr>
      </w:pPr>
      <w:r w:rsidRPr="001D0253">
        <w:rPr>
          <w:rFonts w:ascii="Arial" w:hAnsi="Arial" w:cs="Arial"/>
          <w:sz w:val="24"/>
          <w:szCs w:val="24"/>
        </w:rPr>
        <w:t xml:space="preserve">In private companies like Technivara, the BS offers an evidence-based view of financial stability, useful for tracking expansion into new sectors or upgrading digital systems. In contrast, public sector organisations such as the NHS </w:t>
      </w:r>
      <w:proofErr w:type="gramStart"/>
      <w:r w:rsidRPr="001D0253">
        <w:rPr>
          <w:rFonts w:ascii="Arial" w:hAnsi="Arial" w:cs="Arial"/>
          <w:sz w:val="24"/>
          <w:szCs w:val="24"/>
        </w:rPr>
        <w:t>are not profit-driven</w:t>
      </w:r>
      <w:proofErr w:type="gramEnd"/>
      <w:r w:rsidRPr="001D0253">
        <w:rPr>
          <w:rFonts w:ascii="Arial" w:hAnsi="Arial" w:cs="Arial"/>
          <w:sz w:val="24"/>
          <w:szCs w:val="24"/>
        </w:rPr>
        <w:t>. Here, the BS helps identify available resources to support service delivery and enhance operational capacity. Hywel Dda University Health Board (HDUHB, 2023) uses the BS to monitor financial goals, maintain control, detect early signs of financial issues, and recommend actions to strengthen the organisation’s financial position.</w:t>
      </w:r>
    </w:p>
    <w:p w14:paraId="78B9D6EC" w14:textId="0D9A28D5" w:rsidR="00B56152" w:rsidRPr="001D0253" w:rsidRDefault="00B56152" w:rsidP="00B56152">
      <w:pPr>
        <w:rPr>
          <w:rFonts w:ascii="Arial" w:hAnsi="Arial" w:cs="Arial"/>
          <w:sz w:val="24"/>
          <w:szCs w:val="24"/>
        </w:rPr>
      </w:pPr>
      <w:r w:rsidRPr="001D0253">
        <w:rPr>
          <w:rFonts w:ascii="Arial" w:hAnsi="Arial" w:cs="Arial"/>
          <w:sz w:val="24"/>
          <w:szCs w:val="24"/>
        </w:rPr>
        <w:t xml:space="preserve">Stakeholder feedback, such as exit interviews, is a widely used method for assessing qualitative non-financial performance. Newsome (2024) describes exit interviews as structured conversation held during the separation stage of the employee lifecycle (Taylor &amp; Woodhams, 2023), offering insights into employee experience and reasons for leaving. These can also </w:t>
      </w:r>
      <w:proofErr w:type="gramStart"/>
      <w:r w:rsidRPr="001D0253">
        <w:rPr>
          <w:rFonts w:ascii="Arial" w:hAnsi="Arial" w:cs="Arial"/>
          <w:sz w:val="24"/>
          <w:szCs w:val="24"/>
        </w:rPr>
        <w:t>be conducted</w:t>
      </w:r>
      <w:proofErr w:type="gramEnd"/>
      <w:r w:rsidRPr="001D0253">
        <w:rPr>
          <w:rFonts w:ascii="Arial" w:hAnsi="Arial" w:cs="Arial"/>
          <w:sz w:val="24"/>
          <w:szCs w:val="24"/>
        </w:rPr>
        <w:t xml:space="preserve"> via questionnaires, </w:t>
      </w:r>
      <w:r w:rsidR="00792E6E" w:rsidRPr="001D0253">
        <w:rPr>
          <w:rFonts w:ascii="Arial" w:hAnsi="Arial" w:cs="Arial"/>
          <w:sz w:val="24"/>
          <w:szCs w:val="24"/>
        </w:rPr>
        <w:t>like in</w:t>
      </w:r>
      <w:r w:rsidRPr="001D0253">
        <w:rPr>
          <w:rFonts w:ascii="Arial" w:hAnsi="Arial" w:cs="Arial"/>
          <w:sz w:val="24"/>
          <w:szCs w:val="24"/>
        </w:rPr>
        <w:t xml:space="preserve"> Cardiff &amp; Vale University Health Board (NHS Wales, 2025).</w:t>
      </w:r>
    </w:p>
    <w:p w14:paraId="0C7710DA" w14:textId="77777777" w:rsidR="00B56152" w:rsidRPr="001D0253" w:rsidRDefault="00B56152" w:rsidP="00B56152">
      <w:pPr>
        <w:rPr>
          <w:rFonts w:ascii="Arial" w:hAnsi="Arial" w:cs="Arial"/>
          <w:sz w:val="24"/>
          <w:szCs w:val="24"/>
        </w:rPr>
      </w:pPr>
      <w:r w:rsidRPr="001D0253">
        <w:rPr>
          <w:rFonts w:ascii="Arial" w:hAnsi="Arial" w:cs="Arial"/>
          <w:sz w:val="24"/>
          <w:szCs w:val="24"/>
        </w:rPr>
        <w:t>Exit interviews help identify retention issues, gaps in learning and development, and frustrations with outdated systems, such as those in Technivara, highlighting the need for digital transformation. They support succession planning and can enhance engagement by addressing concerns constructively. Positive feedback may also strengthen Technivara brand.</w:t>
      </w:r>
    </w:p>
    <w:p w14:paraId="4ECE2B13" w14:textId="77777777" w:rsidR="00B56152" w:rsidRPr="001D0253" w:rsidRDefault="00B56152" w:rsidP="00B56152">
      <w:pPr>
        <w:rPr>
          <w:rFonts w:ascii="Arial" w:hAnsi="Arial" w:cs="Arial"/>
          <w:sz w:val="24"/>
          <w:szCs w:val="24"/>
        </w:rPr>
      </w:pPr>
      <w:r w:rsidRPr="001D0253">
        <w:rPr>
          <w:rFonts w:ascii="Arial" w:hAnsi="Arial" w:cs="Arial"/>
          <w:sz w:val="24"/>
          <w:szCs w:val="24"/>
        </w:rPr>
        <w:t xml:space="preserve">However, Newson (2024) notes limitations, they can be time consuming, and feedback may </w:t>
      </w:r>
      <w:proofErr w:type="gramStart"/>
      <w:r w:rsidRPr="001D0253">
        <w:rPr>
          <w:rFonts w:ascii="Arial" w:hAnsi="Arial" w:cs="Arial"/>
          <w:sz w:val="24"/>
          <w:szCs w:val="24"/>
        </w:rPr>
        <w:t>be biased</w:t>
      </w:r>
      <w:proofErr w:type="gramEnd"/>
      <w:r w:rsidRPr="001D0253">
        <w:rPr>
          <w:rFonts w:ascii="Arial" w:hAnsi="Arial" w:cs="Arial"/>
          <w:sz w:val="24"/>
          <w:szCs w:val="24"/>
        </w:rPr>
        <w:t xml:space="preserve">, especially if the employee is unhappy in their role or if they have </w:t>
      </w:r>
      <w:proofErr w:type="gramStart"/>
      <w:r w:rsidRPr="001D0253">
        <w:rPr>
          <w:rFonts w:ascii="Arial" w:hAnsi="Arial" w:cs="Arial"/>
          <w:sz w:val="24"/>
          <w:szCs w:val="24"/>
        </w:rPr>
        <w:t>been made</w:t>
      </w:r>
      <w:proofErr w:type="gramEnd"/>
      <w:r w:rsidRPr="001D0253">
        <w:rPr>
          <w:rFonts w:ascii="Arial" w:hAnsi="Arial" w:cs="Arial"/>
          <w:sz w:val="24"/>
          <w:szCs w:val="24"/>
        </w:rPr>
        <w:t xml:space="preserve"> redundant. To be effective, exit interviews should </w:t>
      </w:r>
      <w:proofErr w:type="gramStart"/>
      <w:r w:rsidRPr="001D0253">
        <w:rPr>
          <w:rFonts w:ascii="Arial" w:hAnsi="Arial" w:cs="Arial"/>
          <w:sz w:val="24"/>
          <w:szCs w:val="24"/>
        </w:rPr>
        <w:t>be carefully planned</w:t>
      </w:r>
      <w:proofErr w:type="gramEnd"/>
      <w:r w:rsidRPr="001D0253">
        <w:rPr>
          <w:rFonts w:ascii="Arial" w:hAnsi="Arial" w:cs="Arial"/>
          <w:sz w:val="24"/>
          <w:szCs w:val="24"/>
        </w:rPr>
        <w:t xml:space="preserve"> and aligned with other HR processes such and L &amp; D.</w:t>
      </w:r>
    </w:p>
    <w:p w14:paraId="5657545D" w14:textId="77777777" w:rsidR="00B56152" w:rsidRPr="001D0253" w:rsidRDefault="00B56152" w:rsidP="00B56152">
      <w:pPr>
        <w:rPr>
          <w:rFonts w:ascii="Arial" w:hAnsi="Arial" w:cs="Arial"/>
          <w:sz w:val="24"/>
          <w:szCs w:val="24"/>
        </w:rPr>
      </w:pPr>
      <w:r w:rsidRPr="001D0253">
        <w:rPr>
          <w:rFonts w:ascii="Arial" w:hAnsi="Arial" w:cs="Arial"/>
          <w:sz w:val="24"/>
          <w:szCs w:val="24"/>
        </w:rPr>
        <w:t xml:space="preserve">Technivara could also adopt stay interviews, which explore what motivates employees to stay, what improvements </w:t>
      </w:r>
      <w:proofErr w:type="gramStart"/>
      <w:r w:rsidRPr="001D0253">
        <w:rPr>
          <w:rFonts w:ascii="Arial" w:hAnsi="Arial" w:cs="Arial"/>
          <w:sz w:val="24"/>
          <w:szCs w:val="24"/>
        </w:rPr>
        <w:t>are needed</w:t>
      </w:r>
      <w:proofErr w:type="gramEnd"/>
      <w:r w:rsidRPr="001D0253">
        <w:rPr>
          <w:rFonts w:ascii="Arial" w:hAnsi="Arial" w:cs="Arial"/>
          <w:sz w:val="24"/>
          <w:szCs w:val="24"/>
        </w:rPr>
        <w:t xml:space="preserve">, and what might prompt them to leave, </w:t>
      </w:r>
      <w:proofErr w:type="gramStart"/>
      <w:r w:rsidRPr="001D0253">
        <w:rPr>
          <w:rFonts w:ascii="Arial" w:hAnsi="Arial" w:cs="Arial"/>
          <w:sz w:val="24"/>
          <w:szCs w:val="24"/>
        </w:rPr>
        <w:t>similar to</w:t>
      </w:r>
      <w:proofErr w:type="gramEnd"/>
      <w:r w:rsidRPr="001D0253">
        <w:rPr>
          <w:rFonts w:ascii="Arial" w:hAnsi="Arial" w:cs="Arial"/>
          <w:sz w:val="24"/>
          <w:szCs w:val="24"/>
        </w:rPr>
        <w:t xml:space="preserve"> approaches used by NHS England (2025).</w:t>
      </w:r>
    </w:p>
    <w:p w14:paraId="6F4C532B" w14:textId="77777777" w:rsidR="00B56152" w:rsidRPr="001D0253" w:rsidRDefault="00B56152" w:rsidP="00B56152">
      <w:pPr>
        <w:rPr>
          <w:rFonts w:ascii="Arial" w:hAnsi="Arial" w:cs="Arial"/>
          <w:sz w:val="24"/>
          <w:szCs w:val="24"/>
        </w:rPr>
      </w:pPr>
      <w:r w:rsidRPr="001D0253">
        <w:rPr>
          <w:rFonts w:ascii="Arial" w:hAnsi="Arial" w:cs="Arial"/>
          <w:sz w:val="24"/>
          <w:szCs w:val="24"/>
        </w:rPr>
        <w:t xml:space="preserve">By using stakeholder feedback such as exit interview alongside balance sheets, Technivara can understand staff experiences and the financial health of the business to assist with expansion and developing Digital HR driven processes. </w:t>
      </w:r>
    </w:p>
    <w:p w14:paraId="0FB8EA04" w14:textId="77777777" w:rsidR="000A4846" w:rsidRPr="001D0253" w:rsidRDefault="00285CF7" w:rsidP="00285CF7">
      <w:pPr>
        <w:rPr>
          <w:rFonts w:ascii="Arial" w:hAnsi="Arial" w:cs="Arial"/>
          <w:b/>
          <w:bCs/>
          <w:sz w:val="24"/>
          <w:szCs w:val="24"/>
          <w:u w:val="single"/>
        </w:rPr>
      </w:pPr>
      <w:r w:rsidRPr="001D0253">
        <w:rPr>
          <w:rFonts w:ascii="Arial" w:hAnsi="Arial" w:cs="Arial"/>
          <w:b/>
          <w:bCs/>
          <w:sz w:val="24"/>
          <w:szCs w:val="24"/>
          <w:u w:val="single"/>
        </w:rPr>
        <w:t>AC 3.2</w:t>
      </w:r>
      <w:r w:rsidR="00B56152" w:rsidRPr="001D0253">
        <w:rPr>
          <w:rFonts w:ascii="Arial" w:hAnsi="Arial" w:cs="Arial"/>
          <w:b/>
          <w:bCs/>
          <w:sz w:val="24"/>
          <w:szCs w:val="24"/>
          <w:u w:val="single"/>
        </w:rPr>
        <w:t xml:space="preserve">  </w:t>
      </w:r>
    </w:p>
    <w:p w14:paraId="48F53A52" w14:textId="2CF009E9" w:rsidR="00285CF7" w:rsidRPr="001D0253" w:rsidRDefault="00285CF7" w:rsidP="00285CF7">
      <w:pPr>
        <w:rPr>
          <w:rFonts w:ascii="Arial" w:hAnsi="Arial" w:cs="Arial"/>
          <w:sz w:val="24"/>
          <w:szCs w:val="24"/>
        </w:rPr>
      </w:pPr>
      <w:r w:rsidRPr="001D0253">
        <w:rPr>
          <w:rFonts w:ascii="Arial" w:hAnsi="Arial" w:cs="Arial"/>
          <w:sz w:val="24"/>
          <w:szCs w:val="24"/>
        </w:rPr>
        <w:t xml:space="preserve">According to Taylor and Woodhams (2022), HR is shifting from a traditional operational role to a strategic function, responsible not only for executing core tasks </w:t>
      </w:r>
      <w:r w:rsidRPr="001D0253">
        <w:rPr>
          <w:rFonts w:ascii="Arial" w:hAnsi="Arial" w:cs="Arial"/>
          <w:sz w:val="24"/>
          <w:szCs w:val="24"/>
        </w:rPr>
        <w:lastRenderedPageBreak/>
        <w:t xml:space="preserve">efficiently but also for shaping long-term organisational goals. To achieve this, people practices must </w:t>
      </w:r>
      <w:proofErr w:type="gramStart"/>
      <w:r w:rsidRPr="001D0253">
        <w:rPr>
          <w:rFonts w:ascii="Arial" w:hAnsi="Arial" w:cs="Arial"/>
          <w:sz w:val="24"/>
          <w:szCs w:val="24"/>
        </w:rPr>
        <w:t>be clearly developed</w:t>
      </w:r>
      <w:proofErr w:type="gramEnd"/>
      <w:r w:rsidRPr="001D0253">
        <w:rPr>
          <w:rFonts w:ascii="Arial" w:hAnsi="Arial" w:cs="Arial"/>
          <w:sz w:val="24"/>
          <w:szCs w:val="24"/>
        </w:rPr>
        <w:t xml:space="preserve">, effectively communicated, and successfully implemented. The </w:t>
      </w:r>
      <w:proofErr w:type="gramStart"/>
      <w:r w:rsidRPr="001D0253">
        <w:rPr>
          <w:rFonts w:ascii="Arial" w:hAnsi="Arial" w:cs="Arial"/>
          <w:sz w:val="24"/>
          <w:szCs w:val="24"/>
        </w:rPr>
        <w:t>10</w:t>
      </w:r>
      <w:proofErr w:type="gramEnd"/>
      <w:r w:rsidRPr="001D0253">
        <w:rPr>
          <w:rFonts w:ascii="Arial" w:hAnsi="Arial" w:cs="Arial"/>
          <w:sz w:val="24"/>
          <w:szCs w:val="24"/>
        </w:rPr>
        <w:t xml:space="preserve"> specialist knowledge areas on the CIPD Professional Map (CIPD, 2024) highlight how these practices can add value.</w:t>
      </w:r>
    </w:p>
    <w:p w14:paraId="02CB3568" w14:textId="72930CC2" w:rsidR="00285CF7" w:rsidRPr="001D0253" w:rsidRDefault="00285CF7" w:rsidP="00285CF7">
      <w:pPr>
        <w:rPr>
          <w:rFonts w:ascii="Arial" w:hAnsi="Arial" w:cs="Arial"/>
          <w:sz w:val="24"/>
          <w:szCs w:val="24"/>
        </w:rPr>
      </w:pPr>
      <w:r w:rsidRPr="001D0253">
        <w:rPr>
          <w:rFonts w:ascii="Arial" w:hAnsi="Arial" w:cs="Arial"/>
          <w:sz w:val="24"/>
          <w:szCs w:val="24"/>
        </w:rPr>
        <w:t>Within Technivara, Learning and Development (L&amp;D) programmes</w:t>
      </w:r>
      <w:r w:rsidR="00973CD8" w:rsidRPr="001D0253">
        <w:rPr>
          <w:rFonts w:ascii="Arial" w:hAnsi="Arial" w:cs="Arial"/>
          <w:sz w:val="24"/>
          <w:szCs w:val="24"/>
        </w:rPr>
        <w:t xml:space="preserve"> </w:t>
      </w:r>
      <w:r w:rsidRPr="001D0253">
        <w:rPr>
          <w:rFonts w:ascii="Arial" w:hAnsi="Arial" w:cs="Arial"/>
          <w:sz w:val="24"/>
          <w:szCs w:val="24"/>
        </w:rPr>
        <w:t>methods such as digital technology-enabled learning (Marchington et al 2021. p</w:t>
      </w:r>
      <w:r w:rsidR="00792E6E" w:rsidRPr="001D0253">
        <w:rPr>
          <w:rFonts w:ascii="Arial" w:hAnsi="Arial" w:cs="Arial"/>
          <w:sz w:val="24"/>
          <w:szCs w:val="24"/>
        </w:rPr>
        <w:t>310)</w:t>
      </w:r>
      <w:r w:rsidRPr="001D0253">
        <w:rPr>
          <w:rFonts w:ascii="Arial" w:hAnsi="Arial" w:cs="Arial"/>
          <w:sz w:val="24"/>
          <w:szCs w:val="24"/>
        </w:rPr>
        <w:t xml:space="preserve"> could add value by equipping staff with the digital and technical skills required to sustain growth and adapt to emerging technologies. </w:t>
      </w:r>
    </w:p>
    <w:p w14:paraId="48CC938C" w14:textId="2FAB6F22" w:rsidR="00285CF7" w:rsidRPr="001D0253" w:rsidRDefault="00285CF7" w:rsidP="00285CF7">
      <w:pPr>
        <w:rPr>
          <w:rFonts w:ascii="Arial" w:hAnsi="Arial" w:cs="Arial"/>
          <w:sz w:val="24"/>
          <w:szCs w:val="24"/>
        </w:rPr>
      </w:pPr>
      <w:r w:rsidRPr="001D0253">
        <w:rPr>
          <w:rFonts w:ascii="Arial" w:hAnsi="Arial" w:cs="Arial"/>
          <w:sz w:val="24"/>
          <w:szCs w:val="24"/>
        </w:rPr>
        <w:t xml:space="preserve">Promoting employee engagement further strengthens the link between staff and organisational outcomes. Armstrong and Taylor (2023) emphasise that when employees have a voice, they can share concerns, ideas, and feel empowered. The CIPD Good Work Index (2025) </w:t>
      </w:r>
      <w:r w:rsidR="00792E6E" w:rsidRPr="001D0253">
        <w:rPr>
          <w:rFonts w:ascii="Arial" w:hAnsi="Arial" w:cs="Arial"/>
          <w:sz w:val="24"/>
          <w:szCs w:val="24"/>
        </w:rPr>
        <w:t>evidence</w:t>
      </w:r>
      <w:r w:rsidRPr="001D0253">
        <w:rPr>
          <w:rFonts w:ascii="Arial" w:hAnsi="Arial" w:cs="Arial"/>
          <w:sz w:val="24"/>
          <w:szCs w:val="24"/>
        </w:rPr>
        <w:t xml:space="preserve"> that engaged employees report improved performance, motivation, and commitment—reinforcing the value of engagement in driving success.</w:t>
      </w:r>
    </w:p>
    <w:p w14:paraId="6B45479D" w14:textId="77777777" w:rsidR="00285CF7" w:rsidRPr="001D0253" w:rsidRDefault="00285CF7" w:rsidP="00285CF7">
      <w:pPr>
        <w:rPr>
          <w:rFonts w:ascii="Arial" w:hAnsi="Arial" w:cs="Arial"/>
          <w:sz w:val="24"/>
          <w:szCs w:val="24"/>
        </w:rPr>
      </w:pPr>
      <w:r w:rsidRPr="001D0253">
        <w:rPr>
          <w:rFonts w:ascii="Arial" w:hAnsi="Arial" w:cs="Arial"/>
          <w:sz w:val="24"/>
          <w:szCs w:val="24"/>
        </w:rPr>
        <w:t>To measure the value of L&amp;D, Technivara could apply Return on Investment (ROI), which quantifies benefits gained from people programmes over time (CIPD, 2024). ROI (%) = (Realised benefits − Investment cost) / Investment cost × 100. Advocates such as Kearns and Miller (1997) and Phillips (2011) stress the importance of evaluating L&amp;D outcomes in financial terms (Taylor &amp; Armstrong, 2024). For example, if Technivara invests £15,000 in digital training and achieves £25,000 in cost savings, the ROI would be:</w:t>
      </w:r>
    </w:p>
    <w:p w14:paraId="5BD93623" w14:textId="77777777" w:rsidR="00285CF7" w:rsidRPr="001D0253" w:rsidRDefault="00285CF7" w:rsidP="00285CF7">
      <w:pPr>
        <w:pStyle w:val="NoSpacing"/>
        <w:rPr>
          <w:rFonts w:ascii="Arial" w:hAnsi="Arial" w:cs="Arial"/>
          <w:sz w:val="24"/>
          <w:szCs w:val="24"/>
        </w:rPr>
      </w:pPr>
      <w:r w:rsidRPr="001D0253">
        <w:rPr>
          <w:rFonts w:ascii="Arial" w:hAnsi="Arial" w:cs="Arial"/>
          <w:sz w:val="24"/>
          <w:szCs w:val="24"/>
          <w:u w:val="single"/>
        </w:rPr>
        <w:t>25,000 – 15,000</w:t>
      </w:r>
      <w:r w:rsidRPr="001D0253">
        <w:rPr>
          <w:rFonts w:ascii="Arial" w:hAnsi="Arial" w:cs="Arial"/>
          <w:sz w:val="24"/>
          <w:szCs w:val="24"/>
        </w:rPr>
        <w:t xml:space="preserve"> x 100 = 66.7% Return on Investment.</w:t>
      </w:r>
    </w:p>
    <w:p w14:paraId="36FED054" w14:textId="77777777" w:rsidR="00285CF7" w:rsidRPr="001D0253" w:rsidRDefault="00285CF7" w:rsidP="00285CF7">
      <w:pPr>
        <w:pStyle w:val="NoSpacing"/>
        <w:rPr>
          <w:rFonts w:ascii="Arial" w:hAnsi="Arial" w:cs="Arial"/>
          <w:sz w:val="24"/>
          <w:szCs w:val="24"/>
        </w:rPr>
      </w:pPr>
      <w:r w:rsidRPr="001D0253">
        <w:rPr>
          <w:rFonts w:ascii="Arial" w:hAnsi="Arial" w:cs="Arial"/>
          <w:sz w:val="24"/>
          <w:szCs w:val="24"/>
        </w:rPr>
        <w:tab/>
        <w:t>15,000</w:t>
      </w:r>
    </w:p>
    <w:p w14:paraId="4F03B75B" w14:textId="77777777" w:rsidR="00B56152" w:rsidRPr="001D0253" w:rsidRDefault="00B56152" w:rsidP="00285CF7">
      <w:pPr>
        <w:rPr>
          <w:rFonts w:ascii="Arial" w:hAnsi="Arial" w:cs="Arial"/>
          <w:sz w:val="24"/>
          <w:szCs w:val="24"/>
        </w:rPr>
      </w:pPr>
    </w:p>
    <w:p w14:paraId="392902C1" w14:textId="7864D31B" w:rsidR="00285CF7" w:rsidRPr="001D0253" w:rsidRDefault="00285CF7" w:rsidP="00285CF7">
      <w:pPr>
        <w:rPr>
          <w:rFonts w:ascii="Arial" w:hAnsi="Arial" w:cs="Arial"/>
          <w:sz w:val="24"/>
          <w:szCs w:val="24"/>
        </w:rPr>
      </w:pPr>
      <w:r w:rsidRPr="001D0253">
        <w:rPr>
          <w:rFonts w:ascii="Arial" w:hAnsi="Arial" w:cs="Arial"/>
          <w:sz w:val="24"/>
          <w:szCs w:val="24"/>
        </w:rPr>
        <w:t xml:space="preserve">According to Link (2025), such investment can enhance efficiency, data management, and employee experience. However, Armstrong &amp; Taylor (2023) caution that while costs </w:t>
      </w:r>
      <w:proofErr w:type="gramStart"/>
      <w:r w:rsidRPr="001D0253">
        <w:rPr>
          <w:rFonts w:ascii="Arial" w:hAnsi="Arial" w:cs="Arial"/>
          <w:sz w:val="24"/>
          <w:szCs w:val="24"/>
        </w:rPr>
        <w:t>are easily recorded</w:t>
      </w:r>
      <w:proofErr w:type="gramEnd"/>
      <w:r w:rsidRPr="001D0253">
        <w:rPr>
          <w:rFonts w:ascii="Arial" w:hAnsi="Arial" w:cs="Arial"/>
          <w:sz w:val="24"/>
          <w:szCs w:val="24"/>
        </w:rPr>
        <w:t>, assessing benefits is more complex.</w:t>
      </w:r>
    </w:p>
    <w:p w14:paraId="755B821F" w14:textId="69A7DF41" w:rsidR="00285CF7" w:rsidRPr="001D0253" w:rsidRDefault="00285CF7" w:rsidP="00285CF7">
      <w:pPr>
        <w:rPr>
          <w:rFonts w:ascii="Arial" w:hAnsi="Arial" w:cs="Arial"/>
          <w:sz w:val="24"/>
          <w:szCs w:val="24"/>
        </w:rPr>
      </w:pPr>
      <w:r w:rsidRPr="001D0253">
        <w:rPr>
          <w:rFonts w:ascii="Arial" w:hAnsi="Arial" w:cs="Arial"/>
          <w:sz w:val="24"/>
          <w:szCs w:val="24"/>
        </w:rPr>
        <w:t xml:space="preserve">Engagement surveys offer a qualitative measure and are essential for evaluating and shaping engagement and wellbeing strategies. Armstrong (2020, p.226) advocates the Triple A approach; Analysis, Assessment, and Action, emphasising the importance of employee feedback. Common tools include the Utrecht Work Engagement Scale and the ISA Engagement Measure (Soane et al., 2012). Technivara could use surveys to assess leadership, career development, and growth pressures, while monitoring morale, wellbeing, and retention such as those used by NHS Staff Surveys (NHS Wales, 2024) </w:t>
      </w:r>
      <w:r w:rsidR="00792E6E" w:rsidRPr="001D0253">
        <w:rPr>
          <w:rFonts w:ascii="Arial" w:hAnsi="Arial" w:cs="Arial"/>
          <w:sz w:val="24"/>
          <w:szCs w:val="24"/>
        </w:rPr>
        <w:t>providing a</w:t>
      </w:r>
      <w:r w:rsidRPr="001D0253">
        <w:rPr>
          <w:rFonts w:ascii="Arial" w:hAnsi="Arial" w:cs="Arial"/>
          <w:sz w:val="24"/>
          <w:szCs w:val="24"/>
        </w:rPr>
        <w:t xml:space="preserve"> model for year-on-year comparisons to identify progress and development areas. These insights signal openness to change and innovation, though surveys can be costly, subjective, and prone to response bias (Miller, 2018).</w:t>
      </w:r>
    </w:p>
    <w:p w14:paraId="529BE190" w14:textId="19A3652F" w:rsidR="00285CF7" w:rsidRPr="001D0253" w:rsidRDefault="00285CF7" w:rsidP="00285CF7">
      <w:pPr>
        <w:rPr>
          <w:rFonts w:ascii="Arial" w:hAnsi="Arial" w:cs="Arial"/>
          <w:sz w:val="24"/>
          <w:szCs w:val="24"/>
        </w:rPr>
      </w:pPr>
      <w:r w:rsidRPr="001D0253">
        <w:rPr>
          <w:rFonts w:ascii="Arial" w:hAnsi="Arial" w:cs="Arial"/>
          <w:sz w:val="24"/>
          <w:szCs w:val="24"/>
        </w:rPr>
        <w:t xml:space="preserve">Therefore, by combining these quantitative and </w:t>
      </w:r>
      <w:r w:rsidR="00792E6E" w:rsidRPr="001D0253">
        <w:rPr>
          <w:rFonts w:ascii="Arial" w:hAnsi="Arial" w:cs="Arial"/>
          <w:sz w:val="24"/>
          <w:szCs w:val="24"/>
        </w:rPr>
        <w:t>qualitative evidence-based</w:t>
      </w:r>
      <w:r w:rsidRPr="001D0253">
        <w:rPr>
          <w:rFonts w:ascii="Arial" w:hAnsi="Arial" w:cs="Arial"/>
          <w:sz w:val="24"/>
          <w:szCs w:val="24"/>
        </w:rPr>
        <w:t xml:space="preserve"> measuring methods it </w:t>
      </w:r>
      <w:r w:rsidR="00792E6E" w:rsidRPr="001D0253">
        <w:rPr>
          <w:rFonts w:ascii="Arial" w:hAnsi="Arial" w:cs="Arial"/>
          <w:sz w:val="24"/>
          <w:szCs w:val="24"/>
        </w:rPr>
        <w:t>provides</w:t>
      </w:r>
      <w:r w:rsidRPr="001D0253">
        <w:rPr>
          <w:rFonts w:ascii="Arial" w:hAnsi="Arial" w:cs="Arial"/>
          <w:sz w:val="24"/>
          <w:szCs w:val="24"/>
        </w:rPr>
        <w:t xml:space="preserve"> a balance view in measuring values.</w:t>
      </w:r>
    </w:p>
    <w:p w14:paraId="4A23AA06" w14:textId="77777777" w:rsidR="00861BD7" w:rsidRPr="001D0253" w:rsidRDefault="00861BD7" w:rsidP="00861BD7">
      <w:pPr>
        <w:contextualSpacing/>
        <w:jc w:val="both"/>
        <w:rPr>
          <w:rFonts w:ascii="Arial" w:hAnsi="Arial" w:cs="Arial"/>
          <w:sz w:val="24"/>
          <w:szCs w:val="24"/>
        </w:rPr>
      </w:pPr>
    </w:p>
    <w:p w14:paraId="502D2F88" w14:textId="77777777" w:rsidR="00285CF7" w:rsidRPr="001D0253" w:rsidRDefault="00285CF7">
      <w:pPr>
        <w:rPr>
          <w:rFonts w:ascii="Arial" w:hAnsi="Arial" w:cs="Arial"/>
          <w:sz w:val="24"/>
          <w:szCs w:val="24"/>
        </w:rPr>
      </w:pPr>
    </w:p>
    <w:p w14:paraId="08392262" w14:textId="03B7BE74" w:rsidR="00285CF7" w:rsidRPr="001D0253" w:rsidRDefault="00285CF7">
      <w:pPr>
        <w:rPr>
          <w:rFonts w:ascii="Arial" w:hAnsi="Arial" w:cs="Arial"/>
          <w:b/>
          <w:bCs/>
          <w:sz w:val="24"/>
          <w:szCs w:val="24"/>
          <w:u w:val="single"/>
        </w:rPr>
      </w:pPr>
      <w:r w:rsidRPr="001D0253">
        <w:rPr>
          <w:rFonts w:ascii="Arial" w:hAnsi="Arial" w:cs="Arial"/>
          <w:b/>
          <w:bCs/>
          <w:sz w:val="24"/>
          <w:szCs w:val="24"/>
          <w:u w:val="single"/>
        </w:rPr>
        <w:lastRenderedPageBreak/>
        <w:t>AC 2.1</w:t>
      </w:r>
    </w:p>
    <w:p w14:paraId="35ED8A00" w14:textId="03894C67" w:rsidR="002E460E" w:rsidRPr="001D0253" w:rsidRDefault="00D542B6" w:rsidP="00D542B6">
      <w:pPr>
        <w:rPr>
          <w:rFonts w:ascii="Arial" w:hAnsi="Arial" w:cs="Arial"/>
          <w:sz w:val="24"/>
          <w:szCs w:val="24"/>
        </w:rPr>
      </w:pPr>
      <w:r w:rsidRPr="001D0253">
        <w:rPr>
          <w:rFonts w:ascii="Arial" w:hAnsi="Arial" w:cs="Arial"/>
          <w:sz w:val="24"/>
          <w:szCs w:val="24"/>
        </w:rPr>
        <w:t>To work out this percentage</w:t>
      </w:r>
      <w:r w:rsidR="00737A59" w:rsidRPr="001D0253">
        <w:rPr>
          <w:rFonts w:ascii="Arial" w:hAnsi="Arial" w:cs="Arial"/>
          <w:sz w:val="24"/>
          <w:szCs w:val="24"/>
        </w:rPr>
        <w:t xml:space="preserve"> I took the </w:t>
      </w:r>
      <w:r w:rsidR="00FD7A37" w:rsidRPr="001D0253">
        <w:rPr>
          <w:rFonts w:ascii="Arial" w:hAnsi="Arial" w:cs="Arial"/>
          <w:sz w:val="24"/>
          <w:szCs w:val="24"/>
        </w:rPr>
        <w:t>number that have left /vacancies (the number you are trying to find the % of</w:t>
      </w:r>
      <w:r w:rsidR="002E460E" w:rsidRPr="001D0253">
        <w:rPr>
          <w:rFonts w:ascii="Arial" w:hAnsi="Arial" w:cs="Arial"/>
          <w:sz w:val="24"/>
          <w:szCs w:val="24"/>
        </w:rPr>
        <w:t xml:space="preserve">), divide it by the total number and then multiply by </w:t>
      </w:r>
      <w:proofErr w:type="gramStart"/>
      <w:r w:rsidR="002E460E" w:rsidRPr="001D0253">
        <w:rPr>
          <w:rFonts w:ascii="Arial" w:hAnsi="Arial" w:cs="Arial"/>
          <w:sz w:val="24"/>
          <w:szCs w:val="24"/>
        </w:rPr>
        <w:t>100</w:t>
      </w:r>
      <w:proofErr w:type="gramEnd"/>
      <w:r w:rsidR="002E460E" w:rsidRPr="001D0253">
        <w:rPr>
          <w:rFonts w:ascii="Arial" w:hAnsi="Arial" w:cs="Arial"/>
          <w:sz w:val="24"/>
          <w:szCs w:val="24"/>
        </w:rPr>
        <w:t>.</w:t>
      </w:r>
    </w:p>
    <w:tbl>
      <w:tblPr>
        <w:tblW w:w="11780" w:type="dxa"/>
        <w:tblInd w:w="-1281" w:type="dxa"/>
        <w:tblLook w:val="04A0" w:firstRow="1" w:lastRow="0" w:firstColumn="1" w:lastColumn="0" w:noHBand="0" w:noVBand="1"/>
      </w:tblPr>
      <w:tblGrid>
        <w:gridCol w:w="2415"/>
        <w:gridCol w:w="1332"/>
        <w:gridCol w:w="1271"/>
        <w:gridCol w:w="1332"/>
        <w:gridCol w:w="1272"/>
        <w:gridCol w:w="1332"/>
        <w:gridCol w:w="1272"/>
        <w:gridCol w:w="1332"/>
        <w:gridCol w:w="222"/>
      </w:tblGrid>
      <w:tr w:rsidR="00A41135" w:rsidRPr="001D0253" w14:paraId="439A5E2A" w14:textId="77777777" w:rsidTr="00A41135">
        <w:trPr>
          <w:gridAfter w:val="1"/>
          <w:wAfter w:w="222" w:type="dxa"/>
          <w:trHeight w:val="450"/>
        </w:trPr>
        <w:tc>
          <w:tcPr>
            <w:tcW w:w="11558" w:type="dxa"/>
            <w:gridSpan w:val="8"/>
            <w:vMerge w:val="restart"/>
            <w:tcBorders>
              <w:top w:val="single" w:sz="4" w:space="0" w:color="auto"/>
              <w:left w:val="single" w:sz="4" w:space="0" w:color="auto"/>
              <w:bottom w:val="single" w:sz="4" w:space="0" w:color="auto"/>
              <w:right w:val="single" w:sz="4" w:space="0" w:color="auto"/>
            </w:tcBorders>
            <w:shd w:val="clear" w:color="000000" w:fill="B3D7DB"/>
            <w:vAlign w:val="center"/>
            <w:hideMark/>
          </w:tcPr>
          <w:p w14:paraId="009DDFAB" w14:textId="77777777" w:rsidR="00A41135" w:rsidRPr="001D0253" w:rsidRDefault="00A41135" w:rsidP="00A41135">
            <w:pPr>
              <w:spacing w:after="0" w:line="240" w:lineRule="auto"/>
              <w:jc w:val="center"/>
              <w:rPr>
                <w:rFonts w:ascii="Arial" w:eastAsia="Times New Roman" w:hAnsi="Arial" w:cs="Arial"/>
                <w:b/>
                <w:bCs/>
                <w:color w:val="004147"/>
                <w:kern w:val="0"/>
                <w:sz w:val="20"/>
                <w:szCs w:val="20"/>
                <w:lang w:eastAsia="en-GB"/>
                <w14:ligatures w14:val="none"/>
              </w:rPr>
            </w:pPr>
            <w:r w:rsidRPr="001D0253">
              <w:rPr>
                <w:rFonts w:ascii="Arial" w:eastAsia="Times New Roman" w:hAnsi="Arial" w:cs="Arial"/>
                <w:b/>
                <w:bCs/>
                <w:color w:val="004147"/>
                <w:kern w:val="0"/>
                <w:sz w:val="20"/>
                <w:szCs w:val="20"/>
                <w:lang w:eastAsia="en-GB"/>
                <w14:ligatures w14:val="none"/>
              </w:rPr>
              <w:t xml:space="preserve">Turnover and recruitment </w:t>
            </w:r>
            <w:proofErr w:type="gramStart"/>
            <w:r w:rsidRPr="001D0253">
              <w:rPr>
                <w:rFonts w:ascii="Arial" w:eastAsia="Times New Roman" w:hAnsi="Arial" w:cs="Arial"/>
                <w:b/>
                <w:bCs/>
                <w:color w:val="004147"/>
                <w:kern w:val="0"/>
                <w:sz w:val="20"/>
                <w:szCs w:val="20"/>
                <w:lang w:eastAsia="en-GB"/>
                <w14:ligatures w14:val="none"/>
              </w:rPr>
              <w:t>take up</w:t>
            </w:r>
            <w:proofErr w:type="gramEnd"/>
            <w:r w:rsidRPr="001D0253">
              <w:rPr>
                <w:rFonts w:ascii="Arial" w:eastAsia="Times New Roman" w:hAnsi="Arial" w:cs="Arial"/>
                <w:b/>
                <w:bCs/>
                <w:color w:val="004147"/>
                <w:kern w:val="0"/>
                <w:sz w:val="20"/>
                <w:szCs w:val="20"/>
                <w:lang w:eastAsia="en-GB"/>
                <w14:ligatures w14:val="none"/>
              </w:rPr>
              <w:t xml:space="preserve"> for Technivara 2024 </w:t>
            </w:r>
          </w:p>
        </w:tc>
      </w:tr>
      <w:tr w:rsidR="00A41135" w:rsidRPr="001D0253" w14:paraId="16C6E549" w14:textId="77777777" w:rsidTr="00A41135">
        <w:trPr>
          <w:trHeight w:val="300"/>
        </w:trPr>
        <w:tc>
          <w:tcPr>
            <w:tcW w:w="11558" w:type="dxa"/>
            <w:gridSpan w:val="8"/>
            <w:vMerge/>
            <w:tcBorders>
              <w:top w:val="single" w:sz="4" w:space="0" w:color="auto"/>
              <w:left w:val="single" w:sz="4" w:space="0" w:color="auto"/>
              <w:bottom w:val="single" w:sz="4" w:space="0" w:color="auto"/>
              <w:right w:val="single" w:sz="4" w:space="0" w:color="auto"/>
            </w:tcBorders>
            <w:vAlign w:val="center"/>
            <w:hideMark/>
          </w:tcPr>
          <w:p w14:paraId="141B5032" w14:textId="77777777" w:rsidR="00A41135" w:rsidRPr="001D0253" w:rsidRDefault="00A41135" w:rsidP="00A41135">
            <w:pPr>
              <w:spacing w:after="0" w:line="240" w:lineRule="auto"/>
              <w:rPr>
                <w:rFonts w:ascii="Arial" w:eastAsia="Times New Roman" w:hAnsi="Arial" w:cs="Arial"/>
                <w:b/>
                <w:bCs/>
                <w:color w:val="004147"/>
                <w:kern w:val="0"/>
                <w:sz w:val="20"/>
                <w:szCs w:val="20"/>
                <w:lang w:eastAsia="en-GB"/>
                <w14:ligatures w14:val="none"/>
              </w:rPr>
            </w:pPr>
          </w:p>
        </w:tc>
        <w:tc>
          <w:tcPr>
            <w:tcW w:w="222" w:type="dxa"/>
            <w:tcBorders>
              <w:top w:val="nil"/>
              <w:left w:val="nil"/>
              <w:bottom w:val="nil"/>
              <w:right w:val="nil"/>
            </w:tcBorders>
            <w:noWrap/>
            <w:vAlign w:val="bottom"/>
            <w:hideMark/>
          </w:tcPr>
          <w:p w14:paraId="76E0526C" w14:textId="77777777" w:rsidR="00A41135" w:rsidRPr="001D0253" w:rsidRDefault="00A41135" w:rsidP="00A41135">
            <w:pPr>
              <w:spacing w:after="0" w:line="240" w:lineRule="auto"/>
              <w:jc w:val="center"/>
              <w:rPr>
                <w:rFonts w:ascii="Arial" w:eastAsia="Times New Roman" w:hAnsi="Arial" w:cs="Arial"/>
                <w:b/>
                <w:bCs/>
                <w:color w:val="004147"/>
                <w:kern w:val="0"/>
                <w:sz w:val="20"/>
                <w:szCs w:val="20"/>
                <w:lang w:eastAsia="en-GB"/>
                <w14:ligatures w14:val="none"/>
              </w:rPr>
            </w:pPr>
          </w:p>
        </w:tc>
      </w:tr>
      <w:tr w:rsidR="00A41135" w:rsidRPr="001D0253" w14:paraId="5447FC12" w14:textId="77777777" w:rsidTr="00A41135">
        <w:trPr>
          <w:trHeight w:val="1590"/>
        </w:trPr>
        <w:tc>
          <w:tcPr>
            <w:tcW w:w="2415" w:type="dxa"/>
            <w:tcBorders>
              <w:top w:val="nil"/>
              <w:left w:val="single" w:sz="4" w:space="0" w:color="auto"/>
              <w:bottom w:val="single" w:sz="4" w:space="0" w:color="auto"/>
              <w:right w:val="single" w:sz="4" w:space="0" w:color="auto"/>
            </w:tcBorders>
            <w:shd w:val="clear" w:color="000000" w:fill="B3D7DB"/>
            <w:noWrap/>
            <w:vAlign w:val="bottom"/>
            <w:hideMark/>
          </w:tcPr>
          <w:p w14:paraId="6756D24C" w14:textId="77777777" w:rsidR="00A41135" w:rsidRPr="001D0253" w:rsidRDefault="00A41135" w:rsidP="00A41135">
            <w:pPr>
              <w:spacing w:after="0" w:line="240" w:lineRule="auto"/>
              <w:rPr>
                <w:rFonts w:ascii="Arial" w:eastAsia="Times New Roman" w:hAnsi="Arial" w:cs="Arial"/>
                <w:b/>
                <w:bCs/>
                <w:color w:val="004147"/>
                <w:kern w:val="0"/>
                <w:sz w:val="20"/>
                <w:szCs w:val="20"/>
                <w:lang w:eastAsia="en-GB"/>
                <w14:ligatures w14:val="none"/>
              </w:rPr>
            </w:pPr>
            <w:r w:rsidRPr="001D0253">
              <w:rPr>
                <w:rFonts w:ascii="Arial" w:eastAsia="Times New Roman" w:hAnsi="Arial" w:cs="Arial"/>
                <w:b/>
                <w:bCs/>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B3D7DB"/>
            <w:vAlign w:val="center"/>
            <w:hideMark/>
          </w:tcPr>
          <w:p w14:paraId="08CE90F8" w14:textId="77777777" w:rsidR="00A41135" w:rsidRPr="001D0253" w:rsidRDefault="00A41135" w:rsidP="00A41135">
            <w:pPr>
              <w:spacing w:after="0" w:line="240" w:lineRule="auto"/>
              <w:rPr>
                <w:rFonts w:ascii="Arial" w:eastAsia="Times New Roman" w:hAnsi="Arial" w:cs="Arial"/>
                <w:b/>
                <w:bCs/>
                <w:color w:val="004147"/>
                <w:kern w:val="0"/>
                <w:sz w:val="20"/>
                <w:szCs w:val="20"/>
                <w:lang w:eastAsia="en-GB"/>
                <w14:ligatures w14:val="none"/>
              </w:rPr>
            </w:pPr>
            <w:r w:rsidRPr="001D0253">
              <w:rPr>
                <w:rFonts w:ascii="Arial" w:eastAsia="Times New Roman" w:hAnsi="Arial" w:cs="Arial"/>
                <w:b/>
                <w:bCs/>
                <w:color w:val="004147"/>
                <w:kern w:val="0"/>
                <w:sz w:val="20"/>
                <w:szCs w:val="20"/>
                <w:lang w:eastAsia="en-GB"/>
                <w14:ligatures w14:val="none"/>
              </w:rPr>
              <w:t>Total in Department 2024</w:t>
            </w:r>
          </w:p>
        </w:tc>
        <w:tc>
          <w:tcPr>
            <w:tcW w:w="1271" w:type="dxa"/>
            <w:tcBorders>
              <w:top w:val="nil"/>
              <w:left w:val="nil"/>
              <w:bottom w:val="single" w:sz="4" w:space="0" w:color="auto"/>
              <w:right w:val="single" w:sz="4" w:space="0" w:color="auto"/>
            </w:tcBorders>
            <w:shd w:val="clear" w:color="000000" w:fill="B3D7DB"/>
            <w:vAlign w:val="center"/>
            <w:hideMark/>
          </w:tcPr>
          <w:p w14:paraId="779C2806" w14:textId="77777777" w:rsidR="00A41135" w:rsidRPr="001D0253" w:rsidRDefault="00A41135" w:rsidP="00A41135">
            <w:pPr>
              <w:spacing w:after="0" w:line="240" w:lineRule="auto"/>
              <w:rPr>
                <w:rFonts w:ascii="Arial" w:eastAsia="Times New Roman" w:hAnsi="Arial" w:cs="Arial"/>
                <w:b/>
                <w:bCs/>
                <w:color w:val="004147"/>
                <w:kern w:val="0"/>
                <w:sz w:val="20"/>
                <w:szCs w:val="20"/>
                <w:lang w:eastAsia="en-GB"/>
                <w14:ligatures w14:val="none"/>
              </w:rPr>
            </w:pPr>
            <w:r w:rsidRPr="001D0253">
              <w:rPr>
                <w:rFonts w:ascii="Arial" w:eastAsia="Times New Roman" w:hAnsi="Arial" w:cs="Arial"/>
                <w:b/>
                <w:bCs/>
                <w:color w:val="004147"/>
                <w:kern w:val="0"/>
                <w:sz w:val="20"/>
                <w:szCs w:val="20"/>
                <w:lang w:eastAsia="en-GB"/>
                <w14:ligatures w14:val="none"/>
              </w:rPr>
              <w:t>Leavers for 2024</w:t>
            </w:r>
          </w:p>
        </w:tc>
        <w:tc>
          <w:tcPr>
            <w:tcW w:w="1332" w:type="dxa"/>
            <w:tcBorders>
              <w:top w:val="nil"/>
              <w:left w:val="nil"/>
              <w:bottom w:val="single" w:sz="4" w:space="0" w:color="auto"/>
              <w:right w:val="single" w:sz="4" w:space="0" w:color="auto"/>
            </w:tcBorders>
            <w:shd w:val="clear" w:color="000000" w:fill="B3D7DB"/>
            <w:vAlign w:val="center"/>
            <w:hideMark/>
          </w:tcPr>
          <w:p w14:paraId="3CB85548" w14:textId="77777777" w:rsidR="00A41135" w:rsidRPr="001D0253" w:rsidRDefault="00A41135" w:rsidP="00A41135">
            <w:pPr>
              <w:spacing w:after="0" w:line="240" w:lineRule="auto"/>
              <w:rPr>
                <w:rFonts w:ascii="Arial" w:eastAsia="Times New Roman" w:hAnsi="Arial" w:cs="Arial"/>
                <w:b/>
                <w:bCs/>
                <w:color w:val="004147"/>
                <w:kern w:val="0"/>
                <w:sz w:val="20"/>
                <w:szCs w:val="20"/>
                <w:lang w:eastAsia="en-GB"/>
                <w14:ligatures w14:val="none"/>
              </w:rPr>
            </w:pPr>
            <w:r w:rsidRPr="001D0253">
              <w:rPr>
                <w:rFonts w:ascii="Arial" w:eastAsia="Times New Roman" w:hAnsi="Arial" w:cs="Arial"/>
                <w:b/>
                <w:bCs/>
                <w:color w:val="004147"/>
                <w:kern w:val="0"/>
                <w:sz w:val="20"/>
                <w:szCs w:val="20"/>
                <w:lang w:eastAsia="en-GB"/>
                <w14:ligatures w14:val="none"/>
              </w:rPr>
              <w:t>Leavers as a % against total in each Department</w:t>
            </w:r>
          </w:p>
        </w:tc>
        <w:tc>
          <w:tcPr>
            <w:tcW w:w="1272" w:type="dxa"/>
            <w:tcBorders>
              <w:top w:val="nil"/>
              <w:left w:val="nil"/>
              <w:bottom w:val="single" w:sz="4" w:space="0" w:color="auto"/>
              <w:right w:val="single" w:sz="4" w:space="0" w:color="auto"/>
            </w:tcBorders>
            <w:shd w:val="clear" w:color="000000" w:fill="B3D7DB"/>
            <w:vAlign w:val="center"/>
            <w:hideMark/>
          </w:tcPr>
          <w:p w14:paraId="06AC829A" w14:textId="77777777" w:rsidR="00A41135" w:rsidRPr="001D0253" w:rsidRDefault="00A41135" w:rsidP="00A41135">
            <w:pPr>
              <w:spacing w:after="0" w:line="240" w:lineRule="auto"/>
              <w:rPr>
                <w:rFonts w:ascii="Arial" w:eastAsia="Times New Roman" w:hAnsi="Arial" w:cs="Arial"/>
                <w:b/>
                <w:bCs/>
                <w:color w:val="004147"/>
                <w:kern w:val="0"/>
                <w:sz w:val="20"/>
                <w:szCs w:val="20"/>
                <w:lang w:eastAsia="en-GB"/>
                <w14:ligatures w14:val="none"/>
              </w:rPr>
            </w:pPr>
            <w:r w:rsidRPr="001D0253">
              <w:rPr>
                <w:rFonts w:ascii="Arial" w:eastAsia="Times New Roman" w:hAnsi="Arial" w:cs="Arial"/>
                <w:b/>
                <w:bCs/>
                <w:color w:val="004147"/>
                <w:kern w:val="0"/>
                <w:sz w:val="20"/>
                <w:szCs w:val="20"/>
                <w:lang w:eastAsia="en-GB"/>
                <w14:ligatures w14:val="none"/>
              </w:rPr>
              <w:t xml:space="preserve">Positions vacant </w:t>
            </w:r>
          </w:p>
        </w:tc>
        <w:tc>
          <w:tcPr>
            <w:tcW w:w="1332" w:type="dxa"/>
            <w:tcBorders>
              <w:top w:val="nil"/>
              <w:left w:val="nil"/>
              <w:bottom w:val="single" w:sz="4" w:space="0" w:color="auto"/>
              <w:right w:val="single" w:sz="4" w:space="0" w:color="auto"/>
            </w:tcBorders>
            <w:shd w:val="clear" w:color="000000" w:fill="B3D7DB"/>
            <w:vAlign w:val="center"/>
            <w:hideMark/>
          </w:tcPr>
          <w:p w14:paraId="231B0073" w14:textId="77777777" w:rsidR="00A41135" w:rsidRPr="001D0253" w:rsidRDefault="00A41135" w:rsidP="00A41135">
            <w:pPr>
              <w:spacing w:after="0" w:line="240" w:lineRule="auto"/>
              <w:rPr>
                <w:rFonts w:ascii="Arial" w:eastAsia="Times New Roman" w:hAnsi="Arial" w:cs="Arial"/>
                <w:b/>
                <w:bCs/>
                <w:color w:val="004147"/>
                <w:kern w:val="0"/>
                <w:sz w:val="20"/>
                <w:szCs w:val="20"/>
                <w:lang w:eastAsia="en-GB"/>
                <w14:ligatures w14:val="none"/>
              </w:rPr>
            </w:pPr>
            <w:r w:rsidRPr="001D0253">
              <w:rPr>
                <w:rFonts w:ascii="Arial" w:eastAsia="Times New Roman" w:hAnsi="Arial" w:cs="Arial"/>
                <w:b/>
                <w:bCs/>
                <w:color w:val="004147"/>
                <w:kern w:val="0"/>
                <w:sz w:val="20"/>
                <w:szCs w:val="20"/>
                <w:lang w:eastAsia="en-GB"/>
                <w14:ligatures w14:val="none"/>
              </w:rPr>
              <w:t>Vacancies as a % against total in each Department</w:t>
            </w:r>
          </w:p>
        </w:tc>
        <w:tc>
          <w:tcPr>
            <w:tcW w:w="1272" w:type="dxa"/>
            <w:tcBorders>
              <w:top w:val="nil"/>
              <w:left w:val="nil"/>
              <w:bottom w:val="single" w:sz="4" w:space="0" w:color="auto"/>
              <w:right w:val="single" w:sz="4" w:space="0" w:color="auto"/>
            </w:tcBorders>
            <w:shd w:val="clear" w:color="000000" w:fill="B3D7DB"/>
            <w:vAlign w:val="center"/>
            <w:hideMark/>
          </w:tcPr>
          <w:p w14:paraId="5DECFF96" w14:textId="77777777" w:rsidR="00A41135" w:rsidRPr="001D0253" w:rsidRDefault="00A41135" w:rsidP="00A41135">
            <w:pPr>
              <w:spacing w:after="0" w:line="240" w:lineRule="auto"/>
              <w:rPr>
                <w:rFonts w:ascii="Arial" w:eastAsia="Times New Roman" w:hAnsi="Arial" w:cs="Arial"/>
                <w:b/>
                <w:bCs/>
                <w:color w:val="004147"/>
                <w:kern w:val="0"/>
                <w:sz w:val="20"/>
                <w:szCs w:val="20"/>
                <w:lang w:eastAsia="en-GB"/>
                <w14:ligatures w14:val="none"/>
              </w:rPr>
            </w:pPr>
            <w:r w:rsidRPr="001D0253">
              <w:rPr>
                <w:rFonts w:ascii="Arial" w:eastAsia="Times New Roman" w:hAnsi="Arial" w:cs="Arial"/>
                <w:b/>
                <w:bCs/>
                <w:color w:val="004147"/>
                <w:kern w:val="0"/>
                <w:sz w:val="20"/>
                <w:szCs w:val="20"/>
                <w:lang w:eastAsia="en-GB"/>
                <w14:ligatures w14:val="none"/>
              </w:rPr>
              <w:t xml:space="preserve">Positions filled </w:t>
            </w:r>
          </w:p>
        </w:tc>
        <w:tc>
          <w:tcPr>
            <w:tcW w:w="1332" w:type="dxa"/>
            <w:tcBorders>
              <w:top w:val="nil"/>
              <w:left w:val="nil"/>
              <w:bottom w:val="single" w:sz="4" w:space="0" w:color="auto"/>
              <w:right w:val="single" w:sz="4" w:space="0" w:color="auto"/>
            </w:tcBorders>
            <w:shd w:val="clear" w:color="000000" w:fill="B3D7DB"/>
            <w:vAlign w:val="center"/>
            <w:hideMark/>
          </w:tcPr>
          <w:p w14:paraId="68160617" w14:textId="77777777" w:rsidR="00A41135" w:rsidRPr="001D0253" w:rsidRDefault="00A41135" w:rsidP="00A41135">
            <w:pPr>
              <w:spacing w:after="0" w:line="240" w:lineRule="auto"/>
              <w:rPr>
                <w:rFonts w:ascii="Arial" w:eastAsia="Times New Roman" w:hAnsi="Arial" w:cs="Arial"/>
                <w:b/>
                <w:bCs/>
                <w:color w:val="004147"/>
                <w:kern w:val="0"/>
                <w:sz w:val="20"/>
                <w:szCs w:val="20"/>
                <w:lang w:eastAsia="en-GB"/>
                <w14:ligatures w14:val="none"/>
              </w:rPr>
            </w:pPr>
            <w:r w:rsidRPr="001D0253">
              <w:rPr>
                <w:rFonts w:ascii="Arial" w:eastAsia="Times New Roman" w:hAnsi="Arial" w:cs="Arial"/>
                <w:b/>
                <w:bCs/>
                <w:color w:val="004147"/>
                <w:kern w:val="0"/>
                <w:sz w:val="20"/>
                <w:szCs w:val="20"/>
                <w:lang w:eastAsia="en-GB"/>
                <w14:ligatures w14:val="none"/>
              </w:rPr>
              <w:t>Positions filled as a % of total in each Department</w:t>
            </w:r>
          </w:p>
        </w:tc>
        <w:tc>
          <w:tcPr>
            <w:tcW w:w="222" w:type="dxa"/>
            <w:vAlign w:val="center"/>
            <w:hideMark/>
          </w:tcPr>
          <w:p w14:paraId="2FF49013"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09033D1D" w14:textId="77777777" w:rsidTr="00A41135">
        <w:trPr>
          <w:trHeight w:val="600"/>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689E3034"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Audio technical Department</w:t>
            </w:r>
          </w:p>
        </w:tc>
        <w:tc>
          <w:tcPr>
            <w:tcW w:w="1332" w:type="dxa"/>
            <w:tcBorders>
              <w:top w:val="nil"/>
              <w:left w:val="nil"/>
              <w:bottom w:val="single" w:sz="4" w:space="0" w:color="auto"/>
              <w:right w:val="single" w:sz="4" w:space="0" w:color="auto"/>
            </w:tcBorders>
            <w:shd w:val="clear" w:color="000000" w:fill="FFFFFF"/>
            <w:noWrap/>
            <w:vAlign w:val="bottom"/>
            <w:hideMark/>
          </w:tcPr>
          <w:p w14:paraId="17AC29CA"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26</w:t>
            </w:r>
          </w:p>
        </w:tc>
        <w:tc>
          <w:tcPr>
            <w:tcW w:w="1271" w:type="dxa"/>
            <w:tcBorders>
              <w:top w:val="nil"/>
              <w:left w:val="nil"/>
              <w:bottom w:val="single" w:sz="4" w:space="0" w:color="auto"/>
              <w:right w:val="single" w:sz="4" w:space="0" w:color="auto"/>
            </w:tcBorders>
            <w:shd w:val="clear" w:color="000000" w:fill="FFFFFF"/>
            <w:noWrap/>
            <w:vAlign w:val="bottom"/>
            <w:hideMark/>
          </w:tcPr>
          <w:p w14:paraId="42CBD744"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6</w:t>
            </w:r>
          </w:p>
        </w:tc>
        <w:tc>
          <w:tcPr>
            <w:tcW w:w="1332" w:type="dxa"/>
            <w:tcBorders>
              <w:top w:val="nil"/>
              <w:left w:val="nil"/>
              <w:bottom w:val="single" w:sz="4" w:space="0" w:color="auto"/>
              <w:right w:val="single" w:sz="4" w:space="0" w:color="auto"/>
            </w:tcBorders>
            <w:shd w:val="clear" w:color="000000" w:fill="FFFFFF"/>
            <w:noWrap/>
            <w:vAlign w:val="bottom"/>
            <w:hideMark/>
          </w:tcPr>
          <w:p w14:paraId="210E1DFA"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23.08%</w:t>
            </w:r>
          </w:p>
        </w:tc>
        <w:tc>
          <w:tcPr>
            <w:tcW w:w="1272" w:type="dxa"/>
            <w:tcBorders>
              <w:top w:val="nil"/>
              <w:left w:val="nil"/>
              <w:bottom w:val="single" w:sz="4" w:space="0" w:color="auto"/>
              <w:right w:val="single" w:sz="4" w:space="0" w:color="auto"/>
            </w:tcBorders>
            <w:shd w:val="clear" w:color="000000" w:fill="FFFFFF"/>
            <w:noWrap/>
            <w:vAlign w:val="bottom"/>
            <w:hideMark/>
          </w:tcPr>
          <w:p w14:paraId="35A0C43B"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8</w:t>
            </w:r>
          </w:p>
        </w:tc>
        <w:tc>
          <w:tcPr>
            <w:tcW w:w="1332" w:type="dxa"/>
            <w:tcBorders>
              <w:top w:val="nil"/>
              <w:left w:val="nil"/>
              <w:bottom w:val="single" w:sz="4" w:space="0" w:color="auto"/>
              <w:right w:val="single" w:sz="4" w:space="0" w:color="auto"/>
            </w:tcBorders>
            <w:shd w:val="clear" w:color="000000" w:fill="FFFFFF"/>
            <w:noWrap/>
            <w:vAlign w:val="bottom"/>
            <w:hideMark/>
          </w:tcPr>
          <w:p w14:paraId="7394DF0D"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30.77%</w:t>
            </w:r>
          </w:p>
        </w:tc>
        <w:tc>
          <w:tcPr>
            <w:tcW w:w="1272" w:type="dxa"/>
            <w:tcBorders>
              <w:top w:val="nil"/>
              <w:left w:val="nil"/>
              <w:bottom w:val="single" w:sz="4" w:space="0" w:color="auto"/>
              <w:right w:val="single" w:sz="4" w:space="0" w:color="auto"/>
            </w:tcBorders>
            <w:shd w:val="clear" w:color="000000" w:fill="FFFFFF"/>
            <w:noWrap/>
            <w:vAlign w:val="bottom"/>
            <w:hideMark/>
          </w:tcPr>
          <w:p w14:paraId="313DEAD6"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2F66E9FC"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11.54%</w:t>
            </w:r>
          </w:p>
        </w:tc>
        <w:tc>
          <w:tcPr>
            <w:tcW w:w="222" w:type="dxa"/>
            <w:vAlign w:val="center"/>
            <w:hideMark/>
          </w:tcPr>
          <w:p w14:paraId="1A2B4503"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0CCCF313"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D0E0E2"/>
            <w:noWrap/>
            <w:vAlign w:val="bottom"/>
            <w:hideMark/>
          </w:tcPr>
          <w:p w14:paraId="5C4C3DC7"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3EAD6A1"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1338C871"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046E4489"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1547F910"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052AA49F"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4FFA1804"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48782A65"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222" w:type="dxa"/>
            <w:vAlign w:val="center"/>
            <w:hideMark/>
          </w:tcPr>
          <w:p w14:paraId="44FF2F78"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2CDCDC8C"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FFFFFF"/>
            <w:noWrap/>
            <w:vAlign w:val="bottom"/>
            <w:hideMark/>
          </w:tcPr>
          <w:p w14:paraId="2D95E9A2"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Offices and Administration</w:t>
            </w:r>
          </w:p>
        </w:tc>
        <w:tc>
          <w:tcPr>
            <w:tcW w:w="1332" w:type="dxa"/>
            <w:tcBorders>
              <w:top w:val="nil"/>
              <w:left w:val="nil"/>
              <w:bottom w:val="single" w:sz="4" w:space="0" w:color="auto"/>
              <w:right w:val="single" w:sz="4" w:space="0" w:color="auto"/>
            </w:tcBorders>
            <w:shd w:val="clear" w:color="000000" w:fill="FFFFFF"/>
            <w:noWrap/>
            <w:vAlign w:val="bottom"/>
            <w:hideMark/>
          </w:tcPr>
          <w:p w14:paraId="6B30BB7F"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15</w:t>
            </w:r>
          </w:p>
        </w:tc>
        <w:tc>
          <w:tcPr>
            <w:tcW w:w="1271" w:type="dxa"/>
            <w:tcBorders>
              <w:top w:val="nil"/>
              <w:left w:val="nil"/>
              <w:bottom w:val="single" w:sz="4" w:space="0" w:color="auto"/>
              <w:right w:val="single" w:sz="4" w:space="0" w:color="auto"/>
            </w:tcBorders>
            <w:shd w:val="clear" w:color="000000" w:fill="FFFFFF"/>
            <w:noWrap/>
            <w:vAlign w:val="bottom"/>
            <w:hideMark/>
          </w:tcPr>
          <w:p w14:paraId="4795FA90"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5FBA30DD"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26.67%</w:t>
            </w:r>
          </w:p>
        </w:tc>
        <w:tc>
          <w:tcPr>
            <w:tcW w:w="1272" w:type="dxa"/>
            <w:tcBorders>
              <w:top w:val="nil"/>
              <w:left w:val="nil"/>
              <w:bottom w:val="single" w:sz="4" w:space="0" w:color="auto"/>
              <w:right w:val="single" w:sz="4" w:space="0" w:color="auto"/>
            </w:tcBorders>
            <w:shd w:val="clear" w:color="000000" w:fill="FFFFFF"/>
            <w:noWrap/>
            <w:vAlign w:val="bottom"/>
            <w:hideMark/>
          </w:tcPr>
          <w:p w14:paraId="04F1843A"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406A54CD"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33.33%</w:t>
            </w:r>
          </w:p>
        </w:tc>
        <w:tc>
          <w:tcPr>
            <w:tcW w:w="1272" w:type="dxa"/>
            <w:tcBorders>
              <w:top w:val="nil"/>
              <w:left w:val="nil"/>
              <w:bottom w:val="single" w:sz="4" w:space="0" w:color="auto"/>
              <w:right w:val="single" w:sz="4" w:space="0" w:color="auto"/>
            </w:tcBorders>
            <w:shd w:val="clear" w:color="000000" w:fill="FFFFFF"/>
            <w:noWrap/>
            <w:vAlign w:val="bottom"/>
            <w:hideMark/>
          </w:tcPr>
          <w:p w14:paraId="4A440AFF"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2F66C044"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33.33%</w:t>
            </w:r>
          </w:p>
        </w:tc>
        <w:tc>
          <w:tcPr>
            <w:tcW w:w="222" w:type="dxa"/>
            <w:vAlign w:val="center"/>
            <w:hideMark/>
          </w:tcPr>
          <w:p w14:paraId="13EAAC33"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354F17DB"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D0E0E2"/>
            <w:noWrap/>
            <w:vAlign w:val="bottom"/>
            <w:hideMark/>
          </w:tcPr>
          <w:p w14:paraId="3005AD4B"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64D5E631"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7CECDEBB"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2629B295"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28B4C157"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3969FDD3"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323B4B9D"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27D09636"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222" w:type="dxa"/>
            <w:vAlign w:val="center"/>
            <w:hideMark/>
          </w:tcPr>
          <w:p w14:paraId="081F56BC"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66F005DB"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FFFFFF"/>
            <w:noWrap/>
            <w:vAlign w:val="bottom"/>
            <w:hideMark/>
          </w:tcPr>
          <w:p w14:paraId="3652F0D2"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Research and Development</w:t>
            </w:r>
          </w:p>
        </w:tc>
        <w:tc>
          <w:tcPr>
            <w:tcW w:w="1332" w:type="dxa"/>
            <w:tcBorders>
              <w:top w:val="nil"/>
              <w:left w:val="nil"/>
              <w:bottom w:val="single" w:sz="4" w:space="0" w:color="auto"/>
              <w:right w:val="single" w:sz="4" w:space="0" w:color="auto"/>
            </w:tcBorders>
            <w:shd w:val="clear" w:color="000000" w:fill="FFFFFF"/>
            <w:noWrap/>
            <w:vAlign w:val="bottom"/>
            <w:hideMark/>
          </w:tcPr>
          <w:p w14:paraId="26ED6DF9"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8</w:t>
            </w:r>
          </w:p>
        </w:tc>
        <w:tc>
          <w:tcPr>
            <w:tcW w:w="1271" w:type="dxa"/>
            <w:tcBorders>
              <w:top w:val="nil"/>
              <w:left w:val="nil"/>
              <w:bottom w:val="single" w:sz="4" w:space="0" w:color="auto"/>
              <w:right w:val="single" w:sz="4" w:space="0" w:color="auto"/>
            </w:tcBorders>
            <w:shd w:val="clear" w:color="000000" w:fill="FFFFFF"/>
            <w:noWrap/>
            <w:vAlign w:val="bottom"/>
            <w:hideMark/>
          </w:tcPr>
          <w:p w14:paraId="7DA0C072"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1B03D133"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12.50%</w:t>
            </w:r>
          </w:p>
        </w:tc>
        <w:tc>
          <w:tcPr>
            <w:tcW w:w="1272" w:type="dxa"/>
            <w:tcBorders>
              <w:top w:val="nil"/>
              <w:left w:val="nil"/>
              <w:bottom w:val="single" w:sz="4" w:space="0" w:color="auto"/>
              <w:right w:val="single" w:sz="4" w:space="0" w:color="auto"/>
            </w:tcBorders>
            <w:shd w:val="clear" w:color="000000" w:fill="FFFFFF"/>
            <w:noWrap/>
            <w:vAlign w:val="bottom"/>
            <w:hideMark/>
          </w:tcPr>
          <w:p w14:paraId="7C7D47B2"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6D348461"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50.00%</w:t>
            </w:r>
          </w:p>
        </w:tc>
        <w:tc>
          <w:tcPr>
            <w:tcW w:w="1272" w:type="dxa"/>
            <w:tcBorders>
              <w:top w:val="nil"/>
              <w:left w:val="nil"/>
              <w:bottom w:val="single" w:sz="4" w:space="0" w:color="auto"/>
              <w:right w:val="single" w:sz="4" w:space="0" w:color="auto"/>
            </w:tcBorders>
            <w:shd w:val="clear" w:color="000000" w:fill="FFFFFF"/>
            <w:noWrap/>
            <w:vAlign w:val="bottom"/>
            <w:hideMark/>
          </w:tcPr>
          <w:p w14:paraId="12C75BE0"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051C63BD"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50.00%</w:t>
            </w:r>
          </w:p>
        </w:tc>
        <w:tc>
          <w:tcPr>
            <w:tcW w:w="222" w:type="dxa"/>
            <w:vAlign w:val="center"/>
            <w:hideMark/>
          </w:tcPr>
          <w:p w14:paraId="2D2B0874"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012085D4"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D0E0E2"/>
            <w:noWrap/>
            <w:vAlign w:val="bottom"/>
            <w:hideMark/>
          </w:tcPr>
          <w:p w14:paraId="211D99D9"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7A3D3E8"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330515FE"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65297947"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031E87FE"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4553BDAA"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38A00AE9"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6ECF698E"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222" w:type="dxa"/>
            <w:vAlign w:val="center"/>
            <w:hideMark/>
          </w:tcPr>
          <w:p w14:paraId="26114F6B"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17E75EB4"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FFFFFF"/>
            <w:noWrap/>
            <w:vAlign w:val="bottom"/>
            <w:hideMark/>
          </w:tcPr>
          <w:p w14:paraId="57BAD434"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Quality control</w:t>
            </w:r>
          </w:p>
        </w:tc>
        <w:tc>
          <w:tcPr>
            <w:tcW w:w="1332" w:type="dxa"/>
            <w:tcBorders>
              <w:top w:val="nil"/>
              <w:left w:val="nil"/>
              <w:bottom w:val="single" w:sz="4" w:space="0" w:color="auto"/>
              <w:right w:val="single" w:sz="4" w:space="0" w:color="auto"/>
            </w:tcBorders>
            <w:shd w:val="clear" w:color="000000" w:fill="FFFFFF"/>
            <w:noWrap/>
            <w:vAlign w:val="bottom"/>
            <w:hideMark/>
          </w:tcPr>
          <w:p w14:paraId="356BC5F4"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4</w:t>
            </w:r>
          </w:p>
        </w:tc>
        <w:tc>
          <w:tcPr>
            <w:tcW w:w="1271" w:type="dxa"/>
            <w:tcBorders>
              <w:top w:val="nil"/>
              <w:left w:val="nil"/>
              <w:bottom w:val="single" w:sz="4" w:space="0" w:color="auto"/>
              <w:right w:val="single" w:sz="4" w:space="0" w:color="auto"/>
            </w:tcBorders>
            <w:shd w:val="clear" w:color="000000" w:fill="FFFFFF"/>
            <w:noWrap/>
            <w:vAlign w:val="bottom"/>
            <w:hideMark/>
          </w:tcPr>
          <w:p w14:paraId="0295F8A3"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w:t>
            </w:r>
          </w:p>
        </w:tc>
        <w:tc>
          <w:tcPr>
            <w:tcW w:w="1332" w:type="dxa"/>
            <w:tcBorders>
              <w:top w:val="nil"/>
              <w:left w:val="nil"/>
              <w:bottom w:val="single" w:sz="4" w:space="0" w:color="auto"/>
              <w:right w:val="single" w:sz="4" w:space="0" w:color="auto"/>
            </w:tcBorders>
            <w:shd w:val="clear" w:color="000000" w:fill="FFFFFF"/>
            <w:noWrap/>
            <w:vAlign w:val="bottom"/>
            <w:hideMark/>
          </w:tcPr>
          <w:p w14:paraId="4E703445"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50.00%</w:t>
            </w:r>
          </w:p>
        </w:tc>
        <w:tc>
          <w:tcPr>
            <w:tcW w:w="1272" w:type="dxa"/>
            <w:tcBorders>
              <w:top w:val="nil"/>
              <w:left w:val="nil"/>
              <w:bottom w:val="single" w:sz="4" w:space="0" w:color="auto"/>
              <w:right w:val="single" w:sz="4" w:space="0" w:color="auto"/>
            </w:tcBorders>
            <w:shd w:val="clear" w:color="000000" w:fill="FFFFFF"/>
            <w:noWrap/>
            <w:vAlign w:val="bottom"/>
            <w:hideMark/>
          </w:tcPr>
          <w:p w14:paraId="4192179B"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1CA06C4E"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75.00%</w:t>
            </w:r>
          </w:p>
        </w:tc>
        <w:tc>
          <w:tcPr>
            <w:tcW w:w="1272" w:type="dxa"/>
            <w:tcBorders>
              <w:top w:val="nil"/>
              <w:left w:val="nil"/>
              <w:bottom w:val="single" w:sz="4" w:space="0" w:color="auto"/>
              <w:right w:val="single" w:sz="4" w:space="0" w:color="auto"/>
            </w:tcBorders>
            <w:shd w:val="clear" w:color="000000" w:fill="FFFFFF"/>
            <w:noWrap/>
            <w:vAlign w:val="bottom"/>
            <w:hideMark/>
          </w:tcPr>
          <w:p w14:paraId="51679B64"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0EC127DE"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75.00%</w:t>
            </w:r>
          </w:p>
        </w:tc>
        <w:tc>
          <w:tcPr>
            <w:tcW w:w="222" w:type="dxa"/>
            <w:vAlign w:val="center"/>
            <w:hideMark/>
          </w:tcPr>
          <w:p w14:paraId="23232FA4"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3DC212F6"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D0E0E2"/>
            <w:noWrap/>
            <w:vAlign w:val="bottom"/>
            <w:hideMark/>
          </w:tcPr>
          <w:p w14:paraId="2228D4BE"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3763D17"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3A125A72"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6D249F01"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30F4D02B"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3AE2BD31"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2780C3CA"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11E3DEB3"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222" w:type="dxa"/>
            <w:vAlign w:val="center"/>
            <w:hideMark/>
          </w:tcPr>
          <w:p w14:paraId="6DE322FC"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62BEE411"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FFFFFF"/>
            <w:noWrap/>
            <w:vAlign w:val="bottom"/>
            <w:hideMark/>
          </w:tcPr>
          <w:p w14:paraId="595E331E"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xml:space="preserve">Dispatch </w:t>
            </w:r>
          </w:p>
        </w:tc>
        <w:tc>
          <w:tcPr>
            <w:tcW w:w="1332" w:type="dxa"/>
            <w:tcBorders>
              <w:top w:val="nil"/>
              <w:left w:val="nil"/>
              <w:bottom w:val="single" w:sz="4" w:space="0" w:color="auto"/>
              <w:right w:val="single" w:sz="4" w:space="0" w:color="auto"/>
            </w:tcBorders>
            <w:shd w:val="clear" w:color="000000" w:fill="FFFFFF"/>
            <w:noWrap/>
            <w:vAlign w:val="bottom"/>
            <w:hideMark/>
          </w:tcPr>
          <w:p w14:paraId="0DDBF83E"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15</w:t>
            </w:r>
          </w:p>
        </w:tc>
        <w:tc>
          <w:tcPr>
            <w:tcW w:w="1271" w:type="dxa"/>
            <w:tcBorders>
              <w:top w:val="nil"/>
              <w:left w:val="nil"/>
              <w:bottom w:val="single" w:sz="4" w:space="0" w:color="auto"/>
              <w:right w:val="single" w:sz="4" w:space="0" w:color="auto"/>
            </w:tcBorders>
            <w:shd w:val="clear" w:color="000000" w:fill="FFFFFF"/>
            <w:noWrap/>
            <w:vAlign w:val="bottom"/>
            <w:hideMark/>
          </w:tcPr>
          <w:p w14:paraId="4ACF1D0B"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069A0385"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26.67%</w:t>
            </w:r>
          </w:p>
        </w:tc>
        <w:tc>
          <w:tcPr>
            <w:tcW w:w="1272" w:type="dxa"/>
            <w:tcBorders>
              <w:top w:val="nil"/>
              <w:left w:val="nil"/>
              <w:bottom w:val="single" w:sz="4" w:space="0" w:color="auto"/>
              <w:right w:val="single" w:sz="4" w:space="0" w:color="auto"/>
            </w:tcBorders>
            <w:shd w:val="clear" w:color="000000" w:fill="FFFFFF"/>
            <w:noWrap/>
            <w:vAlign w:val="bottom"/>
            <w:hideMark/>
          </w:tcPr>
          <w:p w14:paraId="5D85B498"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6</w:t>
            </w:r>
          </w:p>
        </w:tc>
        <w:tc>
          <w:tcPr>
            <w:tcW w:w="1332" w:type="dxa"/>
            <w:tcBorders>
              <w:top w:val="nil"/>
              <w:left w:val="nil"/>
              <w:bottom w:val="single" w:sz="4" w:space="0" w:color="auto"/>
              <w:right w:val="single" w:sz="4" w:space="0" w:color="auto"/>
            </w:tcBorders>
            <w:shd w:val="clear" w:color="000000" w:fill="FFFFFF"/>
            <w:noWrap/>
            <w:vAlign w:val="bottom"/>
            <w:hideMark/>
          </w:tcPr>
          <w:p w14:paraId="6D6E1CA8"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40.00%</w:t>
            </w:r>
          </w:p>
        </w:tc>
        <w:tc>
          <w:tcPr>
            <w:tcW w:w="1272" w:type="dxa"/>
            <w:tcBorders>
              <w:top w:val="nil"/>
              <w:left w:val="nil"/>
              <w:bottom w:val="single" w:sz="4" w:space="0" w:color="auto"/>
              <w:right w:val="single" w:sz="4" w:space="0" w:color="auto"/>
            </w:tcBorders>
            <w:shd w:val="clear" w:color="000000" w:fill="FFFFFF"/>
            <w:noWrap/>
            <w:vAlign w:val="bottom"/>
            <w:hideMark/>
          </w:tcPr>
          <w:p w14:paraId="344E5962"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6</w:t>
            </w:r>
          </w:p>
        </w:tc>
        <w:tc>
          <w:tcPr>
            <w:tcW w:w="1332" w:type="dxa"/>
            <w:tcBorders>
              <w:top w:val="nil"/>
              <w:left w:val="nil"/>
              <w:bottom w:val="single" w:sz="4" w:space="0" w:color="auto"/>
              <w:right w:val="single" w:sz="4" w:space="0" w:color="auto"/>
            </w:tcBorders>
            <w:shd w:val="clear" w:color="000000" w:fill="FFFFFF"/>
            <w:noWrap/>
            <w:vAlign w:val="bottom"/>
            <w:hideMark/>
          </w:tcPr>
          <w:p w14:paraId="3CC7E449"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40.00%</w:t>
            </w:r>
          </w:p>
        </w:tc>
        <w:tc>
          <w:tcPr>
            <w:tcW w:w="222" w:type="dxa"/>
            <w:vAlign w:val="center"/>
            <w:hideMark/>
          </w:tcPr>
          <w:p w14:paraId="5B8D9CA2"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4FDDC7D0"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D0E0E2"/>
            <w:noWrap/>
            <w:vAlign w:val="bottom"/>
            <w:hideMark/>
          </w:tcPr>
          <w:p w14:paraId="50404B9F"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4DA1FEBC"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5AB64252"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1D1B1D55"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3440FBAE"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3C0405B9"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015C56F0"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4E7FE8AA"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222" w:type="dxa"/>
            <w:vAlign w:val="center"/>
            <w:hideMark/>
          </w:tcPr>
          <w:p w14:paraId="1C0D936F"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3B152DFA"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FFFFFF"/>
            <w:noWrap/>
            <w:vAlign w:val="bottom"/>
            <w:hideMark/>
          </w:tcPr>
          <w:p w14:paraId="0A476323"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xml:space="preserve">Engineering </w:t>
            </w:r>
          </w:p>
        </w:tc>
        <w:tc>
          <w:tcPr>
            <w:tcW w:w="1332" w:type="dxa"/>
            <w:tcBorders>
              <w:top w:val="nil"/>
              <w:left w:val="nil"/>
              <w:bottom w:val="single" w:sz="4" w:space="0" w:color="auto"/>
              <w:right w:val="single" w:sz="4" w:space="0" w:color="auto"/>
            </w:tcBorders>
            <w:shd w:val="clear" w:color="000000" w:fill="FFFFFF"/>
            <w:noWrap/>
            <w:vAlign w:val="bottom"/>
            <w:hideMark/>
          </w:tcPr>
          <w:p w14:paraId="6FB2F0C1"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35</w:t>
            </w:r>
          </w:p>
        </w:tc>
        <w:tc>
          <w:tcPr>
            <w:tcW w:w="1271" w:type="dxa"/>
            <w:tcBorders>
              <w:top w:val="nil"/>
              <w:left w:val="nil"/>
              <w:bottom w:val="single" w:sz="4" w:space="0" w:color="auto"/>
              <w:right w:val="single" w:sz="4" w:space="0" w:color="auto"/>
            </w:tcBorders>
            <w:shd w:val="clear" w:color="000000" w:fill="FFFFFF"/>
            <w:noWrap/>
            <w:vAlign w:val="bottom"/>
            <w:hideMark/>
          </w:tcPr>
          <w:p w14:paraId="3ECB2169"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8</w:t>
            </w:r>
          </w:p>
        </w:tc>
        <w:tc>
          <w:tcPr>
            <w:tcW w:w="1332" w:type="dxa"/>
            <w:tcBorders>
              <w:top w:val="nil"/>
              <w:left w:val="nil"/>
              <w:bottom w:val="single" w:sz="4" w:space="0" w:color="auto"/>
              <w:right w:val="single" w:sz="4" w:space="0" w:color="auto"/>
            </w:tcBorders>
            <w:shd w:val="clear" w:color="000000" w:fill="FFFFFF"/>
            <w:noWrap/>
            <w:vAlign w:val="bottom"/>
            <w:hideMark/>
          </w:tcPr>
          <w:p w14:paraId="11CD9862"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22.86%</w:t>
            </w:r>
          </w:p>
        </w:tc>
        <w:tc>
          <w:tcPr>
            <w:tcW w:w="1272" w:type="dxa"/>
            <w:tcBorders>
              <w:top w:val="nil"/>
              <w:left w:val="nil"/>
              <w:bottom w:val="single" w:sz="4" w:space="0" w:color="auto"/>
              <w:right w:val="single" w:sz="4" w:space="0" w:color="auto"/>
            </w:tcBorders>
            <w:shd w:val="clear" w:color="000000" w:fill="FFFFFF"/>
            <w:noWrap/>
            <w:vAlign w:val="bottom"/>
            <w:hideMark/>
          </w:tcPr>
          <w:p w14:paraId="175B95E9"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8</w:t>
            </w:r>
          </w:p>
        </w:tc>
        <w:tc>
          <w:tcPr>
            <w:tcW w:w="1332" w:type="dxa"/>
            <w:tcBorders>
              <w:top w:val="nil"/>
              <w:left w:val="nil"/>
              <w:bottom w:val="single" w:sz="4" w:space="0" w:color="auto"/>
              <w:right w:val="single" w:sz="4" w:space="0" w:color="auto"/>
            </w:tcBorders>
            <w:shd w:val="clear" w:color="000000" w:fill="FFFFFF"/>
            <w:noWrap/>
            <w:vAlign w:val="bottom"/>
            <w:hideMark/>
          </w:tcPr>
          <w:p w14:paraId="2F92C8DD"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22.86%</w:t>
            </w:r>
          </w:p>
        </w:tc>
        <w:tc>
          <w:tcPr>
            <w:tcW w:w="1272" w:type="dxa"/>
            <w:tcBorders>
              <w:top w:val="nil"/>
              <w:left w:val="nil"/>
              <w:bottom w:val="single" w:sz="4" w:space="0" w:color="auto"/>
              <w:right w:val="single" w:sz="4" w:space="0" w:color="auto"/>
            </w:tcBorders>
            <w:shd w:val="clear" w:color="000000" w:fill="FFFFFF"/>
            <w:noWrap/>
            <w:vAlign w:val="bottom"/>
            <w:hideMark/>
          </w:tcPr>
          <w:p w14:paraId="2D30891F"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3A094500"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8.57%</w:t>
            </w:r>
          </w:p>
        </w:tc>
        <w:tc>
          <w:tcPr>
            <w:tcW w:w="222" w:type="dxa"/>
            <w:vAlign w:val="center"/>
            <w:hideMark/>
          </w:tcPr>
          <w:p w14:paraId="10A8E992"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2B6F82E7"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D0E0E2"/>
            <w:noWrap/>
            <w:vAlign w:val="bottom"/>
            <w:hideMark/>
          </w:tcPr>
          <w:p w14:paraId="3691A28B"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C15765B"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2E6A3BF4"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3C8AD0A3"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3472E49E"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36B94E5A"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7DFF9B13"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51ED1393"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222" w:type="dxa"/>
            <w:vAlign w:val="center"/>
            <w:hideMark/>
          </w:tcPr>
          <w:p w14:paraId="0F14C8FE"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0CCC45A3"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FFFFFF"/>
            <w:noWrap/>
            <w:vAlign w:val="bottom"/>
            <w:hideMark/>
          </w:tcPr>
          <w:p w14:paraId="6FFDAE75"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xml:space="preserve">Casting Department </w:t>
            </w:r>
          </w:p>
        </w:tc>
        <w:tc>
          <w:tcPr>
            <w:tcW w:w="1332" w:type="dxa"/>
            <w:tcBorders>
              <w:top w:val="nil"/>
              <w:left w:val="nil"/>
              <w:bottom w:val="single" w:sz="4" w:space="0" w:color="auto"/>
              <w:right w:val="single" w:sz="4" w:space="0" w:color="auto"/>
            </w:tcBorders>
            <w:shd w:val="clear" w:color="000000" w:fill="FFFFFF"/>
            <w:noWrap/>
            <w:vAlign w:val="bottom"/>
            <w:hideMark/>
          </w:tcPr>
          <w:p w14:paraId="721AB6D6"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6</w:t>
            </w:r>
          </w:p>
        </w:tc>
        <w:tc>
          <w:tcPr>
            <w:tcW w:w="1271" w:type="dxa"/>
            <w:tcBorders>
              <w:top w:val="nil"/>
              <w:left w:val="nil"/>
              <w:bottom w:val="single" w:sz="4" w:space="0" w:color="auto"/>
              <w:right w:val="single" w:sz="4" w:space="0" w:color="auto"/>
            </w:tcBorders>
            <w:shd w:val="clear" w:color="000000" w:fill="FFFFFF"/>
            <w:noWrap/>
            <w:vAlign w:val="bottom"/>
            <w:hideMark/>
          </w:tcPr>
          <w:p w14:paraId="05E52529"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42CF3B49"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50.00%</w:t>
            </w:r>
          </w:p>
        </w:tc>
        <w:tc>
          <w:tcPr>
            <w:tcW w:w="1272" w:type="dxa"/>
            <w:tcBorders>
              <w:top w:val="nil"/>
              <w:left w:val="nil"/>
              <w:bottom w:val="single" w:sz="4" w:space="0" w:color="auto"/>
              <w:right w:val="single" w:sz="4" w:space="0" w:color="auto"/>
            </w:tcBorders>
            <w:shd w:val="clear" w:color="000000" w:fill="FFFFFF"/>
            <w:noWrap/>
            <w:vAlign w:val="bottom"/>
            <w:hideMark/>
          </w:tcPr>
          <w:p w14:paraId="23222B80"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70EB8804"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83.33%</w:t>
            </w:r>
          </w:p>
        </w:tc>
        <w:tc>
          <w:tcPr>
            <w:tcW w:w="1272" w:type="dxa"/>
            <w:tcBorders>
              <w:top w:val="nil"/>
              <w:left w:val="nil"/>
              <w:bottom w:val="single" w:sz="4" w:space="0" w:color="auto"/>
              <w:right w:val="single" w:sz="4" w:space="0" w:color="auto"/>
            </w:tcBorders>
            <w:shd w:val="clear" w:color="000000" w:fill="FFFFFF"/>
            <w:noWrap/>
            <w:vAlign w:val="bottom"/>
            <w:hideMark/>
          </w:tcPr>
          <w:p w14:paraId="16CDFC57"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w:t>
            </w:r>
          </w:p>
        </w:tc>
        <w:tc>
          <w:tcPr>
            <w:tcW w:w="1332" w:type="dxa"/>
            <w:tcBorders>
              <w:top w:val="nil"/>
              <w:left w:val="nil"/>
              <w:bottom w:val="single" w:sz="4" w:space="0" w:color="auto"/>
              <w:right w:val="single" w:sz="4" w:space="0" w:color="auto"/>
            </w:tcBorders>
            <w:shd w:val="clear" w:color="000000" w:fill="FFFFFF"/>
            <w:noWrap/>
            <w:vAlign w:val="bottom"/>
            <w:hideMark/>
          </w:tcPr>
          <w:p w14:paraId="775644E2"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33.33%</w:t>
            </w:r>
          </w:p>
        </w:tc>
        <w:tc>
          <w:tcPr>
            <w:tcW w:w="222" w:type="dxa"/>
            <w:vAlign w:val="center"/>
            <w:hideMark/>
          </w:tcPr>
          <w:p w14:paraId="439D838B"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4419C122"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D0E0E2"/>
            <w:noWrap/>
            <w:vAlign w:val="bottom"/>
            <w:hideMark/>
          </w:tcPr>
          <w:p w14:paraId="13984566"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53AB22F6"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67690717"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4341E163"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5170593F"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5E1CAE43"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0D561B28"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3B5C86B4"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222" w:type="dxa"/>
            <w:vAlign w:val="center"/>
            <w:hideMark/>
          </w:tcPr>
          <w:p w14:paraId="67A87191"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48E1D17A"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FFFFFF"/>
            <w:noWrap/>
            <w:vAlign w:val="bottom"/>
            <w:hideMark/>
          </w:tcPr>
          <w:p w14:paraId="2B13200D"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xml:space="preserve">Sales &amp; Marketing </w:t>
            </w:r>
          </w:p>
        </w:tc>
        <w:tc>
          <w:tcPr>
            <w:tcW w:w="1332" w:type="dxa"/>
            <w:tcBorders>
              <w:top w:val="nil"/>
              <w:left w:val="nil"/>
              <w:bottom w:val="single" w:sz="4" w:space="0" w:color="auto"/>
              <w:right w:val="single" w:sz="4" w:space="0" w:color="auto"/>
            </w:tcBorders>
            <w:shd w:val="clear" w:color="000000" w:fill="FFFFFF"/>
            <w:noWrap/>
            <w:vAlign w:val="bottom"/>
            <w:hideMark/>
          </w:tcPr>
          <w:p w14:paraId="17C15F61"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12</w:t>
            </w:r>
          </w:p>
        </w:tc>
        <w:tc>
          <w:tcPr>
            <w:tcW w:w="1271" w:type="dxa"/>
            <w:tcBorders>
              <w:top w:val="nil"/>
              <w:left w:val="nil"/>
              <w:bottom w:val="single" w:sz="4" w:space="0" w:color="auto"/>
              <w:right w:val="single" w:sz="4" w:space="0" w:color="auto"/>
            </w:tcBorders>
            <w:shd w:val="clear" w:color="000000" w:fill="FFFFFF"/>
            <w:noWrap/>
            <w:vAlign w:val="bottom"/>
            <w:hideMark/>
          </w:tcPr>
          <w:p w14:paraId="7074B8BE"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48E04D2E"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33.33%</w:t>
            </w:r>
          </w:p>
        </w:tc>
        <w:tc>
          <w:tcPr>
            <w:tcW w:w="1272" w:type="dxa"/>
            <w:tcBorders>
              <w:top w:val="nil"/>
              <w:left w:val="nil"/>
              <w:bottom w:val="single" w:sz="4" w:space="0" w:color="auto"/>
              <w:right w:val="single" w:sz="4" w:space="0" w:color="auto"/>
            </w:tcBorders>
            <w:shd w:val="clear" w:color="000000" w:fill="FFFFFF"/>
            <w:noWrap/>
            <w:vAlign w:val="bottom"/>
            <w:hideMark/>
          </w:tcPr>
          <w:p w14:paraId="5FFDB6CD"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235AAF31"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25.00%</w:t>
            </w:r>
          </w:p>
        </w:tc>
        <w:tc>
          <w:tcPr>
            <w:tcW w:w="1272" w:type="dxa"/>
            <w:tcBorders>
              <w:top w:val="nil"/>
              <w:left w:val="nil"/>
              <w:bottom w:val="single" w:sz="4" w:space="0" w:color="auto"/>
              <w:right w:val="single" w:sz="4" w:space="0" w:color="auto"/>
            </w:tcBorders>
            <w:shd w:val="clear" w:color="000000" w:fill="FFFFFF"/>
            <w:noWrap/>
            <w:vAlign w:val="bottom"/>
            <w:hideMark/>
          </w:tcPr>
          <w:p w14:paraId="68FFA0AC"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31C3D754"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25.00%</w:t>
            </w:r>
          </w:p>
        </w:tc>
        <w:tc>
          <w:tcPr>
            <w:tcW w:w="222" w:type="dxa"/>
            <w:vAlign w:val="center"/>
            <w:hideMark/>
          </w:tcPr>
          <w:p w14:paraId="41287A1F"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73D00D77"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D0E0E2"/>
            <w:noWrap/>
            <w:vAlign w:val="bottom"/>
            <w:hideMark/>
          </w:tcPr>
          <w:p w14:paraId="1A2E0379"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247FDBD"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4EDE321F"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3D35AFD8"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4FA7D07A"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73F5BE72"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35980B5C"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24F88A49"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222" w:type="dxa"/>
            <w:vAlign w:val="center"/>
            <w:hideMark/>
          </w:tcPr>
          <w:p w14:paraId="6DDDDF65"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74C88F08"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FFFFFF"/>
            <w:noWrap/>
            <w:vAlign w:val="bottom"/>
            <w:hideMark/>
          </w:tcPr>
          <w:p w14:paraId="0FA17E1A"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xml:space="preserve">Human Resources </w:t>
            </w:r>
          </w:p>
        </w:tc>
        <w:tc>
          <w:tcPr>
            <w:tcW w:w="1332" w:type="dxa"/>
            <w:tcBorders>
              <w:top w:val="nil"/>
              <w:left w:val="nil"/>
              <w:bottom w:val="single" w:sz="4" w:space="0" w:color="auto"/>
              <w:right w:val="single" w:sz="4" w:space="0" w:color="auto"/>
            </w:tcBorders>
            <w:shd w:val="clear" w:color="000000" w:fill="FFFFFF"/>
            <w:noWrap/>
            <w:vAlign w:val="bottom"/>
            <w:hideMark/>
          </w:tcPr>
          <w:p w14:paraId="416F6644"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4</w:t>
            </w:r>
          </w:p>
        </w:tc>
        <w:tc>
          <w:tcPr>
            <w:tcW w:w="1271" w:type="dxa"/>
            <w:tcBorders>
              <w:top w:val="nil"/>
              <w:left w:val="nil"/>
              <w:bottom w:val="single" w:sz="4" w:space="0" w:color="auto"/>
              <w:right w:val="single" w:sz="4" w:space="0" w:color="auto"/>
            </w:tcBorders>
            <w:shd w:val="clear" w:color="000000" w:fill="FFFFFF"/>
            <w:noWrap/>
            <w:vAlign w:val="bottom"/>
            <w:hideMark/>
          </w:tcPr>
          <w:p w14:paraId="69B308BB"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1462D975"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25.00%</w:t>
            </w:r>
          </w:p>
        </w:tc>
        <w:tc>
          <w:tcPr>
            <w:tcW w:w="1272" w:type="dxa"/>
            <w:tcBorders>
              <w:top w:val="nil"/>
              <w:left w:val="nil"/>
              <w:bottom w:val="single" w:sz="4" w:space="0" w:color="auto"/>
              <w:right w:val="single" w:sz="4" w:space="0" w:color="auto"/>
            </w:tcBorders>
            <w:shd w:val="clear" w:color="000000" w:fill="FFFFFF"/>
            <w:noWrap/>
            <w:vAlign w:val="bottom"/>
            <w:hideMark/>
          </w:tcPr>
          <w:p w14:paraId="2F3D2A15"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58843388"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25.00%</w:t>
            </w:r>
          </w:p>
        </w:tc>
        <w:tc>
          <w:tcPr>
            <w:tcW w:w="1272" w:type="dxa"/>
            <w:tcBorders>
              <w:top w:val="nil"/>
              <w:left w:val="nil"/>
              <w:bottom w:val="single" w:sz="4" w:space="0" w:color="auto"/>
              <w:right w:val="single" w:sz="4" w:space="0" w:color="auto"/>
            </w:tcBorders>
            <w:shd w:val="clear" w:color="000000" w:fill="FFFFFF"/>
            <w:noWrap/>
            <w:vAlign w:val="bottom"/>
            <w:hideMark/>
          </w:tcPr>
          <w:p w14:paraId="62B9C252"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0B609C6F"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25.00%</w:t>
            </w:r>
          </w:p>
        </w:tc>
        <w:tc>
          <w:tcPr>
            <w:tcW w:w="222" w:type="dxa"/>
            <w:vAlign w:val="center"/>
            <w:hideMark/>
          </w:tcPr>
          <w:p w14:paraId="145DFD3B"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0D6F595F"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D0E0E2"/>
            <w:noWrap/>
            <w:vAlign w:val="bottom"/>
            <w:hideMark/>
          </w:tcPr>
          <w:p w14:paraId="4D241480"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C33503B"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5799F08D"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47AE3AA6"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020CBB97"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3D8535B2"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3A69BD17"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FFFFFF"/>
            <w:noWrap/>
            <w:vAlign w:val="bottom"/>
            <w:hideMark/>
          </w:tcPr>
          <w:p w14:paraId="0587FA85"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w:t>
            </w:r>
          </w:p>
        </w:tc>
        <w:tc>
          <w:tcPr>
            <w:tcW w:w="222" w:type="dxa"/>
            <w:vAlign w:val="center"/>
            <w:hideMark/>
          </w:tcPr>
          <w:p w14:paraId="4CA267A7"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r w:rsidR="00A41135" w:rsidRPr="001D0253" w14:paraId="1B40FB4C" w14:textId="77777777" w:rsidTr="00A41135">
        <w:trPr>
          <w:trHeight w:val="300"/>
        </w:trPr>
        <w:tc>
          <w:tcPr>
            <w:tcW w:w="2415" w:type="dxa"/>
            <w:tcBorders>
              <w:top w:val="nil"/>
              <w:left w:val="single" w:sz="4" w:space="0" w:color="auto"/>
              <w:bottom w:val="single" w:sz="4" w:space="0" w:color="auto"/>
              <w:right w:val="single" w:sz="4" w:space="0" w:color="auto"/>
            </w:tcBorders>
            <w:shd w:val="clear" w:color="000000" w:fill="FFFFFF"/>
            <w:noWrap/>
            <w:vAlign w:val="bottom"/>
            <w:hideMark/>
          </w:tcPr>
          <w:p w14:paraId="03C453FA" w14:textId="77777777" w:rsidR="00A41135" w:rsidRPr="001D0253" w:rsidRDefault="00A41135" w:rsidP="00A41135">
            <w:pPr>
              <w:spacing w:after="0" w:line="240" w:lineRule="auto"/>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 xml:space="preserve">Design </w:t>
            </w:r>
          </w:p>
        </w:tc>
        <w:tc>
          <w:tcPr>
            <w:tcW w:w="1332" w:type="dxa"/>
            <w:tcBorders>
              <w:top w:val="nil"/>
              <w:left w:val="nil"/>
              <w:bottom w:val="single" w:sz="4" w:space="0" w:color="auto"/>
              <w:right w:val="single" w:sz="4" w:space="0" w:color="auto"/>
            </w:tcBorders>
            <w:shd w:val="clear" w:color="000000" w:fill="FFFFFF"/>
            <w:noWrap/>
            <w:vAlign w:val="bottom"/>
            <w:hideMark/>
          </w:tcPr>
          <w:p w14:paraId="1DD655B8"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12</w:t>
            </w:r>
          </w:p>
        </w:tc>
        <w:tc>
          <w:tcPr>
            <w:tcW w:w="1271" w:type="dxa"/>
            <w:tcBorders>
              <w:top w:val="nil"/>
              <w:left w:val="nil"/>
              <w:bottom w:val="single" w:sz="4" w:space="0" w:color="auto"/>
              <w:right w:val="single" w:sz="4" w:space="0" w:color="auto"/>
            </w:tcBorders>
            <w:shd w:val="clear" w:color="000000" w:fill="FFFFFF"/>
            <w:noWrap/>
            <w:vAlign w:val="bottom"/>
            <w:hideMark/>
          </w:tcPr>
          <w:p w14:paraId="42A33AA7"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0B0DE519"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25.00%</w:t>
            </w:r>
          </w:p>
        </w:tc>
        <w:tc>
          <w:tcPr>
            <w:tcW w:w="1272" w:type="dxa"/>
            <w:tcBorders>
              <w:top w:val="nil"/>
              <w:left w:val="nil"/>
              <w:bottom w:val="single" w:sz="4" w:space="0" w:color="auto"/>
              <w:right w:val="single" w:sz="4" w:space="0" w:color="auto"/>
            </w:tcBorders>
            <w:shd w:val="clear" w:color="000000" w:fill="FFFFFF"/>
            <w:noWrap/>
            <w:vAlign w:val="bottom"/>
            <w:hideMark/>
          </w:tcPr>
          <w:p w14:paraId="2F1AAE0D"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2D93E484"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41.67%</w:t>
            </w:r>
          </w:p>
        </w:tc>
        <w:tc>
          <w:tcPr>
            <w:tcW w:w="1272" w:type="dxa"/>
            <w:tcBorders>
              <w:top w:val="nil"/>
              <w:left w:val="nil"/>
              <w:bottom w:val="single" w:sz="4" w:space="0" w:color="auto"/>
              <w:right w:val="single" w:sz="4" w:space="0" w:color="auto"/>
            </w:tcBorders>
            <w:shd w:val="clear" w:color="000000" w:fill="FFFFFF"/>
            <w:noWrap/>
            <w:vAlign w:val="bottom"/>
            <w:hideMark/>
          </w:tcPr>
          <w:p w14:paraId="1DB273D9"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2</w:t>
            </w:r>
          </w:p>
        </w:tc>
        <w:tc>
          <w:tcPr>
            <w:tcW w:w="1332" w:type="dxa"/>
            <w:tcBorders>
              <w:top w:val="nil"/>
              <w:left w:val="nil"/>
              <w:bottom w:val="single" w:sz="4" w:space="0" w:color="auto"/>
              <w:right w:val="single" w:sz="4" w:space="0" w:color="auto"/>
            </w:tcBorders>
            <w:shd w:val="clear" w:color="000000" w:fill="FFFFFF"/>
            <w:noWrap/>
            <w:vAlign w:val="bottom"/>
            <w:hideMark/>
          </w:tcPr>
          <w:p w14:paraId="621301C7" w14:textId="77777777" w:rsidR="00A41135" w:rsidRPr="001D0253" w:rsidRDefault="00A41135" w:rsidP="00A41135">
            <w:pPr>
              <w:spacing w:after="0" w:line="240" w:lineRule="auto"/>
              <w:jc w:val="center"/>
              <w:rPr>
                <w:rFonts w:ascii="Arial" w:eastAsia="Times New Roman" w:hAnsi="Arial" w:cs="Arial"/>
                <w:color w:val="004147"/>
                <w:kern w:val="0"/>
                <w:sz w:val="20"/>
                <w:szCs w:val="20"/>
                <w:lang w:eastAsia="en-GB"/>
                <w14:ligatures w14:val="none"/>
              </w:rPr>
            </w:pPr>
            <w:r w:rsidRPr="001D0253">
              <w:rPr>
                <w:rFonts w:ascii="Arial" w:eastAsia="Times New Roman" w:hAnsi="Arial" w:cs="Arial"/>
                <w:color w:val="004147"/>
                <w:kern w:val="0"/>
                <w:sz w:val="20"/>
                <w:szCs w:val="20"/>
                <w:lang w:eastAsia="en-GB"/>
                <w14:ligatures w14:val="none"/>
              </w:rPr>
              <w:t>16.67%</w:t>
            </w:r>
          </w:p>
        </w:tc>
        <w:tc>
          <w:tcPr>
            <w:tcW w:w="222" w:type="dxa"/>
            <w:vAlign w:val="center"/>
            <w:hideMark/>
          </w:tcPr>
          <w:p w14:paraId="0E38271B" w14:textId="77777777" w:rsidR="00A41135" w:rsidRPr="001D0253" w:rsidRDefault="00A41135" w:rsidP="00A41135">
            <w:pPr>
              <w:spacing w:after="0" w:line="240" w:lineRule="auto"/>
              <w:rPr>
                <w:rFonts w:ascii="Arial" w:eastAsia="Times New Roman" w:hAnsi="Arial" w:cs="Arial"/>
                <w:kern w:val="0"/>
                <w:sz w:val="20"/>
                <w:szCs w:val="20"/>
                <w:lang w:eastAsia="en-GB"/>
                <w14:ligatures w14:val="none"/>
              </w:rPr>
            </w:pPr>
          </w:p>
        </w:tc>
      </w:tr>
    </w:tbl>
    <w:p w14:paraId="69D7D6EE" w14:textId="77777777" w:rsidR="00285CF7" w:rsidRPr="001D0253" w:rsidRDefault="00285CF7">
      <w:pPr>
        <w:rPr>
          <w:rFonts w:ascii="Arial" w:hAnsi="Arial" w:cs="Arial"/>
        </w:rPr>
      </w:pPr>
    </w:p>
    <w:p w14:paraId="1413F9E1" w14:textId="77777777" w:rsidR="00285CF7" w:rsidRDefault="00285CF7">
      <w:pPr>
        <w:rPr>
          <w:rFonts w:ascii="Arial" w:hAnsi="Arial" w:cs="Arial"/>
        </w:rPr>
      </w:pPr>
    </w:p>
    <w:p w14:paraId="1D093F25" w14:textId="77777777" w:rsidR="00CD347F" w:rsidRDefault="00CD347F">
      <w:pPr>
        <w:rPr>
          <w:rFonts w:ascii="Arial" w:hAnsi="Arial" w:cs="Arial"/>
        </w:rPr>
      </w:pPr>
    </w:p>
    <w:p w14:paraId="5AA8AABA" w14:textId="77777777" w:rsidR="00CD347F" w:rsidRDefault="00CD347F">
      <w:pPr>
        <w:rPr>
          <w:rFonts w:ascii="Arial" w:hAnsi="Arial" w:cs="Arial"/>
        </w:rPr>
      </w:pPr>
    </w:p>
    <w:p w14:paraId="11E23391" w14:textId="77777777" w:rsidR="00CD347F" w:rsidRPr="001D0253" w:rsidRDefault="00CD347F">
      <w:pPr>
        <w:rPr>
          <w:rFonts w:ascii="Arial" w:hAnsi="Arial" w:cs="Arial"/>
        </w:rPr>
      </w:pPr>
    </w:p>
    <w:p w14:paraId="270FBE66" w14:textId="3F1F4090" w:rsidR="00285CF7" w:rsidRPr="001D0253" w:rsidRDefault="00285CF7">
      <w:pPr>
        <w:rPr>
          <w:rFonts w:ascii="Arial" w:hAnsi="Arial" w:cs="Arial"/>
          <w:b/>
          <w:bCs/>
          <w:u w:val="single"/>
        </w:rPr>
      </w:pPr>
      <w:r w:rsidRPr="001D0253">
        <w:rPr>
          <w:rFonts w:ascii="Arial" w:hAnsi="Arial" w:cs="Arial"/>
          <w:b/>
          <w:bCs/>
          <w:u w:val="single"/>
        </w:rPr>
        <w:t>AC 2.2</w:t>
      </w:r>
    </w:p>
    <w:p w14:paraId="33F690B0" w14:textId="49082777" w:rsidR="00232870" w:rsidRPr="001D0253" w:rsidRDefault="00232870">
      <w:pPr>
        <w:rPr>
          <w:rFonts w:ascii="Arial" w:hAnsi="Arial" w:cs="Arial"/>
        </w:rPr>
      </w:pPr>
      <w:r w:rsidRPr="001D0253">
        <w:rPr>
          <w:rFonts w:ascii="Arial" w:hAnsi="Arial" w:cs="Arial"/>
          <w:noProof/>
        </w:rPr>
        <w:lastRenderedPageBreak/>
        <w:drawing>
          <wp:inline distT="0" distB="0" distL="0" distR="0" wp14:anchorId="58DEEA8D" wp14:editId="26985DE9">
            <wp:extent cx="4724400" cy="2784475"/>
            <wp:effectExtent l="0" t="0" r="0" b="15875"/>
            <wp:docPr id="1316523767" name="Chart 1">
              <a:extLst xmlns:a="http://schemas.openxmlformats.org/drawingml/2006/main">
                <a:ext uri="{FF2B5EF4-FFF2-40B4-BE49-F238E27FC236}">
                  <a16:creationId xmlns:a16="http://schemas.microsoft.com/office/drawing/2014/main" id="{983E17C1-D895-4FDF-9871-5BD7AB8642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25A07EF" w14:textId="7161C47D" w:rsidR="00232870" w:rsidRPr="001D0253" w:rsidRDefault="00C2182B">
      <w:pPr>
        <w:rPr>
          <w:rFonts w:ascii="Arial" w:hAnsi="Arial" w:cs="Arial"/>
        </w:rPr>
      </w:pPr>
      <w:r>
        <w:rPr>
          <w:noProof/>
        </w:rPr>
        <w:drawing>
          <wp:inline distT="0" distB="0" distL="0" distR="0" wp14:anchorId="4EBBE14D" wp14:editId="18BF2469">
            <wp:extent cx="4724400" cy="2784475"/>
            <wp:effectExtent l="0" t="0" r="0" b="15875"/>
            <wp:docPr id="185347010" name="Chart 1">
              <a:extLst xmlns:a="http://schemas.openxmlformats.org/drawingml/2006/main">
                <a:ext uri="{FF2B5EF4-FFF2-40B4-BE49-F238E27FC236}">
                  <a16:creationId xmlns:a16="http://schemas.microsoft.com/office/drawing/2014/main" id="{983E17C1-D895-4FDF-9871-5BD7AB8642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065CFDA" w14:textId="5DBC900C" w:rsidR="00232870" w:rsidRPr="001D0253" w:rsidRDefault="006C38A0">
      <w:pPr>
        <w:rPr>
          <w:rFonts w:ascii="Arial" w:hAnsi="Arial" w:cs="Arial"/>
        </w:rPr>
      </w:pPr>
      <w:r>
        <w:rPr>
          <w:noProof/>
        </w:rPr>
        <w:drawing>
          <wp:inline distT="0" distB="0" distL="0" distR="0" wp14:anchorId="25EF0D5A" wp14:editId="5EE00C3C">
            <wp:extent cx="4724400" cy="2784475"/>
            <wp:effectExtent l="0" t="0" r="0" b="15875"/>
            <wp:docPr id="157606986" name="Chart 1">
              <a:extLst xmlns:a="http://schemas.openxmlformats.org/drawingml/2006/main">
                <a:ext uri="{FF2B5EF4-FFF2-40B4-BE49-F238E27FC236}">
                  <a16:creationId xmlns:a16="http://schemas.microsoft.com/office/drawing/2014/main" id="{983E17C1-D895-4FDF-9871-5BD7AB8642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5B5FCC6" w14:textId="6316BE83" w:rsidR="007C6A2D" w:rsidRDefault="007C6A2D">
      <w:pPr>
        <w:rPr>
          <w:rFonts w:ascii="Arial" w:hAnsi="Arial" w:cs="Arial"/>
          <w:b/>
          <w:bCs/>
          <w:u w:val="single"/>
        </w:rPr>
      </w:pPr>
      <w:r>
        <w:rPr>
          <w:noProof/>
        </w:rPr>
        <w:drawing>
          <wp:inline distT="0" distB="0" distL="0" distR="0" wp14:anchorId="7A9788C5" wp14:editId="2266DDF6">
            <wp:extent cx="4724400" cy="2784475"/>
            <wp:effectExtent l="0" t="0" r="0" b="15875"/>
            <wp:docPr id="554371543" name="Chart 1">
              <a:extLst xmlns:a="http://schemas.openxmlformats.org/drawingml/2006/main">
                <a:ext uri="{FF2B5EF4-FFF2-40B4-BE49-F238E27FC236}">
                  <a16:creationId xmlns:a16="http://schemas.microsoft.com/office/drawing/2014/main" id="{983E17C1-D895-4FDF-9871-5BD7AB8642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207BE3B" w14:textId="77777777" w:rsidR="007C6A2D" w:rsidRDefault="007C6A2D">
      <w:pPr>
        <w:rPr>
          <w:rFonts w:ascii="Arial" w:hAnsi="Arial" w:cs="Arial"/>
          <w:b/>
          <w:bCs/>
          <w:u w:val="single"/>
        </w:rPr>
      </w:pPr>
    </w:p>
    <w:p w14:paraId="4BAC2EA8" w14:textId="21AF02B6" w:rsidR="00285CF7" w:rsidRPr="00CD347F" w:rsidRDefault="00285CF7">
      <w:pPr>
        <w:rPr>
          <w:rFonts w:ascii="Arial" w:hAnsi="Arial" w:cs="Arial"/>
          <w:b/>
          <w:bCs/>
          <w:u w:val="single"/>
        </w:rPr>
      </w:pPr>
      <w:r w:rsidRPr="00CD347F">
        <w:rPr>
          <w:rFonts w:ascii="Arial" w:hAnsi="Arial" w:cs="Arial"/>
          <w:b/>
          <w:bCs/>
          <w:u w:val="single"/>
        </w:rPr>
        <w:t>AC 2.3</w:t>
      </w:r>
    </w:p>
    <w:p w14:paraId="11F9E1F7" w14:textId="148FEF38" w:rsidR="00285CF7" w:rsidRPr="001D0253" w:rsidRDefault="00285CF7">
      <w:pPr>
        <w:rPr>
          <w:rFonts w:ascii="Arial" w:hAnsi="Arial" w:cs="Arial"/>
        </w:rPr>
      </w:pPr>
      <w:r w:rsidRPr="001D0253">
        <w:rPr>
          <w:rFonts w:ascii="Arial" w:hAnsi="Arial" w:cs="Arial"/>
        </w:rPr>
        <w:t>Evaluation feedback</w:t>
      </w:r>
    </w:p>
    <w:p w14:paraId="4FF40696" w14:textId="069B2D1B" w:rsidR="00285CF7" w:rsidRPr="001C1B4C" w:rsidRDefault="00B25308">
      <w:pPr>
        <w:rPr>
          <w:rFonts w:ascii="Arial" w:hAnsi="Arial" w:cs="Arial"/>
        </w:rPr>
      </w:pPr>
      <w:r w:rsidRPr="001C1B4C">
        <w:rPr>
          <w:rFonts w:ascii="Arial" w:hAnsi="Arial" w:cs="Arial"/>
          <w:noProof/>
        </w:rPr>
        <w:drawing>
          <wp:inline distT="0" distB="0" distL="0" distR="0" wp14:anchorId="0A1E0615" wp14:editId="25E74C08">
            <wp:extent cx="5058888" cy="3164774"/>
            <wp:effectExtent l="0" t="0" r="8890" b="17145"/>
            <wp:docPr id="119406889" name="Chart 1">
              <a:extLst xmlns:a="http://schemas.openxmlformats.org/drawingml/2006/main">
                <a:ext uri="{FF2B5EF4-FFF2-40B4-BE49-F238E27FC236}">
                  <a16:creationId xmlns:a16="http://schemas.microsoft.com/office/drawing/2014/main" id="{BA2BFF00-48A5-A77E-3251-65D79FE5E5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D73D059" w14:textId="57D66B7F" w:rsidR="00A95A36" w:rsidRPr="001C1B4C" w:rsidRDefault="00A95A36" w:rsidP="00A95A36">
      <w:pPr>
        <w:rPr>
          <w:rFonts w:ascii="Arial" w:hAnsi="Arial" w:cs="Arial"/>
          <w:sz w:val="24"/>
          <w:szCs w:val="24"/>
        </w:rPr>
      </w:pPr>
      <w:r w:rsidRPr="001C1B4C">
        <w:rPr>
          <w:rFonts w:ascii="Arial" w:hAnsi="Arial" w:cs="Arial"/>
          <w:sz w:val="24"/>
          <w:szCs w:val="24"/>
        </w:rPr>
        <w:t>E</w:t>
      </w:r>
      <w:r w:rsidRPr="001C1B4C">
        <w:rPr>
          <w:rFonts w:ascii="Arial" w:hAnsi="Arial" w:cs="Arial"/>
          <w:sz w:val="24"/>
          <w:szCs w:val="24"/>
        </w:rPr>
        <w:t xml:space="preserve">valuation feedback from </w:t>
      </w:r>
      <w:proofErr w:type="gramStart"/>
      <w:r w:rsidRPr="001C1B4C">
        <w:rPr>
          <w:rFonts w:ascii="Arial" w:hAnsi="Arial" w:cs="Arial"/>
          <w:sz w:val="24"/>
          <w:szCs w:val="24"/>
        </w:rPr>
        <w:t>42</w:t>
      </w:r>
      <w:proofErr w:type="gramEnd"/>
      <w:r w:rsidRPr="001C1B4C">
        <w:rPr>
          <w:rFonts w:ascii="Arial" w:hAnsi="Arial" w:cs="Arial"/>
          <w:sz w:val="24"/>
          <w:szCs w:val="24"/>
        </w:rPr>
        <w:t xml:space="preserve"> employees who attended the recent Learning &amp; Development L &amp; D activity highlights important patterns, themes and trends that can </w:t>
      </w:r>
      <w:proofErr w:type="gramStart"/>
      <w:r w:rsidRPr="001C1B4C">
        <w:rPr>
          <w:rFonts w:ascii="Arial" w:hAnsi="Arial" w:cs="Arial"/>
          <w:sz w:val="24"/>
          <w:szCs w:val="24"/>
        </w:rPr>
        <w:t>be made</w:t>
      </w:r>
      <w:proofErr w:type="gramEnd"/>
      <w:r w:rsidRPr="001C1B4C">
        <w:rPr>
          <w:rFonts w:ascii="Arial" w:hAnsi="Arial" w:cs="Arial"/>
          <w:sz w:val="24"/>
          <w:szCs w:val="24"/>
        </w:rPr>
        <w:t xml:space="preserve">. The evaluation showed a lack of cohesion with learning preferences. Only </w:t>
      </w:r>
      <w:proofErr w:type="gramStart"/>
      <w:r w:rsidRPr="001C1B4C">
        <w:rPr>
          <w:rFonts w:ascii="Arial" w:hAnsi="Arial" w:cs="Arial"/>
          <w:sz w:val="24"/>
          <w:szCs w:val="24"/>
        </w:rPr>
        <w:t>10</w:t>
      </w:r>
      <w:proofErr w:type="gramEnd"/>
      <w:r w:rsidRPr="001C1B4C">
        <w:rPr>
          <w:rFonts w:ascii="Arial" w:hAnsi="Arial" w:cs="Arial"/>
          <w:sz w:val="24"/>
          <w:szCs w:val="24"/>
        </w:rPr>
        <w:t xml:space="preserve"> participants felt their preferences </w:t>
      </w:r>
      <w:proofErr w:type="gramStart"/>
      <w:r w:rsidRPr="001C1B4C">
        <w:rPr>
          <w:rFonts w:ascii="Arial" w:hAnsi="Arial" w:cs="Arial"/>
          <w:sz w:val="24"/>
          <w:szCs w:val="24"/>
        </w:rPr>
        <w:t>were considered</w:t>
      </w:r>
      <w:proofErr w:type="gramEnd"/>
      <w:r w:rsidRPr="001C1B4C">
        <w:rPr>
          <w:rFonts w:ascii="Arial" w:hAnsi="Arial" w:cs="Arial"/>
          <w:sz w:val="24"/>
          <w:szCs w:val="24"/>
        </w:rPr>
        <w:t xml:space="preserve">, with the majority Not Sure at </w:t>
      </w:r>
      <w:r w:rsidRPr="001C1B4C">
        <w:rPr>
          <w:rFonts w:ascii="Arial" w:hAnsi="Arial" w:cs="Arial"/>
          <w:sz w:val="24"/>
          <w:szCs w:val="24"/>
        </w:rPr>
        <w:t>18 or</w:t>
      </w:r>
      <w:r w:rsidRPr="001C1B4C">
        <w:rPr>
          <w:rFonts w:ascii="Arial" w:hAnsi="Arial" w:cs="Arial"/>
          <w:sz w:val="24"/>
          <w:szCs w:val="24"/>
        </w:rPr>
        <w:t xml:space="preserve"> 14 Disagreeing. This could mean that the activity </w:t>
      </w:r>
      <w:proofErr w:type="gramStart"/>
      <w:r w:rsidRPr="001C1B4C">
        <w:rPr>
          <w:rFonts w:ascii="Arial" w:hAnsi="Arial" w:cs="Arial"/>
          <w:sz w:val="24"/>
          <w:szCs w:val="24"/>
        </w:rPr>
        <w:t>wasn’t</w:t>
      </w:r>
      <w:proofErr w:type="gramEnd"/>
      <w:r w:rsidRPr="001C1B4C">
        <w:rPr>
          <w:rFonts w:ascii="Arial" w:hAnsi="Arial" w:cs="Arial"/>
          <w:sz w:val="24"/>
          <w:szCs w:val="24"/>
        </w:rPr>
        <w:t xml:space="preserve"> tailored to different learning styles or roles</w:t>
      </w:r>
      <w:proofErr w:type="gramStart"/>
      <w:r w:rsidRPr="001C1B4C">
        <w:rPr>
          <w:rFonts w:ascii="Arial" w:hAnsi="Arial" w:cs="Arial"/>
          <w:sz w:val="24"/>
          <w:szCs w:val="24"/>
        </w:rPr>
        <w:t xml:space="preserve">.  </w:t>
      </w:r>
      <w:proofErr w:type="gramEnd"/>
    </w:p>
    <w:p w14:paraId="6F0CB5FA" w14:textId="77777777" w:rsidR="00A95A36" w:rsidRPr="001C1B4C" w:rsidRDefault="00A95A36" w:rsidP="00A95A36">
      <w:pPr>
        <w:rPr>
          <w:rFonts w:ascii="Arial" w:hAnsi="Arial" w:cs="Arial"/>
          <w:sz w:val="24"/>
          <w:szCs w:val="24"/>
        </w:rPr>
      </w:pPr>
      <w:r w:rsidRPr="001C1B4C">
        <w:rPr>
          <w:rFonts w:ascii="Arial" w:hAnsi="Arial" w:cs="Arial"/>
          <w:sz w:val="24"/>
          <w:szCs w:val="24"/>
        </w:rPr>
        <w:t>This emphasises that feedback and development activities should be personalised and relevant to the learner’s context, which aligns with CIPD’s focus on situating learners with organisational strategy and practice, involving engagement with line managers, as well, of course, as with the learners themselves. CIPD (2025). This feedback indicated that learners feel there are not being listened to or heard which can lead to a decline in motivation and engagement.</w:t>
      </w:r>
    </w:p>
    <w:p w14:paraId="55AE3B3E" w14:textId="454AE133" w:rsidR="00A95A36" w:rsidRPr="001C1B4C" w:rsidRDefault="00A95A36" w:rsidP="00A95A36">
      <w:pPr>
        <w:rPr>
          <w:rFonts w:ascii="Arial" w:hAnsi="Arial" w:cs="Arial"/>
          <w:sz w:val="24"/>
          <w:szCs w:val="24"/>
        </w:rPr>
      </w:pPr>
      <w:r w:rsidRPr="001C1B4C">
        <w:rPr>
          <w:rFonts w:ascii="Arial" w:hAnsi="Arial" w:cs="Arial"/>
          <w:sz w:val="24"/>
          <w:szCs w:val="24"/>
        </w:rPr>
        <w:t xml:space="preserve"> The data evidenced that the facilitator </w:t>
      </w:r>
      <w:proofErr w:type="gramStart"/>
      <w:r w:rsidRPr="001C1B4C">
        <w:rPr>
          <w:rFonts w:ascii="Arial" w:hAnsi="Arial" w:cs="Arial"/>
          <w:sz w:val="24"/>
          <w:szCs w:val="24"/>
        </w:rPr>
        <w:t>was well received</w:t>
      </w:r>
      <w:proofErr w:type="gramEnd"/>
      <w:r w:rsidRPr="001C1B4C">
        <w:rPr>
          <w:rFonts w:ascii="Arial" w:hAnsi="Arial" w:cs="Arial"/>
          <w:sz w:val="24"/>
          <w:szCs w:val="24"/>
        </w:rPr>
        <w:t xml:space="preserve">, with </w:t>
      </w:r>
      <w:proofErr w:type="gramStart"/>
      <w:r w:rsidRPr="001C1B4C">
        <w:rPr>
          <w:rFonts w:ascii="Arial" w:hAnsi="Arial" w:cs="Arial"/>
          <w:sz w:val="24"/>
          <w:szCs w:val="24"/>
        </w:rPr>
        <w:t>34</w:t>
      </w:r>
      <w:proofErr w:type="gramEnd"/>
      <w:r w:rsidRPr="001C1B4C">
        <w:rPr>
          <w:rFonts w:ascii="Arial" w:hAnsi="Arial" w:cs="Arial"/>
          <w:sz w:val="24"/>
          <w:szCs w:val="24"/>
        </w:rPr>
        <w:t xml:space="preserve"> agreeing that objectives were clearly set and </w:t>
      </w:r>
      <w:proofErr w:type="gramStart"/>
      <w:r w:rsidRPr="001C1B4C">
        <w:rPr>
          <w:rFonts w:ascii="Arial" w:hAnsi="Arial" w:cs="Arial"/>
          <w:sz w:val="24"/>
          <w:szCs w:val="24"/>
        </w:rPr>
        <w:t>5</w:t>
      </w:r>
      <w:proofErr w:type="gramEnd"/>
      <w:r w:rsidRPr="001C1B4C">
        <w:rPr>
          <w:rFonts w:ascii="Arial" w:hAnsi="Arial" w:cs="Arial"/>
          <w:sz w:val="24"/>
          <w:szCs w:val="24"/>
        </w:rPr>
        <w:t xml:space="preserve"> fully agreeing and that the facilitator was knowledgeable about the topics, with </w:t>
      </w:r>
      <w:proofErr w:type="gramStart"/>
      <w:r w:rsidRPr="001C1B4C">
        <w:rPr>
          <w:rFonts w:ascii="Arial" w:hAnsi="Arial" w:cs="Arial"/>
          <w:sz w:val="24"/>
          <w:szCs w:val="24"/>
        </w:rPr>
        <w:t>13</w:t>
      </w:r>
      <w:proofErr w:type="gramEnd"/>
      <w:r w:rsidRPr="001C1B4C">
        <w:rPr>
          <w:rFonts w:ascii="Arial" w:hAnsi="Arial" w:cs="Arial"/>
          <w:sz w:val="24"/>
          <w:szCs w:val="24"/>
        </w:rPr>
        <w:t xml:space="preserve"> fully agreeing and </w:t>
      </w:r>
      <w:proofErr w:type="gramStart"/>
      <w:r w:rsidRPr="001C1B4C">
        <w:rPr>
          <w:rFonts w:ascii="Arial" w:hAnsi="Arial" w:cs="Arial"/>
          <w:sz w:val="24"/>
          <w:szCs w:val="24"/>
        </w:rPr>
        <w:t>26</w:t>
      </w:r>
      <w:proofErr w:type="gramEnd"/>
      <w:r w:rsidRPr="001C1B4C">
        <w:rPr>
          <w:rFonts w:ascii="Arial" w:hAnsi="Arial" w:cs="Arial"/>
          <w:sz w:val="24"/>
          <w:szCs w:val="24"/>
        </w:rPr>
        <w:t xml:space="preserve"> agreeing. It was also evident with a majority agreement that the </w:t>
      </w:r>
      <w:r w:rsidRPr="001C1B4C">
        <w:rPr>
          <w:rFonts w:ascii="Arial" w:hAnsi="Arial" w:cs="Arial"/>
          <w:sz w:val="24"/>
          <w:szCs w:val="24"/>
        </w:rPr>
        <w:t>facilitator</w:t>
      </w:r>
      <w:r w:rsidRPr="001C1B4C">
        <w:rPr>
          <w:rFonts w:ascii="Arial" w:hAnsi="Arial" w:cs="Arial"/>
          <w:sz w:val="24"/>
          <w:szCs w:val="24"/>
        </w:rPr>
        <w:t xml:space="preserve"> provided clear </w:t>
      </w:r>
      <w:r w:rsidR="00013E1C" w:rsidRPr="001C1B4C">
        <w:rPr>
          <w:rFonts w:ascii="Arial" w:hAnsi="Arial" w:cs="Arial"/>
          <w:sz w:val="24"/>
          <w:szCs w:val="24"/>
        </w:rPr>
        <w:t>explanation</w:t>
      </w:r>
      <w:r w:rsidRPr="001C1B4C">
        <w:rPr>
          <w:rFonts w:ascii="Arial" w:hAnsi="Arial" w:cs="Arial"/>
          <w:sz w:val="24"/>
          <w:szCs w:val="24"/>
        </w:rPr>
        <w:t xml:space="preserve"> of </w:t>
      </w:r>
      <w:r w:rsidRPr="001C1B4C">
        <w:rPr>
          <w:rFonts w:ascii="Arial" w:hAnsi="Arial" w:cs="Arial"/>
          <w:sz w:val="24"/>
          <w:szCs w:val="24"/>
        </w:rPr>
        <w:t>the</w:t>
      </w:r>
      <w:r w:rsidRPr="001C1B4C">
        <w:rPr>
          <w:rFonts w:ascii="Arial" w:hAnsi="Arial" w:cs="Arial"/>
          <w:sz w:val="24"/>
          <w:szCs w:val="24"/>
        </w:rPr>
        <w:t xml:space="preserve"> topics discussed and the resources used were of </w:t>
      </w:r>
      <w:proofErr w:type="gramStart"/>
      <w:r w:rsidRPr="001C1B4C">
        <w:rPr>
          <w:rFonts w:ascii="Arial" w:hAnsi="Arial" w:cs="Arial"/>
          <w:sz w:val="24"/>
          <w:szCs w:val="24"/>
        </w:rPr>
        <w:t>good quality</w:t>
      </w:r>
      <w:proofErr w:type="gramEnd"/>
      <w:r w:rsidRPr="001C1B4C">
        <w:rPr>
          <w:rFonts w:ascii="Arial" w:hAnsi="Arial" w:cs="Arial"/>
          <w:sz w:val="24"/>
          <w:szCs w:val="24"/>
        </w:rPr>
        <w:t xml:space="preserve">. However only 5 employers felt their learning outcomes were achieved, and 22 were not sure if it related to their role, with 14 disagreeing or strongly disagreeing suggesting a disconnect between delivery and relevance, which can reflect wider concerns raised about the effectiveness of traditional approaches to performance management. </w:t>
      </w:r>
    </w:p>
    <w:p w14:paraId="1823AA71" w14:textId="6316295E" w:rsidR="00A95A36" w:rsidRPr="001C1B4C" w:rsidRDefault="00A95A36" w:rsidP="00A95A36">
      <w:pPr>
        <w:rPr>
          <w:rFonts w:ascii="Arial" w:hAnsi="Arial" w:cs="Arial"/>
          <w:sz w:val="24"/>
          <w:szCs w:val="24"/>
        </w:rPr>
      </w:pPr>
      <w:proofErr w:type="gramStart"/>
      <w:r w:rsidRPr="001C1B4C">
        <w:rPr>
          <w:rFonts w:ascii="Arial" w:hAnsi="Arial" w:cs="Arial"/>
          <w:sz w:val="24"/>
          <w:szCs w:val="24"/>
        </w:rPr>
        <w:t>32</w:t>
      </w:r>
      <w:proofErr w:type="gramEnd"/>
      <w:r w:rsidRPr="001C1B4C">
        <w:rPr>
          <w:rFonts w:ascii="Arial" w:hAnsi="Arial" w:cs="Arial"/>
          <w:sz w:val="24"/>
          <w:szCs w:val="24"/>
        </w:rPr>
        <w:t xml:space="preserve"> disagreed or strongly disagreed that they could not engage with meaningful questions on answering topics discussed, with not one totally agreeing, therefore identifying engagement levels were low. This points to a passive learning experience. Feedback and learning deliver the greatest value when they actively involve participants, </w:t>
      </w:r>
      <w:proofErr w:type="gramStart"/>
      <w:r w:rsidRPr="001C1B4C">
        <w:rPr>
          <w:rFonts w:ascii="Arial" w:hAnsi="Arial" w:cs="Arial"/>
          <w:sz w:val="24"/>
          <w:szCs w:val="24"/>
        </w:rPr>
        <w:t>are delivered</w:t>
      </w:r>
      <w:proofErr w:type="gramEnd"/>
      <w:r w:rsidRPr="001C1B4C">
        <w:rPr>
          <w:rFonts w:ascii="Arial" w:hAnsi="Arial" w:cs="Arial"/>
          <w:sz w:val="24"/>
          <w:szCs w:val="24"/>
        </w:rPr>
        <w:t xml:space="preserve"> promptly, and concentrate on specific behaviours rather than personal attributes. In the absence of opportunities for discussion and reflection, even sessions led by skilled facilitators may fail to achieve their intended impact CIPD (2022). The feedback also shows that employees struggled to see how the session linked to their performance targets. Only </w:t>
      </w:r>
      <w:proofErr w:type="gramStart"/>
      <w:r w:rsidRPr="001C1B4C">
        <w:rPr>
          <w:rFonts w:ascii="Arial" w:hAnsi="Arial" w:cs="Arial"/>
          <w:sz w:val="24"/>
          <w:szCs w:val="24"/>
        </w:rPr>
        <w:t>6</w:t>
      </w:r>
      <w:proofErr w:type="gramEnd"/>
      <w:r w:rsidRPr="001C1B4C">
        <w:rPr>
          <w:rFonts w:ascii="Arial" w:hAnsi="Arial" w:cs="Arial"/>
          <w:sz w:val="24"/>
          <w:szCs w:val="24"/>
        </w:rPr>
        <w:t xml:space="preserve"> agreed there was a clear connection, while </w:t>
      </w:r>
      <w:proofErr w:type="gramStart"/>
      <w:r w:rsidRPr="001C1B4C">
        <w:rPr>
          <w:rFonts w:ascii="Arial" w:hAnsi="Arial" w:cs="Arial"/>
          <w:sz w:val="24"/>
          <w:szCs w:val="24"/>
        </w:rPr>
        <w:t>36</w:t>
      </w:r>
      <w:proofErr w:type="gramEnd"/>
      <w:r w:rsidRPr="001C1B4C">
        <w:rPr>
          <w:rFonts w:ascii="Arial" w:hAnsi="Arial" w:cs="Arial"/>
          <w:sz w:val="24"/>
          <w:szCs w:val="24"/>
        </w:rPr>
        <w:t xml:space="preserve"> were unsure or disagreed. This highlights a wider concern that conventional measures such as attendance or course completion offer limited insight into real outcomes </w:t>
      </w:r>
      <w:proofErr w:type="gramStart"/>
      <w:r w:rsidRPr="001C1B4C">
        <w:rPr>
          <w:rFonts w:ascii="Arial" w:hAnsi="Arial" w:cs="Arial"/>
          <w:sz w:val="24"/>
          <w:szCs w:val="24"/>
        </w:rPr>
        <w:t>and also</w:t>
      </w:r>
      <w:proofErr w:type="gramEnd"/>
      <w:r w:rsidRPr="001C1B4C">
        <w:rPr>
          <w:rFonts w:ascii="Arial" w:hAnsi="Arial" w:cs="Arial"/>
          <w:sz w:val="24"/>
          <w:szCs w:val="24"/>
        </w:rPr>
        <w:t xml:space="preserve"> indicated that although mangers know what the </w:t>
      </w:r>
      <w:r w:rsidR="00013E1C" w:rsidRPr="001C1B4C">
        <w:rPr>
          <w:rFonts w:ascii="Arial" w:hAnsi="Arial" w:cs="Arial"/>
          <w:sz w:val="24"/>
          <w:szCs w:val="24"/>
        </w:rPr>
        <w:t>organisations</w:t>
      </w:r>
      <w:r w:rsidRPr="001C1B4C">
        <w:rPr>
          <w:rFonts w:ascii="Arial" w:hAnsi="Arial" w:cs="Arial"/>
          <w:sz w:val="24"/>
          <w:szCs w:val="24"/>
        </w:rPr>
        <w:t xml:space="preserve"> KPI are, this was not related to the employees.</w:t>
      </w:r>
    </w:p>
    <w:p w14:paraId="2B4E80A0" w14:textId="6CBF9D78" w:rsidR="00A95A36" w:rsidRPr="001C1B4C" w:rsidRDefault="00A95A36" w:rsidP="00A95A36">
      <w:pPr>
        <w:rPr>
          <w:rFonts w:ascii="Arial" w:hAnsi="Arial" w:cs="Arial"/>
          <w:sz w:val="24"/>
          <w:szCs w:val="24"/>
        </w:rPr>
      </w:pPr>
      <w:proofErr w:type="gramStart"/>
      <w:r w:rsidRPr="001C1B4C">
        <w:rPr>
          <w:rFonts w:ascii="Arial" w:hAnsi="Arial" w:cs="Arial"/>
          <w:sz w:val="24"/>
          <w:szCs w:val="24"/>
        </w:rPr>
        <w:t>22</w:t>
      </w:r>
      <w:proofErr w:type="gramEnd"/>
      <w:r w:rsidRPr="001C1B4C">
        <w:rPr>
          <w:rFonts w:ascii="Arial" w:hAnsi="Arial" w:cs="Arial"/>
          <w:sz w:val="24"/>
          <w:szCs w:val="24"/>
        </w:rPr>
        <w:t xml:space="preserve"> employees were not sure how to employ </w:t>
      </w:r>
      <w:r w:rsidR="00013E1C" w:rsidRPr="001C1B4C">
        <w:rPr>
          <w:rFonts w:ascii="Arial" w:hAnsi="Arial" w:cs="Arial"/>
          <w:sz w:val="24"/>
          <w:szCs w:val="24"/>
        </w:rPr>
        <w:t>the</w:t>
      </w:r>
      <w:r w:rsidRPr="001C1B4C">
        <w:rPr>
          <w:rFonts w:ascii="Arial" w:hAnsi="Arial" w:cs="Arial"/>
          <w:sz w:val="24"/>
          <w:szCs w:val="24"/>
        </w:rPr>
        <w:t xml:space="preserve"> knowledge sills and </w:t>
      </w:r>
      <w:r w:rsidR="00013E1C" w:rsidRPr="001C1B4C">
        <w:rPr>
          <w:rFonts w:ascii="Arial" w:hAnsi="Arial" w:cs="Arial"/>
          <w:sz w:val="24"/>
          <w:szCs w:val="24"/>
        </w:rPr>
        <w:t>behaviours</w:t>
      </w:r>
      <w:r w:rsidRPr="001C1B4C">
        <w:rPr>
          <w:rFonts w:ascii="Arial" w:hAnsi="Arial" w:cs="Arial"/>
          <w:sz w:val="24"/>
          <w:szCs w:val="24"/>
        </w:rPr>
        <w:t xml:space="preserve"> into their role. To address this, it is advisable to implement follow-up strategies, such as coaching, reflective logs, or structured action plans that reinforce what has </w:t>
      </w:r>
      <w:proofErr w:type="gramStart"/>
      <w:r w:rsidRPr="001C1B4C">
        <w:rPr>
          <w:rFonts w:ascii="Arial" w:hAnsi="Arial" w:cs="Arial"/>
          <w:sz w:val="24"/>
          <w:szCs w:val="24"/>
        </w:rPr>
        <w:t>been learned</w:t>
      </w:r>
      <w:proofErr w:type="gramEnd"/>
      <w:r w:rsidRPr="001C1B4C">
        <w:rPr>
          <w:rFonts w:ascii="Arial" w:hAnsi="Arial" w:cs="Arial"/>
          <w:sz w:val="24"/>
          <w:szCs w:val="24"/>
        </w:rPr>
        <w:t xml:space="preserve"> and assist in embedding new learned behaviours into everyday practice CIPD (2025) The feedback highlights </w:t>
      </w:r>
      <w:proofErr w:type="gramStart"/>
      <w:r w:rsidRPr="001C1B4C">
        <w:rPr>
          <w:rFonts w:ascii="Arial" w:hAnsi="Arial" w:cs="Arial"/>
          <w:sz w:val="24"/>
          <w:szCs w:val="24"/>
        </w:rPr>
        <w:t>several</w:t>
      </w:r>
      <w:proofErr w:type="gramEnd"/>
      <w:r w:rsidRPr="001C1B4C">
        <w:rPr>
          <w:rFonts w:ascii="Arial" w:hAnsi="Arial" w:cs="Arial"/>
          <w:sz w:val="24"/>
          <w:szCs w:val="24"/>
        </w:rPr>
        <w:t xml:space="preserve"> recommendations. Hr </w:t>
      </w:r>
      <w:r w:rsidR="00013E1C" w:rsidRPr="001C1B4C">
        <w:rPr>
          <w:rFonts w:ascii="Arial" w:hAnsi="Arial" w:cs="Arial"/>
          <w:sz w:val="24"/>
          <w:szCs w:val="24"/>
        </w:rPr>
        <w:t xml:space="preserve">should </w:t>
      </w:r>
      <w:proofErr w:type="gramStart"/>
      <w:r w:rsidR="00013E1C" w:rsidRPr="001C1B4C">
        <w:rPr>
          <w:rFonts w:ascii="Arial" w:hAnsi="Arial" w:cs="Arial"/>
          <w:sz w:val="24"/>
          <w:szCs w:val="24"/>
        </w:rPr>
        <w:t>carry</w:t>
      </w:r>
      <w:r w:rsidRPr="001C1B4C">
        <w:rPr>
          <w:rFonts w:ascii="Arial" w:hAnsi="Arial" w:cs="Arial"/>
          <w:sz w:val="24"/>
          <w:szCs w:val="24"/>
        </w:rPr>
        <w:t xml:space="preserve"> out</w:t>
      </w:r>
      <w:proofErr w:type="gramEnd"/>
      <w:r w:rsidRPr="001C1B4C">
        <w:rPr>
          <w:rFonts w:ascii="Arial" w:hAnsi="Arial" w:cs="Arial"/>
          <w:sz w:val="24"/>
          <w:szCs w:val="24"/>
        </w:rPr>
        <w:t xml:space="preserve"> a pre-training needs analysis to capture learner preferences and customise content to suit specific roles and skill gaps. This might include brief surveys or input from line managers to identify development priorities (CIPD, 2022). Additionally, training sessions should </w:t>
      </w:r>
      <w:proofErr w:type="gramStart"/>
      <w:r w:rsidRPr="001C1B4C">
        <w:rPr>
          <w:rFonts w:ascii="Arial" w:hAnsi="Arial" w:cs="Arial"/>
          <w:sz w:val="24"/>
          <w:szCs w:val="24"/>
        </w:rPr>
        <w:t>be designed</w:t>
      </w:r>
      <w:proofErr w:type="gramEnd"/>
      <w:r w:rsidRPr="001C1B4C">
        <w:rPr>
          <w:rFonts w:ascii="Arial" w:hAnsi="Arial" w:cs="Arial"/>
          <w:sz w:val="24"/>
          <w:szCs w:val="24"/>
        </w:rPr>
        <w:t xml:space="preserve"> with greater clarity and inclusivity, offering space for active participation and reflection. Consistent check-ins and feedback mechanisms are vital to support ongoing learning and maintain alignment with strategic objectives CIPD (2025). </w:t>
      </w:r>
    </w:p>
    <w:p w14:paraId="7DA95037" w14:textId="77777777" w:rsidR="00A95A36" w:rsidRPr="001C1B4C" w:rsidRDefault="00A95A36" w:rsidP="00A95A36">
      <w:pPr>
        <w:rPr>
          <w:rFonts w:ascii="Arial" w:hAnsi="Arial" w:cs="Arial"/>
          <w:sz w:val="24"/>
          <w:szCs w:val="24"/>
        </w:rPr>
      </w:pPr>
      <w:r w:rsidRPr="001C1B4C">
        <w:rPr>
          <w:rFonts w:ascii="Arial" w:hAnsi="Arial" w:cs="Arial"/>
          <w:sz w:val="24"/>
          <w:szCs w:val="24"/>
        </w:rPr>
        <w:t>In conclusion, although the facilitator led the session effectively, employee feedback revealed a lack of engagement, support, and clarity around applying the learning in practice. These insights reflect advocating for a move towards development that is learner-focused, performance-driven, and grounded in meaningful feedback. By integrating these into future learning and development initiatives, Technivara can enhance the impact of its performance feedback, align with strategic objectives, and foster a culture committed to ongoing improvement and development.</w:t>
      </w:r>
    </w:p>
    <w:p w14:paraId="0DEB7702" w14:textId="77777777" w:rsidR="00013E1C" w:rsidRDefault="00013E1C" w:rsidP="00A95A36"/>
    <w:p w14:paraId="6DC4E650" w14:textId="77777777" w:rsidR="00013E1C" w:rsidRDefault="00013E1C" w:rsidP="00A95A36"/>
    <w:p w14:paraId="506A3E16" w14:textId="77777777" w:rsidR="00013E1C" w:rsidRDefault="00013E1C" w:rsidP="00A95A36"/>
    <w:p w14:paraId="71B45750" w14:textId="6D02146E" w:rsidR="00397EC9" w:rsidRPr="001D0253" w:rsidRDefault="00397EC9" w:rsidP="00397EC9">
      <w:pPr>
        <w:spacing w:line="360" w:lineRule="auto"/>
        <w:jc w:val="center"/>
        <w:rPr>
          <w:rFonts w:ascii="Arial" w:eastAsia="Arial" w:hAnsi="Arial" w:cs="Arial"/>
          <w:sz w:val="24"/>
          <w:szCs w:val="24"/>
          <w:u w:val="single"/>
        </w:rPr>
      </w:pPr>
      <w:r w:rsidRPr="001D0253">
        <w:rPr>
          <w:rFonts w:ascii="Arial" w:eastAsia="Arial" w:hAnsi="Arial" w:cs="Arial"/>
          <w:sz w:val="24"/>
          <w:szCs w:val="24"/>
          <w:u w:val="single"/>
        </w:rPr>
        <w:t>Reference List</w:t>
      </w:r>
    </w:p>
    <w:p w14:paraId="7BC5E372"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 xml:space="preserve">Armstrong, </w:t>
      </w:r>
      <w:proofErr w:type="gramStart"/>
      <w:r w:rsidRPr="001D0253">
        <w:rPr>
          <w:rFonts w:ascii="Arial" w:hAnsi="Arial" w:cs="Arial"/>
          <w:sz w:val="24"/>
          <w:szCs w:val="24"/>
        </w:rPr>
        <w:t>M.</w:t>
      </w:r>
      <w:proofErr w:type="gramEnd"/>
      <w:r w:rsidRPr="001D0253">
        <w:rPr>
          <w:rFonts w:ascii="Arial" w:hAnsi="Arial" w:cs="Arial"/>
          <w:sz w:val="24"/>
          <w:szCs w:val="24"/>
        </w:rPr>
        <w:t xml:space="preserve"> and Taylor, S. (2023) Armstrong’s handbook of human resource management practice. 16th ed. London: Kogan Page.</w:t>
      </w:r>
    </w:p>
    <w:p w14:paraId="71B3838C" w14:textId="77777777" w:rsidR="00397EC9" w:rsidRPr="001D0253" w:rsidRDefault="00397EC9" w:rsidP="001D0253">
      <w:pPr>
        <w:pStyle w:val="NoSpacing"/>
        <w:rPr>
          <w:rFonts w:ascii="Arial" w:hAnsi="Arial" w:cs="Arial"/>
          <w:sz w:val="24"/>
          <w:szCs w:val="24"/>
        </w:rPr>
      </w:pPr>
    </w:p>
    <w:p w14:paraId="0ECA8ADF"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Beevers K, Rea A and Hayden D (2020). Learning and Development Practice in the Workplace. 4</w:t>
      </w:r>
      <w:r w:rsidRPr="001D0253">
        <w:rPr>
          <w:rFonts w:ascii="Arial" w:hAnsi="Arial" w:cs="Arial"/>
          <w:sz w:val="24"/>
          <w:szCs w:val="24"/>
          <w:vertAlign w:val="superscript"/>
        </w:rPr>
        <w:t>th</w:t>
      </w:r>
      <w:r w:rsidRPr="001D0253">
        <w:rPr>
          <w:rFonts w:ascii="Arial" w:hAnsi="Arial" w:cs="Arial"/>
          <w:sz w:val="24"/>
          <w:szCs w:val="24"/>
        </w:rPr>
        <w:t xml:space="preserve"> ed. London: Kogan Page.</w:t>
      </w:r>
    </w:p>
    <w:p w14:paraId="0B3E4DFA" w14:textId="77777777" w:rsidR="00397EC9" w:rsidRPr="001D0253" w:rsidRDefault="00397EC9" w:rsidP="001D0253">
      <w:pPr>
        <w:pStyle w:val="NoSpacing"/>
        <w:rPr>
          <w:rFonts w:ascii="Arial" w:hAnsi="Arial" w:cs="Arial"/>
          <w:sz w:val="24"/>
          <w:szCs w:val="24"/>
        </w:rPr>
      </w:pPr>
    </w:p>
    <w:p w14:paraId="704235CD"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Bono, E. (</w:t>
      </w:r>
      <w:proofErr w:type="gramStart"/>
      <w:r w:rsidRPr="001D0253">
        <w:rPr>
          <w:rFonts w:ascii="Arial" w:hAnsi="Arial" w:cs="Arial"/>
          <w:sz w:val="24"/>
          <w:szCs w:val="24"/>
        </w:rPr>
        <w:t>2000</w:t>
      </w:r>
      <w:proofErr w:type="gramEnd"/>
      <w:r w:rsidRPr="001D0253">
        <w:rPr>
          <w:rFonts w:ascii="Arial" w:hAnsi="Arial" w:cs="Arial"/>
          <w:sz w:val="24"/>
          <w:szCs w:val="24"/>
        </w:rPr>
        <w:t>) Six Thinking Hats. UK: Penguin</w:t>
      </w:r>
    </w:p>
    <w:p w14:paraId="3716EC57" w14:textId="77777777" w:rsidR="00397EC9" w:rsidRPr="001D0253" w:rsidRDefault="00397EC9" w:rsidP="001D0253">
      <w:pPr>
        <w:pStyle w:val="NoSpacing"/>
        <w:rPr>
          <w:rFonts w:ascii="Arial" w:hAnsi="Arial" w:cs="Arial"/>
          <w:sz w:val="24"/>
          <w:szCs w:val="24"/>
        </w:rPr>
      </w:pPr>
    </w:p>
    <w:p w14:paraId="05758A9E"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Broom, G, (2024). </w:t>
      </w:r>
      <w:r w:rsidRPr="001D0253">
        <w:rPr>
          <w:rFonts w:ascii="Arial" w:hAnsi="Arial" w:cs="Arial"/>
          <w:i/>
          <w:iCs/>
          <w:sz w:val="24"/>
          <w:szCs w:val="24"/>
        </w:rPr>
        <w:t xml:space="preserve">Understanding UK companies balance sheets: a clear and simple guide (Online) </w:t>
      </w:r>
      <w:r w:rsidRPr="001D0253">
        <w:rPr>
          <w:rFonts w:ascii="Arial" w:hAnsi="Arial" w:cs="Arial"/>
          <w:sz w:val="24"/>
          <w:szCs w:val="24"/>
        </w:rPr>
        <w:t xml:space="preserve">Available at: </w:t>
      </w:r>
      <w:hyperlink r:id="rId10" w:history="1">
        <w:r w:rsidRPr="001D0253">
          <w:rPr>
            <w:rStyle w:val="Hyperlink"/>
            <w:rFonts w:ascii="Arial" w:hAnsi="Arial" w:cs="Arial"/>
            <w:sz w:val="24"/>
            <w:szCs w:val="24"/>
          </w:rPr>
          <w:t>Understanding UK companies’ balance sheets: a clear and simple guide</w:t>
        </w:r>
      </w:hyperlink>
      <w:r w:rsidRPr="001D0253">
        <w:rPr>
          <w:rFonts w:ascii="Arial" w:hAnsi="Arial" w:cs="Arial"/>
          <w:sz w:val="24"/>
          <w:szCs w:val="24"/>
        </w:rPr>
        <w:t>. Accessed: 13</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7555B4D8" w14:textId="77777777" w:rsidR="001D0253" w:rsidRDefault="001D0253" w:rsidP="001D0253">
      <w:pPr>
        <w:pStyle w:val="NoSpacing"/>
        <w:rPr>
          <w:rFonts w:ascii="Arial" w:hAnsi="Arial" w:cs="Arial"/>
          <w:sz w:val="24"/>
          <w:szCs w:val="24"/>
        </w:rPr>
      </w:pPr>
    </w:p>
    <w:p w14:paraId="657CE9C6" w14:textId="61B845AC" w:rsidR="00397EC9" w:rsidRPr="001D0253" w:rsidRDefault="00397EC9" w:rsidP="001D0253">
      <w:pPr>
        <w:pStyle w:val="NoSpacing"/>
        <w:rPr>
          <w:rFonts w:ascii="Arial" w:hAnsi="Arial" w:cs="Arial"/>
          <w:sz w:val="24"/>
          <w:szCs w:val="24"/>
        </w:rPr>
      </w:pPr>
      <w:r w:rsidRPr="001D0253">
        <w:rPr>
          <w:rFonts w:ascii="Arial" w:hAnsi="Arial" w:cs="Arial"/>
          <w:sz w:val="24"/>
          <w:szCs w:val="24"/>
        </w:rPr>
        <w:t>Buchanan, DA. And Huczynski, AA. (2023). Organisational Behaviour. 11</w:t>
      </w:r>
      <w:r w:rsidRPr="001D0253">
        <w:rPr>
          <w:rFonts w:ascii="Arial" w:hAnsi="Arial" w:cs="Arial"/>
          <w:sz w:val="24"/>
          <w:szCs w:val="24"/>
          <w:vertAlign w:val="superscript"/>
        </w:rPr>
        <w:t>th</w:t>
      </w:r>
      <w:r w:rsidRPr="001D0253">
        <w:rPr>
          <w:rFonts w:ascii="Arial" w:hAnsi="Arial" w:cs="Arial"/>
          <w:sz w:val="24"/>
          <w:szCs w:val="24"/>
        </w:rPr>
        <w:t xml:space="preserve"> ed. UK: Pearson</w:t>
      </w:r>
    </w:p>
    <w:p w14:paraId="27534C91" w14:textId="77777777" w:rsidR="001D0253" w:rsidRDefault="001D0253" w:rsidP="001D0253">
      <w:pPr>
        <w:spacing w:line="240" w:lineRule="auto"/>
        <w:rPr>
          <w:rFonts w:ascii="Arial" w:hAnsi="Arial" w:cs="Arial"/>
          <w:sz w:val="24"/>
          <w:szCs w:val="24"/>
        </w:rPr>
      </w:pPr>
    </w:p>
    <w:p w14:paraId="0D187831" w14:textId="39D123B3"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Cardiff &amp; Vale University Health Board, (2025). Exit Questionnaire (Online). (</w:t>
      </w:r>
      <w:hyperlink r:id="rId11" w:history="1">
        <w:r w:rsidRPr="001D0253">
          <w:rPr>
            <w:rStyle w:val="Hyperlink"/>
            <w:rFonts w:ascii="Arial" w:hAnsi="Arial" w:cs="Arial"/>
            <w:sz w:val="24"/>
            <w:szCs w:val="24"/>
          </w:rPr>
          <w:t>Exit Questionnaire - Cardiff and Vale University Health Board</w:t>
        </w:r>
      </w:hyperlink>
      <w:r w:rsidRPr="001D0253">
        <w:rPr>
          <w:rFonts w:ascii="Arial" w:hAnsi="Arial" w:cs="Arial"/>
          <w:sz w:val="24"/>
          <w:szCs w:val="24"/>
        </w:rPr>
        <w:t xml:space="preserve">. </w:t>
      </w:r>
      <w:r w:rsidR="009A0E6E" w:rsidRPr="001D0253">
        <w:rPr>
          <w:rFonts w:ascii="Arial" w:hAnsi="Arial" w:cs="Arial"/>
          <w:sz w:val="24"/>
          <w:szCs w:val="24"/>
        </w:rPr>
        <w:t>Accessed</w:t>
      </w:r>
      <w:r w:rsidRPr="001D0253">
        <w:rPr>
          <w:rFonts w:ascii="Arial" w:hAnsi="Arial" w:cs="Arial"/>
          <w:sz w:val="24"/>
          <w:szCs w:val="24"/>
        </w:rPr>
        <w:t>: 14</w:t>
      </w:r>
      <w:r w:rsidRPr="001D0253">
        <w:rPr>
          <w:rFonts w:ascii="Arial" w:hAnsi="Arial" w:cs="Arial"/>
          <w:sz w:val="24"/>
          <w:szCs w:val="24"/>
          <w:vertAlign w:val="superscript"/>
        </w:rPr>
        <w:t>th</w:t>
      </w:r>
      <w:r w:rsidRPr="001D0253">
        <w:rPr>
          <w:rFonts w:ascii="Arial" w:hAnsi="Arial" w:cs="Arial"/>
          <w:sz w:val="24"/>
          <w:szCs w:val="24"/>
        </w:rPr>
        <w:t xml:space="preserve"> August 2025.</w:t>
      </w:r>
    </w:p>
    <w:p w14:paraId="7EC7A18D" w14:textId="77777777" w:rsidR="00397EC9" w:rsidRPr="001D0253" w:rsidRDefault="00397EC9" w:rsidP="001D0253">
      <w:pPr>
        <w:pStyle w:val="NoSpacing"/>
        <w:rPr>
          <w:rFonts w:ascii="Arial" w:hAnsi="Arial" w:cs="Arial"/>
          <w:sz w:val="24"/>
          <w:szCs w:val="24"/>
        </w:rPr>
      </w:pPr>
    </w:p>
    <w:p w14:paraId="4B8D8F70"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Chatfield, T. (2020) Think Critically. London: Sage Publications Ltd</w:t>
      </w:r>
    </w:p>
    <w:p w14:paraId="10C4A736" w14:textId="77777777" w:rsidR="00397EC9" w:rsidRPr="001D0253" w:rsidRDefault="00397EC9" w:rsidP="001D0253">
      <w:pPr>
        <w:pStyle w:val="NoSpacing"/>
        <w:rPr>
          <w:rFonts w:ascii="Arial" w:hAnsi="Arial" w:cs="Arial"/>
          <w:sz w:val="24"/>
          <w:szCs w:val="24"/>
        </w:rPr>
      </w:pPr>
    </w:p>
    <w:p w14:paraId="634F8F31"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Cotrell, S. (2023) Critical Thinking Skills, Effective Analysis, Argument and Reflection. 5</w:t>
      </w:r>
      <w:r w:rsidRPr="001D0253">
        <w:rPr>
          <w:rFonts w:ascii="Arial" w:hAnsi="Arial" w:cs="Arial"/>
          <w:sz w:val="24"/>
          <w:szCs w:val="24"/>
          <w:vertAlign w:val="superscript"/>
        </w:rPr>
        <w:t>th</w:t>
      </w:r>
      <w:r w:rsidRPr="001D0253">
        <w:rPr>
          <w:rFonts w:ascii="Arial" w:hAnsi="Arial" w:cs="Arial"/>
          <w:sz w:val="24"/>
          <w:szCs w:val="24"/>
        </w:rPr>
        <w:t xml:space="preserve"> ed. London: Bloomsbury Academic</w:t>
      </w:r>
    </w:p>
    <w:p w14:paraId="7E353D10" w14:textId="77777777" w:rsidR="00397EC9" w:rsidRPr="001D0253" w:rsidRDefault="00397EC9" w:rsidP="001D0253">
      <w:pPr>
        <w:pStyle w:val="NoSpacing"/>
        <w:rPr>
          <w:rFonts w:ascii="Arial" w:hAnsi="Arial" w:cs="Arial"/>
          <w:sz w:val="24"/>
          <w:szCs w:val="24"/>
        </w:rPr>
      </w:pPr>
    </w:p>
    <w:p w14:paraId="42C776E2"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(2015), Ethical decision making 2015. Eight perspectives on workplace dilemmas. Available at: </w:t>
      </w:r>
      <w:hyperlink r:id="rId12" w:history="1">
        <w:r w:rsidRPr="001D0253">
          <w:rPr>
            <w:rStyle w:val="Hyperlink"/>
            <w:rFonts w:ascii="Arial" w:hAnsi="Arial" w:cs="Arial"/>
            <w:sz w:val="24"/>
            <w:szCs w:val="24"/>
          </w:rPr>
          <w:t>ethical-decision-making-2015-eight-perspectives-on-workplace-dilemmas_tcm29-9564.pdf</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79288454" w14:textId="77777777" w:rsidR="00397EC9" w:rsidRPr="001D0253" w:rsidRDefault="00397EC9" w:rsidP="001D0253">
      <w:pPr>
        <w:spacing w:line="240" w:lineRule="auto"/>
        <w:rPr>
          <w:rFonts w:ascii="Arial" w:hAnsi="Arial" w:cs="Arial"/>
          <w:sz w:val="24"/>
          <w:szCs w:val="24"/>
        </w:rPr>
      </w:pPr>
    </w:p>
    <w:p w14:paraId="22698E9E"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(2016), Performance Management: Could do better. Available at:  </w:t>
      </w:r>
      <w:hyperlink r:id="rId13" w:history="1">
        <w:r w:rsidRPr="001D0253">
          <w:rPr>
            <w:rStyle w:val="Hyperlink"/>
            <w:rFonts w:ascii="Arial" w:hAnsi="Arial" w:cs="Arial"/>
            <w:sz w:val="24"/>
            <w:szCs w:val="24"/>
          </w:rPr>
          <w:t>Performance management: Could do better? | CIPD</w:t>
        </w:r>
      </w:hyperlink>
      <w:r w:rsidRPr="001D0253">
        <w:rPr>
          <w:rFonts w:ascii="Arial" w:hAnsi="Arial" w:cs="Arial"/>
          <w:sz w:val="24"/>
          <w:szCs w:val="24"/>
        </w:rPr>
        <w:t xml:space="preserve"> (Accessed: 15</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4690FFDE" w14:textId="77777777" w:rsidR="00397EC9" w:rsidRPr="001D0253" w:rsidRDefault="00397EC9" w:rsidP="001D0253">
      <w:pPr>
        <w:spacing w:line="240" w:lineRule="auto"/>
        <w:rPr>
          <w:rFonts w:ascii="Arial" w:hAnsi="Arial" w:cs="Arial"/>
          <w:sz w:val="24"/>
          <w:szCs w:val="24"/>
        </w:rPr>
      </w:pPr>
    </w:p>
    <w:p w14:paraId="43B4B187"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(2021), Employee engagement: an evidence review. Available at: </w:t>
      </w:r>
      <w:hyperlink r:id="rId14" w:history="1">
        <w:r w:rsidRPr="001D0253">
          <w:rPr>
            <w:rStyle w:val="Hyperlink"/>
            <w:rFonts w:ascii="Arial" w:hAnsi="Arial" w:cs="Arial"/>
            <w:sz w:val="24"/>
            <w:szCs w:val="24"/>
          </w:rPr>
          <w:t>Employee engagement: an evidence review | CIPD | CIPD</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060B65A2" w14:textId="77777777" w:rsidR="00397EC9" w:rsidRPr="001D0253" w:rsidRDefault="00397EC9" w:rsidP="001D0253">
      <w:pPr>
        <w:spacing w:line="240" w:lineRule="auto"/>
        <w:rPr>
          <w:rFonts w:ascii="Arial" w:hAnsi="Arial" w:cs="Arial"/>
          <w:sz w:val="24"/>
          <w:szCs w:val="24"/>
        </w:rPr>
      </w:pPr>
    </w:p>
    <w:p w14:paraId="7E46A64E" w14:textId="0AAE38CE" w:rsidR="00397EC9" w:rsidRPr="001D0253" w:rsidRDefault="00792E6E" w:rsidP="001D0253">
      <w:pPr>
        <w:spacing w:line="240" w:lineRule="auto"/>
        <w:rPr>
          <w:rFonts w:ascii="Arial" w:hAnsi="Arial" w:cs="Arial"/>
          <w:sz w:val="24"/>
          <w:szCs w:val="24"/>
        </w:rPr>
      </w:pPr>
      <w:r w:rsidRPr="001D0253">
        <w:rPr>
          <w:rFonts w:ascii="Arial" w:hAnsi="Arial" w:cs="Arial"/>
          <w:sz w:val="24"/>
          <w:szCs w:val="24"/>
        </w:rPr>
        <w:t>CIPD, (</w:t>
      </w:r>
      <w:r w:rsidR="00397EC9" w:rsidRPr="001D0253">
        <w:rPr>
          <w:rFonts w:ascii="Arial" w:hAnsi="Arial" w:cs="Arial"/>
          <w:sz w:val="24"/>
          <w:szCs w:val="24"/>
        </w:rPr>
        <w:t xml:space="preserve">2022), Can AI feedback improve employee performance Using AI responsibly in people management. Available at: </w:t>
      </w:r>
      <w:hyperlink r:id="rId15" w:history="1">
        <w:r w:rsidR="00397EC9" w:rsidRPr="001D0253">
          <w:rPr>
            <w:rStyle w:val="Hyperlink"/>
            <w:rFonts w:ascii="Arial" w:hAnsi="Arial" w:cs="Arial"/>
            <w:sz w:val="24"/>
            <w:szCs w:val="24"/>
          </w:rPr>
          <w:t>Using AI responsibly in people management | CIPD</w:t>
        </w:r>
      </w:hyperlink>
      <w:r w:rsidR="00397EC9" w:rsidRPr="001D0253">
        <w:rPr>
          <w:rFonts w:ascii="Arial" w:hAnsi="Arial" w:cs="Arial"/>
          <w:sz w:val="24"/>
          <w:szCs w:val="24"/>
        </w:rPr>
        <w:t>. (Accessed:  10</w:t>
      </w:r>
      <w:r w:rsidR="00397EC9" w:rsidRPr="001D0253">
        <w:rPr>
          <w:rFonts w:ascii="Arial" w:hAnsi="Arial" w:cs="Arial"/>
          <w:sz w:val="24"/>
          <w:szCs w:val="24"/>
          <w:vertAlign w:val="superscript"/>
        </w:rPr>
        <w:t>th</w:t>
      </w:r>
      <w:r w:rsidR="00397EC9" w:rsidRPr="001D0253">
        <w:rPr>
          <w:rFonts w:ascii="Arial" w:hAnsi="Arial" w:cs="Arial"/>
          <w:sz w:val="24"/>
          <w:szCs w:val="24"/>
        </w:rPr>
        <w:t xml:space="preserve"> September 2025)</w:t>
      </w:r>
    </w:p>
    <w:p w14:paraId="7766EFD9" w14:textId="77777777" w:rsidR="00397EC9" w:rsidRPr="001D0253" w:rsidRDefault="00397EC9" w:rsidP="001D0253">
      <w:pPr>
        <w:spacing w:line="240" w:lineRule="auto"/>
        <w:rPr>
          <w:rFonts w:ascii="Arial" w:hAnsi="Arial" w:cs="Arial"/>
          <w:sz w:val="24"/>
          <w:szCs w:val="24"/>
        </w:rPr>
      </w:pPr>
    </w:p>
    <w:p w14:paraId="430C5F3A"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(2022), Performance Feedback: an evidence review. Available at: </w:t>
      </w:r>
      <w:hyperlink r:id="rId16" w:history="1">
        <w:r w:rsidRPr="001D0253">
          <w:rPr>
            <w:rStyle w:val="Hyperlink"/>
            <w:rFonts w:ascii="Arial" w:hAnsi="Arial" w:cs="Arial"/>
            <w:sz w:val="24"/>
            <w:szCs w:val="24"/>
          </w:rPr>
          <w:t>Performance feedback: an evidence review | CIPD | CIPD</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4CAE169A" w14:textId="77777777" w:rsidR="00397EC9" w:rsidRPr="001D0253" w:rsidRDefault="00397EC9" w:rsidP="001D0253">
      <w:pPr>
        <w:spacing w:line="240" w:lineRule="auto"/>
        <w:rPr>
          <w:rFonts w:ascii="Arial" w:hAnsi="Arial" w:cs="Arial"/>
          <w:sz w:val="24"/>
          <w:szCs w:val="24"/>
        </w:rPr>
      </w:pPr>
    </w:p>
    <w:p w14:paraId="4DA5E650"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(2022), Performance Feedback: an evidence review, Practical summary. </w:t>
      </w:r>
      <w:hyperlink r:id="rId17" w:history="1">
        <w:r w:rsidRPr="001D0253">
          <w:rPr>
            <w:rStyle w:val="Hyperlink"/>
            <w:rFonts w:ascii="Arial" w:hAnsi="Arial" w:cs="Arial"/>
            <w:sz w:val="24"/>
            <w:szCs w:val="24"/>
          </w:rPr>
          <w:t>Performance feedback: an evidence review, Practice summary</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70817921" w14:textId="77777777" w:rsidR="00397EC9" w:rsidRPr="001D0253" w:rsidRDefault="00397EC9" w:rsidP="001D0253">
      <w:pPr>
        <w:spacing w:line="240" w:lineRule="auto"/>
        <w:rPr>
          <w:rFonts w:ascii="Arial" w:hAnsi="Arial" w:cs="Arial"/>
          <w:sz w:val="24"/>
          <w:szCs w:val="24"/>
        </w:rPr>
      </w:pPr>
    </w:p>
    <w:p w14:paraId="3210E0AC" w14:textId="3A2862D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(2022), The </w:t>
      </w:r>
      <w:r w:rsidR="00792E6E" w:rsidRPr="001D0253">
        <w:rPr>
          <w:rFonts w:ascii="Arial" w:hAnsi="Arial" w:cs="Arial"/>
          <w:sz w:val="24"/>
          <w:szCs w:val="24"/>
        </w:rPr>
        <w:t>four-day</w:t>
      </w:r>
      <w:r w:rsidRPr="001D0253">
        <w:rPr>
          <w:rFonts w:ascii="Arial" w:hAnsi="Arial" w:cs="Arial"/>
          <w:sz w:val="24"/>
          <w:szCs w:val="24"/>
        </w:rPr>
        <w:t xml:space="preserve"> week:  Employer perspectives on moving to a shorter working week. Available at:  </w:t>
      </w:r>
      <w:hyperlink r:id="rId18" w:history="1">
        <w:r w:rsidRPr="001D0253">
          <w:rPr>
            <w:rStyle w:val="Hyperlink"/>
            <w:rFonts w:ascii="Arial" w:hAnsi="Arial" w:cs="Arial"/>
            <w:sz w:val="24"/>
            <w:szCs w:val="24"/>
          </w:rPr>
          <w:t>Performance Management | Factsheets | CIPD</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4C87FFB9" w14:textId="77777777" w:rsidR="00397EC9" w:rsidRPr="001D0253" w:rsidRDefault="00397EC9" w:rsidP="001D0253">
      <w:pPr>
        <w:spacing w:line="240" w:lineRule="auto"/>
        <w:rPr>
          <w:rFonts w:ascii="Arial" w:hAnsi="Arial" w:cs="Arial"/>
          <w:sz w:val="24"/>
          <w:szCs w:val="24"/>
        </w:rPr>
      </w:pPr>
    </w:p>
    <w:p w14:paraId="186A42DD"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(2024), </w:t>
      </w:r>
      <w:r w:rsidRPr="001D0253">
        <w:rPr>
          <w:rFonts w:ascii="Arial" w:hAnsi="Arial" w:cs="Arial"/>
          <w:i/>
          <w:iCs/>
          <w:sz w:val="24"/>
          <w:szCs w:val="24"/>
        </w:rPr>
        <w:t xml:space="preserve">Talent Management. </w:t>
      </w:r>
      <w:r w:rsidRPr="001D0253">
        <w:rPr>
          <w:rFonts w:ascii="Arial" w:hAnsi="Arial" w:cs="Arial"/>
          <w:sz w:val="24"/>
          <w:szCs w:val="24"/>
        </w:rPr>
        <w:t>Available at</w:t>
      </w:r>
      <w:r w:rsidRPr="001D0253">
        <w:rPr>
          <w:rFonts w:ascii="Arial" w:hAnsi="Arial" w:cs="Arial"/>
          <w:i/>
          <w:iCs/>
          <w:sz w:val="24"/>
          <w:szCs w:val="24"/>
        </w:rPr>
        <w:t xml:space="preserve">: </w:t>
      </w:r>
      <w:hyperlink r:id="rId19" w:history="1">
        <w:r w:rsidRPr="001D0253">
          <w:rPr>
            <w:rStyle w:val="Hyperlink"/>
            <w:rFonts w:ascii="Arial" w:hAnsi="Arial" w:cs="Arial"/>
            <w:sz w:val="24"/>
            <w:szCs w:val="24"/>
          </w:rPr>
          <w:t>Talent management | Factsheets | CIPD</w:t>
        </w:r>
      </w:hyperlink>
      <w:r w:rsidRPr="001D0253">
        <w:rPr>
          <w:rFonts w:ascii="Arial" w:hAnsi="Arial" w:cs="Arial"/>
          <w:sz w:val="24"/>
          <w:szCs w:val="24"/>
        </w:rPr>
        <w:t>. Accessed:  10</w:t>
      </w:r>
      <w:r w:rsidRPr="001D0253">
        <w:rPr>
          <w:rFonts w:ascii="Arial" w:hAnsi="Arial" w:cs="Arial"/>
          <w:sz w:val="24"/>
          <w:szCs w:val="24"/>
          <w:vertAlign w:val="superscript"/>
        </w:rPr>
        <w:t>th</w:t>
      </w:r>
      <w:r w:rsidRPr="001D0253">
        <w:rPr>
          <w:rFonts w:ascii="Arial" w:hAnsi="Arial" w:cs="Arial"/>
          <w:sz w:val="24"/>
          <w:szCs w:val="24"/>
        </w:rPr>
        <w:t xml:space="preserve"> September 2025) </w:t>
      </w:r>
    </w:p>
    <w:p w14:paraId="731524A6" w14:textId="77777777" w:rsidR="001D0253" w:rsidRDefault="001D0253" w:rsidP="001D0253">
      <w:pPr>
        <w:tabs>
          <w:tab w:val="num" w:pos="720"/>
        </w:tabs>
        <w:spacing w:line="240" w:lineRule="auto"/>
        <w:contextualSpacing/>
        <w:rPr>
          <w:rFonts w:ascii="Arial" w:eastAsia="Arial" w:hAnsi="Arial" w:cs="Arial"/>
          <w:sz w:val="24"/>
          <w:szCs w:val="24"/>
        </w:rPr>
      </w:pPr>
    </w:p>
    <w:p w14:paraId="3F93C5EB" w14:textId="1276CFF8" w:rsidR="00397EC9" w:rsidRPr="001D0253" w:rsidRDefault="00397EC9" w:rsidP="001D0253">
      <w:pPr>
        <w:tabs>
          <w:tab w:val="num" w:pos="720"/>
        </w:tabs>
        <w:spacing w:line="240" w:lineRule="auto"/>
        <w:contextualSpacing/>
        <w:rPr>
          <w:rFonts w:ascii="Arial" w:hAnsi="Arial" w:cs="Arial"/>
          <w:sz w:val="24"/>
          <w:szCs w:val="24"/>
        </w:rPr>
      </w:pPr>
      <w:r w:rsidRPr="001D0253">
        <w:rPr>
          <w:rFonts w:ascii="Arial" w:eastAsia="Arial" w:hAnsi="Arial" w:cs="Arial"/>
          <w:sz w:val="24"/>
          <w:szCs w:val="24"/>
        </w:rPr>
        <w:t>CIPD (</w:t>
      </w:r>
      <w:r w:rsidRPr="001D0253">
        <w:rPr>
          <w:rFonts w:ascii="Arial" w:hAnsi="Arial" w:cs="Arial"/>
          <w:sz w:val="24"/>
          <w:szCs w:val="24"/>
        </w:rPr>
        <w:t xml:space="preserve">2024), Learning and development strategy and policy. Available at: </w:t>
      </w:r>
      <w:hyperlink r:id="rId20" w:anchor="what-is-a-learning-and-development-strategy" w:history="1">
        <w:r w:rsidRPr="001D0253">
          <w:rPr>
            <w:rStyle w:val="Hyperlink"/>
            <w:rFonts w:ascii="Arial" w:hAnsi="Arial" w:cs="Arial"/>
            <w:sz w:val="24"/>
            <w:szCs w:val="24"/>
          </w:rPr>
          <w:t>https://www.cipd.org/uk/knowledge/factsheets/strategy-development-factsheet/#what-is-a-learning-and-development-strategy</w:t>
        </w:r>
      </w:hyperlink>
      <w:r w:rsidRPr="001D0253">
        <w:rPr>
          <w:rFonts w:ascii="Arial" w:hAnsi="Arial" w:cs="Arial"/>
          <w:sz w:val="24"/>
          <w:szCs w:val="24"/>
        </w:rPr>
        <w:t>. (Accessed:  20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231C939A" w14:textId="77777777" w:rsidR="00397EC9" w:rsidRPr="001D0253" w:rsidRDefault="00397EC9" w:rsidP="001D0253">
      <w:pPr>
        <w:spacing w:line="240" w:lineRule="auto"/>
        <w:rPr>
          <w:rFonts w:ascii="Arial" w:hAnsi="Arial" w:cs="Arial"/>
          <w:sz w:val="24"/>
          <w:szCs w:val="24"/>
        </w:rPr>
      </w:pPr>
    </w:p>
    <w:p w14:paraId="1A573C83"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(2024), “Evidence based L &amp; D – The gift of Artificial Intelligence” (Podcast) Available at: </w:t>
      </w:r>
      <w:hyperlink r:id="rId21" w:history="1">
        <w:r w:rsidRPr="001D0253">
          <w:rPr>
            <w:rStyle w:val="Hyperlink"/>
            <w:rFonts w:ascii="Arial" w:hAnsi="Arial" w:cs="Arial"/>
            <w:sz w:val="24"/>
            <w:szCs w:val="24"/>
          </w:rPr>
          <w:t>Evidence-based L&amp;D – The gift of artificial intelligence | CIPD</w:t>
        </w:r>
      </w:hyperlink>
      <w:r w:rsidRPr="001D0253">
        <w:rPr>
          <w:rFonts w:ascii="Arial" w:hAnsi="Arial" w:cs="Arial"/>
          <w:sz w:val="24"/>
          <w:szCs w:val="24"/>
        </w:rPr>
        <w:t>. Accessed:  10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1FB91E98" w14:textId="77777777" w:rsidR="00397EC9" w:rsidRPr="001D0253" w:rsidRDefault="00397EC9" w:rsidP="001D0253">
      <w:pPr>
        <w:spacing w:line="240" w:lineRule="auto"/>
        <w:rPr>
          <w:rFonts w:ascii="Arial" w:hAnsi="Arial" w:cs="Arial"/>
          <w:sz w:val="24"/>
          <w:szCs w:val="24"/>
        </w:rPr>
      </w:pPr>
    </w:p>
    <w:p w14:paraId="1BD77F1E"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(2025), The Professional Map. Professional Values and Purpose. Available at: </w:t>
      </w:r>
      <w:hyperlink r:id="rId22" w:history="1">
        <w:r w:rsidRPr="001D0253">
          <w:rPr>
            <w:rStyle w:val="Hyperlink"/>
            <w:rFonts w:ascii="Arial" w:hAnsi="Arial" w:cs="Arial"/>
            <w:sz w:val="24"/>
            <w:szCs w:val="24"/>
          </w:rPr>
          <w:t>The Profession Map / Professional values and purpose | CIPD</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353469D5" w14:textId="77777777" w:rsidR="00397EC9" w:rsidRPr="001D0253" w:rsidRDefault="00397EC9" w:rsidP="001D0253">
      <w:pPr>
        <w:spacing w:line="240" w:lineRule="auto"/>
        <w:rPr>
          <w:rFonts w:ascii="Arial" w:hAnsi="Arial" w:cs="Arial"/>
          <w:sz w:val="24"/>
          <w:szCs w:val="24"/>
        </w:rPr>
      </w:pPr>
    </w:p>
    <w:p w14:paraId="0A84B444" w14:textId="77777777" w:rsidR="00ED7F2C" w:rsidRDefault="00397EC9" w:rsidP="001D0253">
      <w:pPr>
        <w:spacing w:line="240" w:lineRule="auto"/>
        <w:rPr>
          <w:rFonts w:ascii="Arial" w:hAnsi="Arial" w:cs="Arial"/>
          <w:sz w:val="24"/>
          <w:szCs w:val="24"/>
        </w:rPr>
      </w:pPr>
      <w:r w:rsidRPr="001D0253">
        <w:rPr>
          <w:rFonts w:ascii="Arial" w:hAnsi="Arial" w:cs="Arial"/>
          <w:sz w:val="24"/>
          <w:szCs w:val="24"/>
        </w:rPr>
        <w:t xml:space="preserve">CIPD, (2025), Ethical practice and the role of people professionals. Available at: </w:t>
      </w:r>
      <w:hyperlink r:id="rId23" w:history="1">
        <w:r w:rsidRPr="001D0253">
          <w:rPr>
            <w:rStyle w:val="Hyperlink"/>
            <w:rFonts w:ascii="Arial" w:hAnsi="Arial" w:cs="Arial"/>
            <w:sz w:val="24"/>
            <w:szCs w:val="24"/>
          </w:rPr>
          <w:t>Ethical practice and the role of people professionals | Factsheets | CIPD</w:t>
        </w:r>
      </w:hyperlink>
    </w:p>
    <w:p w14:paraId="5FD8F84E" w14:textId="77777777" w:rsidR="00ED7F2C" w:rsidRDefault="00ED7F2C" w:rsidP="001D0253">
      <w:pPr>
        <w:spacing w:line="240" w:lineRule="auto"/>
        <w:rPr>
          <w:rFonts w:ascii="Arial" w:hAnsi="Arial" w:cs="Arial"/>
          <w:sz w:val="24"/>
          <w:szCs w:val="24"/>
        </w:rPr>
      </w:pPr>
    </w:p>
    <w:p w14:paraId="6AAA6166" w14:textId="21254899"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Using AI responsibly in people management. Available at: </w:t>
      </w:r>
      <w:hyperlink r:id="rId24" w:history="1">
        <w:r w:rsidRPr="001D0253">
          <w:rPr>
            <w:rStyle w:val="Hyperlink"/>
            <w:rFonts w:ascii="Arial" w:hAnsi="Arial" w:cs="Arial"/>
            <w:sz w:val="24"/>
            <w:szCs w:val="24"/>
          </w:rPr>
          <w:t>Using AI responsibly in people management | CIPD</w:t>
        </w:r>
      </w:hyperlink>
      <w:r w:rsidRPr="001D0253">
        <w:rPr>
          <w:rFonts w:ascii="Arial" w:hAnsi="Arial" w:cs="Arial"/>
          <w:sz w:val="24"/>
          <w:szCs w:val="24"/>
        </w:rPr>
        <w:t>. (Accessed:  10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25676DD5" w14:textId="77777777" w:rsidR="00397EC9" w:rsidRPr="001D0253" w:rsidRDefault="00397EC9" w:rsidP="001D0253">
      <w:pPr>
        <w:spacing w:line="240" w:lineRule="auto"/>
        <w:rPr>
          <w:rFonts w:ascii="Arial" w:hAnsi="Arial" w:cs="Arial"/>
          <w:sz w:val="24"/>
          <w:szCs w:val="24"/>
        </w:rPr>
      </w:pPr>
    </w:p>
    <w:p w14:paraId="0BED4DD0"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(2025), </w:t>
      </w:r>
      <w:r w:rsidRPr="001D0253">
        <w:rPr>
          <w:rFonts w:ascii="Arial" w:hAnsi="Arial" w:cs="Arial"/>
          <w:i/>
          <w:iCs/>
          <w:sz w:val="24"/>
          <w:szCs w:val="24"/>
        </w:rPr>
        <w:t xml:space="preserve">Wellbeing at Work. </w:t>
      </w:r>
      <w:r w:rsidRPr="001D0253">
        <w:rPr>
          <w:rFonts w:ascii="Arial" w:hAnsi="Arial" w:cs="Arial"/>
          <w:sz w:val="24"/>
          <w:szCs w:val="24"/>
        </w:rPr>
        <w:t>Available at</w:t>
      </w:r>
      <w:r w:rsidRPr="001D0253">
        <w:rPr>
          <w:rFonts w:ascii="Arial" w:hAnsi="Arial" w:cs="Arial"/>
          <w:i/>
          <w:iCs/>
          <w:sz w:val="24"/>
          <w:szCs w:val="24"/>
        </w:rPr>
        <w:t xml:space="preserve">: </w:t>
      </w:r>
      <w:hyperlink r:id="rId25" w:history="1">
        <w:r w:rsidRPr="001D0253">
          <w:rPr>
            <w:rStyle w:val="Hyperlink"/>
            <w:rFonts w:ascii="Arial" w:hAnsi="Arial" w:cs="Arial"/>
            <w:i/>
            <w:iCs/>
            <w:sz w:val="24"/>
            <w:szCs w:val="24"/>
          </w:rPr>
          <w:t>Wellbeing at Work | Factsheets | CIPD</w:t>
        </w:r>
      </w:hyperlink>
      <w:r w:rsidRPr="001D0253">
        <w:rPr>
          <w:rFonts w:ascii="Arial" w:hAnsi="Arial" w:cs="Arial"/>
          <w:i/>
          <w:iCs/>
          <w:sz w:val="24"/>
          <w:szCs w:val="24"/>
        </w:rPr>
        <w:t>.</w:t>
      </w:r>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 </w:t>
      </w:r>
    </w:p>
    <w:p w14:paraId="29CED857" w14:textId="77777777" w:rsidR="00397EC9" w:rsidRPr="001D0253" w:rsidRDefault="00397EC9" w:rsidP="001D0253">
      <w:pPr>
        <w:spacing w:line="240" w:lineRule="auto"/>
        <w:rPr>
          <w:rFonts w:ascii="Arial" w:hAnsi="Arial" w:cs="Arial"/>
          <w:sz w:val="24"/>
          <w:szCs w:val="24"/>
        </w:rPr>
      </w:pPr>
    </w:p>
    <w:p w14:paraId="7F4E48C9" w14:textId="0AFB6025"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(2025), </w:t>
      </w:r>
      <w:r w:rsidRPr="001D0253">
        <w:rPr>
          <w:rFonts w:ascii="Arial" w:hAnsi="Arial" w:cs="Arial"/>
          <w:i/>
          <w:iCs/>
          <w:sz w:val="24"/>
          <w:szCs w:val="24"/>
        </w:rPr>
        <w:t xml:space="preserve">Retention Tools. </w:t>
      </w:r>
      <w:r w:rsidRPr="001D0253">
        <w:rPr>
          <w:rFonts w:ascii="Arial" w:hAnsi="Arial" w:cs="Arial"/>
          <w:sz w:val="24"/>
          <w:szCs w:val="24"/>
        </w:rPr>
        <w:t>Available at</w:t>
      </w:r>
      <w:r w:rsidRPr="001D0253">
        <w:rPr>
          <w:rFonts w:ascii="Arial" w:hAnsi="Arial" w:cs="Arial"/>
          <w:i/>
          <w:iCs/>
          <w:sz w:val="24"/>
          <w:szCs w:val="24"/>
        </w:rPr>
        <w:t xml:space="preserve">: </w:t>
      </w:r>
      <w:hyperlink r:id="rId26" w:history="1">
        <w:r w:rsidRPr="001D0253">
          <w:rPr>
            <w:rStyle w:val="Hyperlink"/>
            <w:rFonts w:ascii="Arial" w:hAnsi="Arial" w:cs="Arial"/>
            <w:sz w:val="24"/>
            <w:szCs w:val="24"/>
          </w:rPr>
          <w:t>Retention tools | CIPD</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 </w:t>
      </w:r>
    </w:p>
    <w:p w14:paraId="794B3649" w14:textId="77777777" w:rsidR="00397EC9" w:rsidRPr="001D0253" w:rsidRDefault="00397EC9" w:rsidP="001D0253">
      <w:pPr>
        <w:spacing w:line="240" w:lineRule="auto"/>
        <w:rPr>
          <w:rFonts w:ascii="Arial" w:hAnsi="Arial" w:cs="Arial"/>
          <w:sz w:val="24"/>
          <w:szCs w:val="24"/>
        </w:rPr>
      </w:pPr>
    </w:p>
    <w:p w14:paraId="556E84AE" w14:textId="68A42EF3"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(2025), </w:t>
      </w:r>
      <w:r w:rsidRPr="001D0253">
        <w:rPr>
          <w:rFonts w:ascii="Arial" w:hAnsi="Arial" w:cs="Arial"/>
          <w:i/>
          <w:iCs/>
          <w:sz w:val="24"/>
          <w:szCs w:val="24"/>
        </w:rPr>
        <w:t xml:space="preserve">The Professional Map. Specialist Knowledge. Reward. </w:t>
      </w:r>
      <w:r w:rsidRPr="001D0253">
        <w:rPr>
          <w:rFonts w:ascii="Arial" w:hAnsi="Arial" w:cs="Arial"/>
          <w:sz w:val="24"/>
          <w:szCs w:val="24"/>
        </w:rPr>
        <w:t>Available at</w:t>
      </w:r>
      <w:r w:rsidRPr="001D0253">
        <w:rPr>
          <w:rFonts w:ascii="Arial" w:hAnsi="Arial" w:cs="Arial"/>
          <w:i/>
          <w:iCs/>
          <w:sz w:val="24"/>
          <w:szCs w:val="24"/>
        </w:rPr>
        <w:t xml:space="preserve">: </w:t>
      </w:r>
      <w:hyperlink r:id="rId27" w:history="1">
        <w:r w:rsidRPr="001D0253">
          <w:rPr>
            <w:rStyle w:val="Hyperlink"/>
            <w:rFonts w:ascii="Arial" w:hAnsi="Arial" w:cs="Arial"/>
            <w:sz w:val="24"/>
            <w:szCs w:val="24"/>
          </w:rPr>
          <w:t>The Profession Map / Specialist knowledge / Reward | CIPD</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 </w:t>
      </w:r>
    </w:p>
    <w:p w14:paraId="0BE4F249" w14:textId="77777777" w:rsidR="00397EC9" w:rsidRPr="001D0253" w:rsidRDefault="00397EC9" w:rsidP="001D0253">
      <w:pPr>
        <w:spacing w:line="240" w:lineRule="auto"/>
        <w:rPr>
          <w:rFonts w:ascii="Arial" w:hAnsi="Arial" w:cs="Arial"/>
          <w:sz w:val="24"/>
          <w:szCs w:val="24"/>
        </w:rPr>
      </w:pPr>
    </w:p>
    <w:p w14:paraId="692FA3A6"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w:t>
      </w:r>
      <w:r w:rsidRPr="001D0253">
        <w:rPr>
          <w:rFonts w:ascii="Arial" w:hAnsi="Arial" w:cs="Arial"/>
          <w:i/>
          <w:iCs/>
          <w:sz w:val="24"/>
          <w:szCs w:val="24"/>
        </w:rPr>
        <w:t xml:space="preserve">Employee engagement: definitions, measures and outcomes </w:t>
      </w:r>
      <w:r w:rsidRPr="001D0253">
        <w:rPr>
          <w:rFonts w:ascii="Arial" w:hAnsi="Arial" w:cs="Arial"/>
          <w:sz w:val="24"/>
          <w:szCs w:val="24"/>
        </w:rPr>
        <w:t>Available at</w:t>
      </w:r>
      <w:r w:rsidRPr="001D0253">
        <w:rPr>
          <w:rFonts w:ascii="Arial" w:hAnsi="Arial" w:cs="Arial"/>
          <w:i/>
          <w:iCs/>
          <w:sz w:val="24"/>
          <w:szCs w:val="24"/>
        </w:rPr>
        <w:t>:</w:t>
      </w:r>
      <w:hyperlink r:id="rId28" w:history="1">
        <w:r w:rsidRPr="001D0253">
          <w:rPr>
            <w:rStyle w:val="Hyperlink"/>
            <w:rFonts w:ascii="Arial" w:hAnsi="Arial" w:cs="Arial"/>
            <w:sz w:val="24"/>
            <w:szCs w:val="24"/>
          </w:rPr>
          <w:t>Employee engagement: definitions, measures and outcomes</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 </w:t>
      </w:r>
    </w:p>
    <w:p w14:paraId="63A5FBEE" w14:textId="77777777" w:rsidR="00397EC9" w:rsidRPr="001D0253" w:rsidRDefault="00397EC9" w:rsidP="001D0253">
      <w:pPr>
        <w:spacing w:line="240" w:lineRule="auto"/>
        <w:rPr>
          <w:rFonts w:ascii="Arial" w:hAnsi="Arial" w:cs="Arial"/>
          <w:sz w:val="24"/>
          <w:szCs w:val="24"/>
        </w:rPr>
      </w:pPr>
    </w:p>
    <w:p w14:paraId="71BED77D" w14:textId="5F1C0A2A"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CIPD, (2025</w:t>
      </w:r>
      <w:r w:rsidR="00792E6E" w:rsidRPr="001D0253">
        <w:rPr>
          <w:rFonts w:ascii="Arial" w:hAnsi="Arial" w:cs="Arial"/>
          <w:sz w:val="24"/>
          <w:szCs w:val="24"/>
        </w:rPr>
        <w:t>),</w:t>
      </w:r>
      <w:r w:rsidR="00792E6E" w:rsidRPr="001D0253">
        <w:rPr>
          <w:rFonts w:ascii="Arial" w:hAnsi="Arial" w:cs="Arial"/>
          <w:i/>
          <w:iCs/>
          <w:sz w:val="24"/>
          <w:szCs w:val="24"/>
        </w:rPr>
        <w:t xml:space="preserve"> Good</w:t>
      </w:r>
      <w:r w:rsidRPr="001D0253">
        <w:rPr>
          <w:rFonts w:ascii="Arial" w:hAnsi="Arial" w:cs="Arial"/>
          <w:i/>
          <w:iCs/>
          <w:sz w:val="24"/>
          <w:szCs w:val="24"/>
        </w:rPr>
        <w:t xml:space="preserve"> Work Index Report. A</w:t>
      </w:r>
      <w:r w:rsidRPr="001D0253">
        <w:rPr>
          <w:rFonts w:ascii="Arial" w:hAnsi="Arial" w:cs="Arial"/>
          <w:sz w:val="24"/>
          <w:szCs w:val="24"/>
        </w:rPr>
        <w:t>vailable at</w:t>
      </w:r>
      <w:r w:rsidRPr="001D0253">
        <w:rPr>
          <w:rFonts w:ascii="Arial" w:hAnsi="Arial" w:cs="Arial"/>
          <w:i/>
          <w:iCs/>
          <w:sz w:val="24"/>
          <w:szCs w:val="24"/>
        </w:rPr>
        <w:t>:</w:t>
      </w:r>
      <w:r w:rsidRPr="001D0253">
        <w:rPr>
          <w:rFonts w:ascii="Arial" w:hAnsi="Arial" w:cs="Arial"/>
          <w:sz w:val="24"/>
          <w:szCs w:val="24"/>
        </w:rPr>
        <w:t xml:space="preserve"> </w:t>
      </w:r>
      <w:hyperlink r:id="rId29" w:history="1">
        <w:r w:rsidRPr="001D0253">
          <w:rPr>
            <w:rStyle w:val="Hyperlink"/>
            <w:rFonts w:ascii="Arial" w:hAnsi="Arial" w:cs="Arial"/>
            <w:sz w:val="24"/>
            <w:szCs w:val="24"/>
          </w:rPr>
          <w:t>Good Work Index | Report | CIPD</w:t>
        </w:r>
      </w:hyperlink>
      <w:r w:rsidRPr="001D0253">
        <w:rPr>
          <w:rFonts w:ascii="Arial" w:hAnsi="Arial" w:cs="Arial"/>
          <w:sz w:val="24"/>
          <w:szCs w:val="24"/>
        </w:rPr>
        <w:t xml:space="preserve"> Accessed:  14</w:t>
      </w:r>
      <w:r w:rsidRPr="001D0253">
        <w:rPr>
          <w:rFonts w:ascii="Arial" w:hAnsi="Arial" w:cs="Arial"/>
          <w:sz w:val="24"/>
          <w:szCs w:val="24"/>
          <w:vertAlign w:val="superscript"/>
        </w:rPr>
        <w:t>th</w:t>
      </w:r>
      <w:r w:rsidRPr="001D0253">
        <w:rPr>
          <w:rFonts w:ascii="Arial" w:hAnsi="Arial" w:cs="Arial"/>
          <w:sz w:val="24"/>
          <w:szCs w:val="24"/>
        </w:rPr>
        <w:t xml:space="preserve"> September 2025) </w:t>
      </w:r>
    </w:p>
    <w:p w14:paraId="415DC42E" w14:textId="77777777" w:rsidR="00397EC9" w:rsidRPr="001D0253" w:rsidRDefault="00397EC9" w:rsidP="001D0253">
      <w:pPr>
        <w:spacing w:line="240" w:lineRule="auto"/>
        <w:rPr>
          <w:rFonts w:ascii="Arial" w:hAnsi="Arial" w:cs="Arial"/>
          <w:sz w:val="24"/>
          <w:szCs w:val="24"/>
        </w:rPr>
      </w:pPr>
    </w:p>
    <w:p w14:paraId="453BF699" w14:textId="0B1D6B2F"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CIPD, (2025</w:t>
      </w:r>
      <w:r w:rsidR="00792E6E" w:rsidRPr="001D0253">
        <w:rPr>
          <w:rFonts w:ascii="Arial" w:hAnsi="Arial" w:cs="Arial"/>
          <w:sz w:val="24"/>
          <w:szCs w:val="24"/>
        </w:rPr>
        <w:t>),</w:t>
      </w:r>
      <w:r w:rsidR="00792E6E" w:rsidRPr="001D0253">
        <w:rPr>
          <w:rFonts w:ascii="Arial" w:hAnsi="Arial" w:cs="Arial"/>
          <w:i/>
          <w:iCs/>
          <w:sz w:val="24"/>
          <w:szCs w:val="24"/>
        </w:rPr>
        <w:t xml:space="preserve"> PESTLE</w:t>
      </w:r>
      <w:r w:rsidRPr="001D0253">
        <w:rPr>
          <w:rFonts w:ascii="Arial" w:hAnsi="Arial" w:cs="Arial"/>
          <w:i/>
          <w:iCs/>
          <w:sz w:val="24"/>
          <w:szCs w:val="24"/>
        </w:rPr>
        <w:t xml:space="preserve"> Analysis Factsheet. A</w:t>
      </w:r>
      <w:r w:rsidRPr="001D0253">
        <w:rPr>
          <w:rFonts w:ascii="Arial" w:hAnsi="Arial" w:cs="Arial"/>
          <w:sz w:val="24"/>
          <w:szCs w:val="24"/>
        </w:rPr>
        <w:t>vailable at</w:t>
      </w:r>
      <w:r w:rsidRPr="001D0253">
        <w:rPr>
          <w:rFonts w:ascii="Arial" w:hAnsi="Arial" w:cs="Arial"/>
          <w:i/>
          <w:iCs/>
          <w:sz w:val="24"/>
          <w:szCs w:val="24"/>
        </w:rPr>
        <w:t>:</w:t>
      </w:r>
      <w:r w:rsidRPr="001D0253">
        <w:rPr>
          <w:rFonts w:ascii="Arial" w:hAnsi="Arial" w:cs="Arial"/>
          <w:sz w:val="24"/>
          <w:szCs w:val="24"/>
        </w:rPr>
        <w:t xml:space="preserve"> </w:t>
      </w:r>
      <w:hyperlink r:id="rId30" w:history="1">
        <w:r w:rsidRPr="001D0253">
          <w:rPr>
            <w:rStyle w:val="Hyperlink"/>
            <w:rFonts w:ascii="Arial" w:hAnsi="Arial" w:cs="Arial"/>
            <w:sz w:val="24"/>
            <w:szCs w:val="24"/>
          </w:rPr>
          <w:t>https://www.cipd.org/uk/knowledge/factsheets/analytics-factsheet/</w:t>
        </w:r>
      </w:hyperlink>
      <w:r w:rsidRPr="001D0253">
        <w:rPr>
          <w:rFonts w:ascii="Arial" w:hAnsi="Arial" w:cs="Arial"/>
          <w:sz w:val="24"/>
          <w:szCs w:val="24"/>
        </w:rPr>
        <w:t>.  Accessed:  14</w:t>
      </w:r>
      <w:r w:rsidRPr="001D0253">
        <w:rPr>
          <w:rFonts w:ascii="Arial" w:hAnsi="Arial" w:cs="Arial"/>
          <w:sz w:val="24"/>
          <w:szCs w:val="24"/>
          <w:vertAlign w:val="superscript"/>
        </w:rPr>
        <w:t>th</w:t>
      </w:r>
      <w:r w:rsidRPr="001D0253">
        <w:rPr>
          <w:rFonts w:ascii="Arial" w:hAnsi="Arial" w:cs="Arial"/>
          <w:sz w:val="24"/>
          <w:szCs w:val="24"/>
        </w:rPr>
        <w:t xml:space="preserve"> September 2025) </w:t>
      </w:r>
    </w:p>
    <w:p w14:paraId="3E270B4E" w14:textId="77777777" w:rsidR="00397EC9" w:rsidRPr="001D0253" w:rsidRDefault="00397EC9" w:rsidP="001D0253">
      <w:pPr>
        <w:pStyle w:val="NoSpacing"/>
        <w:rPr>
          <w:rFonts w:ascii="Arial" w:hAnsi="Arial" w:cs="Arial"/>
          <w:sz w:val="24"/>
          <w:szCs w:val="24"/>
        </w:rPr>
      </w:pPr>
    </w:p>
    <w:p w14:paraId="7AE97CE2"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 xml:space="preserve">CIPD (2025), </w:t>
      </w:r>
      <w:proofErr w:type="gramStart"/>
      <w:r w:rsidRPr="001D0253">
        <w:rPr>
          <w:rFonts w:ascii="Arial" w:hAnsi="Arial" w:cs="Arial"/>
          <w:sz w:val="24"/>
          <w:szCs w:val="24"/>
        </w:rPr>
        <w:t>Good work</w:t>
      </w:r>
      <w:proofErr w:type="gramEnd"/>
      <w:r w:rsidRPr="001D0253">
        <w:rPr>
          <w:rFonts w:ascii="Arial" w:hAnsi="Arial" w:cs="Arial"/>
          <w:sz w:val="24"/>
          <w:szCs w:val="24"/>
        </w:rPr>
        <w:t xml:space="preserve"> index</w:t>
      </w:r>
      <w:proofErr w:type="gramStart"/>
      <w:r w:rsidRPr="001D0253">
        <w:rPr>
          <w:rFonts w:ascii="Arial" w:hAnsi="Arial" w:cs="Arial"/>
          <w:sz w:val="24"/>
          <w:szCs w:val="24"/>
        </w:rPr>
        <w:t xml:space="preserve">.  </w:t>
      </w:r>
      <w:proofErr w:type="gramEnd"/>
      <w:r w:rsidRPr="001D0253">
        <w:rPr>
          <w:rFonts w:ascii="Arial" w:hAnsi="Arial" w:cs="Arial"/>
          <w:sz w:val="24"/>
          <w:szCs w:val="24"/>
        </w:rPr>
        <w:t>Available at https://www.cipd.org/uk/knowledge/reports/goodwork/#health-and-wellbeing. (Accessed:  10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6A68EA3A" w14:textId="77777777" w:rsidR="00397EC9" w:rsidRPr="001D0253" w:rsidRDefault="00397EC9" w:rsidP="001D0253">
      <w:pPr>
        <w:pStyle w:val="NoSpacing"/>
        <w:rPr>
          <w:rFonts w:ascii="Arial" w:hAnsi="Arial" w:cs="Arial"/>
          <w:sz w:val="24"/>
          <w:szCs w:val="24"/>
        </w:rPr>
      </w:pPr>
    </w:p>
    <w:p w14:paraId="55EEA449"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 xml:space="preserve">CIPD, (2025), Employee Voice. Available at:  </w:t>
      </w:r>
      <w:hyperlink r:id="rId31" w:anchor="Whatis" w:history="1">
        <w:r w:rsidRPr="001D0253">
          <w:rPr>
            <w:rStyle w:val="Hyperlink"/>
            <w:rFonts w:ascii="Arial" w:hAnsi="Arial" w:cs="Arial"/>
            <w:sz w:val="24"/>
            <w:szCs w:val="24"/>
          </w:rPr>
          <w:t>https://www.cipd.org/uk/knowledge/factsheets/voice-factsheet/#Whatis</w:t>
        </w:r>
      </w:hyperlink>
      <w:r w:rsidRPr="001D0253">
        <w:rPr>
          <w:rFonts w:ascii="Arial" w:hAnsi="Arial" w:cs="Arial"/>
          <w:sz w:val="24"/>
          <w:szCs w:val="24"/>
        </w:rPr>
        <w:t>. (Accessed:  20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3F216FF8" w14:textId="77777777" w:rsidR="00397EC9" w:rsidRPr="001D0253" w:rsidRDefault="00397EC9" w:rsidP="001D0253">
      <w:pPr>
        <w:pStyle w:val="NoSpacing"/>
        <w:rPr>
          <w:rFonts w:ascii="Arial" w:hAnsi="Arial" w:cs="Arial"/>
          <w:sz w:val="24"/>
          <w:szCs w:val="24"/>
        </w:rPr>
      </w:pPr>
    </w:p>
    <w:p w14:paraId="00D142B5"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 xml:space="preserve">CIPD (2025), AI in the Workplace. Available at:  </w:t>
      </w:r>
      <w:hyperlink r:id="rId32" w:history="1">
        <w:r w:rsidRPr="001D0253">
          <w:rPr>
            <w:rStyle w:val="Hyperlink"/>
            <w:rFonts w:ascii="Arial" w:hAnsi="Arial" w:cs="Arial"/>
            <w:sz w:val="24"/>
            <w:szCs w:val="24"/>
          </w:rPr>
          <w:t>https://www.cipd.org/uk/topics/artificial-intelligence-workplace/</w:t>
        </w:r>
      </w:hyperlink>
      <w:r w:rsidRPr="001D0253">
        <w:rPr>
          <w:rFonts w:ascii="Arial" w:hAnsi="Arial" w:cs="Arial"/>
          <w:sz w:val="24"/>
          <w:szCs w:val="24"/>
        </w:rPr>
        <w:t xml:space="preserve"> (Accessed: 15</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76F8C369" w14:textId="77777777" w:rsidR="00397EC9" w:rsidRPr="001D0253" w:rsidRDefault="00397EC9" w:rsidP="001D0253">
      <w:pPr>
        <w:spacing w:line="240" w:lineRule="auto"/>
        <w:rPr>
          <w:rFonts w:ascii="Arial" w:hAnsi="Arial" w:cs="Arial"/>
          <w:sz w:val="24"/>
          <w:szCs w:val="24"/>
        </w:rPr>
      </w:pPr>
    </w:p>
    <w:p w14:paraId="406D930C"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(2025), Performance Management Factsheet. Available at:  </w:t>
      </w:r>
      <w:hyperlink r:id="rId33" w:history="1">
        <w:r w:rsidRPr="001D0253">
          <w:rPr>
            <w:rStyle w:val="Hyperlink"/>
            <w:rFonts w:ascii="Arial" w:hAnsi="Arial" w:cs="Arial"/>
            <w:sz w:val="24"/>
            <w:szCs w:val="24"/>
          </w:rPr>
          <w:t>Performance Management | Factsheets | CIPD</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46AF1B23" w14:textId="77777777" w:rsidR="00397EC9" w:rsidRPr="001D0253" w:rsidRDefault="00397EC9" w:rsidP="001D0253">
      <w:pPr>
        <w:spacing w:line="240" w:lineRule="auto"/>
        <w:rPr>
          <w:rFonts w:ascii="Arial" w:hAnsi="Arial" w:cs="Arial"/>
          <w:sz w:val="24"/>
          <w:szCs w:val="24"/>
        </w:rPr>
      </w:pPr>
    </w:p>
    <w:p w14:paraId="46B0D725"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(2025), Performance Management Factsheet. Available at:  </w:t>
      </w:r>
      <w:hyperlink r:id="rId34" w:history="1">
        <w:r w:rsidRPr="001D0253">
          <w:rPr>
            <w:rStyle w:val="Hyperlink"/>
            <w:rFonts w:ascii="Arial" w:hAnsi="Arial" w:cs="Arial"/>
            <w:sz w:val="24"/>
            <w:szCs w:val="24"/>
          </w:rPr>
          <w:t>Performance Management | Factsheets | CIPD</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093A8095" w14:textId="77777777" w:rsidR="00397EC9" w:rsidRPr="001D0253" w:rsidRDefault="00397EC9" w:rsidP="001D0253">
      <w:pPr>
        <w:spacing w:line="240" w:lineRule="auto"/>
        <w:rPr>
          <w:rFonts w:ascii="Arial" w:hAnsi="Arial" w:cs="Arial"/>
          <w:sz w:val="24"/>
          <w:szCs w:val="24"/>
        </w:rPr>
      </w:pPr>
    </w:p>
    <w:p w14:paraId="24639B50"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(2025), Essential HR metrics for 2025: Tracking what truly matters. Available at:  </w:t>
      </w:r>
      <w:hyperlink r:id="rId35" w:history="1">
        <w:r w:rsidRPr="001D0253">
          <w:rPr>
            <w:rStyle w:val="Hyperlink"/>
            <w:rFonts w:ascii="Arial" w:hAnsi="Arial" w:cs="Arial"/>
            <w:sz w:val="24"/>
            <w:szCs w:val="24"/>
          </w:rPr>
          <w:t>Essential HR metrics for 2025: Tracking what truly matters</w:t>
        </w:r>
      </w:hyperlink>
    </w:p>
    <w:p w14:paraId="1C4A14F8" w14:textId="77777777" w:rsidR="00397EC9" w:rsidRPr="001D0253" w:rsidRDefault="00397EC9" w:rsidP="001D0253">
      <w:pPr>
        <w:spacing w:line="240" w:lineRule="auto"/>
        <w:rPr>
          <w:rFonts w:ascii="Arial" w:hAnsi="Arial" w:cs="Arial"/>
          <w:sz w:val="24"/>
          <w:szCs w:val="24"/>
        </w:rPr>
      </w:pPr>
    </w:p>
    <w:p w14:paraId="61133DD1"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(2025) “Ethical practice and the role of people professionals” (Podcast)  Available at: </w:t>
      </w:r>
      <w:hyperlink r:id="rId36" w:history="1">
        <w:r w:rsidRPr="001D0253">
          <w:rPr>
            <w:rStyle w:val="Hyperlink"/>
            <w:rFonts w:ascii="Arial" w:hAnsi="Arial" w:cs="Arial"/>
            <w:sz w:val="24"/>
            <w:szCs w:val="24"/>
          </w:rPr>
          <w:t>Ethical practice and the role of people professionals | Factsheets | CIPD</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 </w:t>
      </w:r>
    </w:p>
    <w:p w14:paraId="3A375EF5" w14:textId="77777777" w:rsidR="00397EC9" w:rsidRPr="001D0253" w:rsidRDefault="00397EC9" w:rsidP="001D0253">
      <w:pPr>
        <w:spacing w:line="240" w:lineRule="auto"/>
        <w:rPr>
          <w:rFonts w:ascii="Arial" w:hAnsi="Arial" w:cs="Arial"/>
          <w:sz w:val="24"/>
          <w:szCs w:val="24"/>
        </w:rPr>
      </w:pPr>
    </w:p>
    <w:p w14:paraId="7942A349"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CIPD (2025) “Critical thinking”(Podcast)  Available at: </w:t>
      </w:r>
      <w:hyperlink r:id="rId37" w:history="1">
        <w:r w:rsidRPr="001D0253">
          <w:rPr>
            <w:rStyle w:val="Hyperlink"/>
            <w:rFonts w:ascii="Arial" w:hAnsi="Arial" w:cs="Arial"/>
            <w:sz w:val="24"/>
            <w:szCs w:val="24"/>
          </w:rPr>
          <w:t>Critical thinking | Podcast | CIPD</w:t>
        </w:r>
      </w:hyperlink>
      <w:r w:rsidRPr="001D0253">
        <w:rPr>
          <w:rFonts w:ascii="Arial" w:hAnsi="Arial" w:cs="Arial"/>
          <w:sz w:val="24"/>
          <w:szCs w:val="24"/>
        </w:rPr>
        <w:t xml:space="preserve"> (Accessed:  10</w:t>
      </w:r>
      <w:r w:rsidRPr="001D0253">
        <w:rPr>
          <w:rFonts w:ascii="Arial" w:hAnsi="Arial" w:cs="Arial"/>
          <w:sz w:val="24"/>
          <w:szCs w:val="24"/>
          <w:vertAlign w:val="superscript"/>
        </w:rPr>
        <w:t>th</w:t>
      </w:r>
      <w:r w:rsidRPr="001D0253">
        <w:rPr>
          <w:rFonts w:ascii="Arial" w:hAnsi="Arial" w:cs="Arial"/>
          <w:sz w:val="24"/>
          <w:szCs w:val="24"/>
        </w:rPr>
        <w:t xml:space="preserve"> September 2025) </w:t>
      </w:r>
    </w:p>
    <w:p w14:paraId="0C7F0FE6" w14:textId="77777777" w:rsidR="00397EC9" w:rsidRPr="001D0253" w:rsidRDefault="00397EC9" w:rsidP="001D0253">
      <w:pPr>
        <w:spacing w:line="240" w:lineRule="auto"/>
        <w:rPr>
          <w:rFonts w:ascii="Arial" w:hAnsi="Arial" w:cs="Arial"/>
          <w:sz w:val="24"/>
          <w:szCs w:val="24"/>
        </w:rPr>
      </w:pPr>
    </w:p>
    <w:p w14:paraId="01919F15" w14:textId="498A4346"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Forbes. Danao, M &amp; Watts, R (no date). Porters 5 forces: </w:t>
      </w:r>
      <w:r w:rsidR="009A0E6E" w:rsidRPr="001D0253">
        <w:rPr>
          <w:rFonts w:ascii="Arial" w:hAnsi="Arial" w:cs="Arial"/>
          <w:sz w:val="24"/>
          <w:szCs w:val="24"/>
        </w:rPr>
        <w:t>Definition</w:t>
      </w:r>
      <w:r w:rsidRPr="001D0253">
        <w:rPr>
          <w:rFonts w:ascii="Arial" w:hAnsi="Arial" w:cs="Arial"/>
          <w:sz w:val="24"/>
          <w:szCs w:val="24"/>
        </w:rPr>
        <w:t xml:space="preserve"> &amp; How to use the model. Available at:  </w:t>
      </w:r>
      <w:hyperlink r:id="rId38" w:anchor="what_are_porters_five_forces_section" w:history="1">
        <w:r w:rsidRPr="001D0253">
          <w:rPr>
            <w:rStyle w:val="Hyperlink"/>
            <w:rFonts w:ascii="Arial" w:hAnsi="Arial" w:cs="Arial"/>
            <w:sz w:val="24"/>
            <w:szCs w:val="24"/>
          </w:rPr>
          <w:t>Porter’s Five Forces: Definition &amp; How To Use The Model – Forbes Advisor</w:t>
        </w:r>
      </w:hyperlink>
      <w:r w:rsidRPr="001D0253">
        <w:rPr>
          <w:rFonts w:ascii="Arial" w:hAnsi="Arial" w:cs="Arial"/>
          <w:sz w:val="24"/>
          <w:szCs w:val="24"/>
        </w:rPr>
        <w:t>. Accessed: 14</w:t>
      </w:r>
      <w:r w:rsidRPr="001D0253">
        <w:rPr>
          <w:rFonts w:ascii="Arial" w:hAnsi="Arial" w:cs="Arial"/>
          <w:sz w:val="24"/>
          <w:szCs w:val="24"/>
          <w:vertAlign w:val="superscript"/>
        </w:rPr>
        <w:t>th</w:t>
      </w:r>
      <w:r w:rsidRPr="001D0253">
        <w:rPr>
          <w:rFonts w:ascii="Arial" w:hAnsi="Arial" w:cs="Arial"/>
          <w:sz w:val="24"/>
          <w:szCs w:val="24"/>
        </w:rPr>
        <w:t xml:space="preserve"> August 2025).</w:t>
      </w:r>
    </w:p>
    <w:p w14:paraId="4A90A8C4" w14:textId="77777777" w:rsidR="00397EC9" w:rsidRPr="001D0253" w:rsidRDefault="00397EC9" w:rsidP="001D0253">
      <w:pPr>
        <w:pStyle w:val="NoSpacing"/>
        <w:rPr>
          <w:rFonts w:ascii="Arial" w:hAnsi="Arial" w:cs="Arial"/>
          <w:sz w:val="24"/>
          <w:szCs w:val="24"/>
        </w:rPr>
      </w:pPr>
    </w:p>
    <w:p w14:paraId="2AA753A1"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Fink, A (2020) Conducting Research, Literature reviews. 5</w:t>
      </w:r>
      <w:r w:rsidRPr="001D0253">
        <w:rPr>
          <w:rFonts w:ascii="Arial" w:hAnsi="Arial" w:cs="Arial"/>
          <w:sz w:val="24"/>
          <w:szCs w:val="24"/>
          <w:vertAlign w:val="superscript"/>
        </w:rPr>
        <w:t>th</w:t>
      </w:r>
      <w:r w:rsidRPr="001D0253">
        <w:rPr>
          <w:rFonts w:ascii="Arial" w:hAnsi="Arial" w:cs="Arial"/>
          <w:sz w:val="24"/>
          <w:szCs w:val="24"/>
        </w:rPr>
        <w:t xml:space="preserve"> ed. UK: Sage</w:t>
      </w:r>
    </w:p>
    <w:p w14:paraId="7040000E" w14:textId="77777777" w:rsidR="00397EC9" w:rsidRPr="001D0253" w:rsidRDefault="00397EC9" w:rsidP="001D0253">
      <w:pPr>
        <w:pStyle w:val="NoSpacing"/>
        <w:rPr>
          <w:rFonts w:ascii="Arial" w:hAnsi="Arial" w:cs="Arial"/>
          <w:sz w:val="24"/>
          <w:szCs w:val="24"/>
        </w:rPr>
      </w:pPr>
    </w:p>
    <w:p w14:paraId="624F1E9B"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Gifford, </w:t>
      </w:r>
      <w:proofErr w:type="gramStart"/>
      <w:r w:rsidRPr="001D0253">
        <w:rPr>
          <w:rFonts w:ascii="Arial" w:hAnsi="Arial" w:cs="Arial"/>
          <w:sz w:val="24"/>
          <w:szCs w:val="24"/>
        </w:rPr>
        <w:t>J.</w:t>
      </w:r>
      <w:proofErr w:type="gramEnd"/>
      <w:r w:rsidRPr="001D0253">
        <w:rPr>
          <w:rFonts w:ascii="Arial" w:hAnsi="Arial" w:cs="Arial"/>
          <w:sz w:val="24"/>
          <w:szCs w:val="24"/>
        </w:rPr>
        <w:t xml:space="preserve"> and Young, J. (2021) Employee engagement: definitions, </w:t>
      </w:r>
      <w:proofErr w:type="gramStart"/>
      <w:r w:rsidRPr="001D0253">
        <w:rPr>
          <w:rFonts w:ascii="Arial" w:hAnsi="Arial" w:cs="Arial"/>
          <w:sz w:val="24"/>
          <w:szCs w:val="24"/>
        </w:rPr>
        <w:t>measures</w:t>
      </w:r>
      <w:proofErr w:type="gramEnd"/>
      <w:r w:rsidRPr="001D0253">
        <w:rPr>
          <w:rFonts w:ascii="Arial" w:hAnsi="Arial" w:cs="Arial"/>
          <w:sz w:val="24"/>
          <w:szCs w:val="24"/>
        </w:rPr>
        <w:t xml:space="preserve"> and outcomes. Discussion report. London: Chartered Institute of Personnel and Development.</w:t>
      </w:r>
    </w:p>
    <w:p w14:paraId="10561487" w14:textId="77777777" w:rsidR="00397EC9" w:rsidRPr="001D0253" w:rsidRDefault="00397EC9" w:rsidP="001D0253">
      <w:pPr>
        <w:spacing w:line="240" w:lineRule="auto"/>
        <w:rPr>
          <w:rFonts w:ascii="Arial" w:hAnsi="Arial" w:cs="Arial"/>
          <w:sz w:val="24"/>
          <w:szCs w:val="24"/>
        </w:rPr>
      </w:pPr>
    </w:p>
    <w:p w14:paraId="515E27F4" w14:textId="35877580"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GOV.UK. Jibril, H &amp; Roper, S. (no date). Factors influencing firms’ adoption of advanced technologies: A rapid evidence review. Access (Online). Available at:  (</w:t>
      </w:r>
      <w:hyperlink r:id="rId39" w:history="1">
        <w:r w:rsidRPr="001D0253">
          <w:rPr>
            <w:rStyle w:val="Hyperlink"/>
            <w:rFonts w:ascii="Arial" w:hAnsi="Arial" w:cs="Arial"/>
            <w:sz w:val="24"/>
            <w:szCs w:val="24"/>
          </w:rPr>
          <w:t>Factors influencing firms’ adoption of advanced technologies: A rapid evidence review - GOV.UK</w:t>
        </w:r>
      </w:hyperlink>
      <w:r w:rsidRPr="001D0253">
        <w:rPr>
          <w:rFonts w:ascii="Arial" w:hAnsi="Arial" w:cs="Arial"/>
          <w:sz w:val="24"/>
          <w:szCs w:val="24"/>
        </w:rPr>
        <w:t xml:space="preserve">. </w:t>
      </w:r>
      <w:r w:rsidR="009A0E6E" w:rsidRPr="001D0253">
        <w:rPr>
          <w:rFonts w:ascii="Arial" w:hAnsi="Arial" w:cs="Arial"/>
          <w:sz w:val="24"/>
          <w:szCs w:val="24"/>
        </w:rPr>
        <w:t>Accessed</w:t>
      </w:r>
      <w:r w:rsidRPr="001D0253">
        <w:rPr>
          <w:rFonts w:ascii="Arial" w:hAnsi="Arial" w:cs="Arial"/>
          <w:sz w:val="24"/>
          <w:szCs w:val="24"/>
        </w:rPr>
        <w:t>: 15</w:t>
      </w:r>
      <w:r w:rsidRPr="001D0253">
        <w:rPr>
          <w:rFonts w:ascii="Arial" w:hAnsi="Arial" w:cs="Arial"/>
          <w:sz w:val="24"/>
          <w:szCs w:val="24"/>
          <w:vertAlign w:val="superscript"/>
        </w:rPr>
        <w:t>th</w:t>
      </w:r>
      <w:r w:rsidRPr="001D0253">
        <w:rPr>
          <w:rFonts w:ascii="Arial" w:hAnsi="Arial" w:cs="Arial"/>
          <w:sz w:val="24"/>
          <w:szCs w:val="24"/>
        </w:rPr>
        <w:t xml:space="preserve"> August 202)</w:t>
      </w:r>
    </w:p>
    <w:p w14:paraId="242F9C3A" w14:textId="77777777" w:rsidR="00397EC9" w:rsidRPr="001D0253" w:rsidRDefault="00397EC9" w:rsidP="001D0253">
      <w:pPr>
        <w:spacing w:line="240" w:lineRule="auto"/>
        <w:rPr>
          <w:rFonts w:ascii="Arial" w:hAnsi="Arial" w:cs="Arial"/>
          <w:sz w:val="24"/>
          <w:szCs w:val="24"/>
        </w:rPr>
      </w:pPr>
    </w:p>
    <w:p w14:paraId="518915B7"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Harvard Business School, (2025). </w:t>
      </w:r>
      <w:r w:rsidRPr="001D0253">
        <w:rPr>
          <w:rFonts w:ascii="Arial" w:hAnsi="Arial" w:cs="Arial"/>
          <w:i/>
          <w:iCs/>
          <w:sz w:val="24"/>
          <w:szCs w:val="24"/>
        </w:rPr>
        <w:t xml:space="preserve">A Manager’s Guide to Finance and Accounting (Online). </w:t>
      </w:r>
      <w:r w:rsidRPr="001D0253">
        <w:rPr>
          <w:rFonts w:ascii="Arial" w:hAnsi="Arial" w:cs="Arial"/>
          <w:sz w:val="24"/>
          <w:szCs w:val="24"/>
        </w:rPr>
        <w:t xml:space="preserve">Available at: </w:t>
      </w:r>
      <w:hyperlink r:id="rId40" w:history="1">
        <w:r w:rsidRPr="001D0253">
          <w:rPr>
            <w:rStyle w:val="Hyperlink"/>
            <w:rFonts w:ascii="Arial" w:hAnsi="Arial" w:cs="Arial"/>
            <w:sz w:val="24"/>
            <w:szCs w:val="24"/>
          </w:rPr>
          <w:t>A Manager's Guide to Finance and Accounting</w:t>
        </w:r>
      </w:hyperlink>
      <w:r w:rsidRPr="001D0253">
        <w:rPr>
          <w:rFonts w:ascii="Arial" w:hAnsi="Arial" w:cs="Arial"/>
          <w:sz w:val="24"/>
          <w:szCs w:val="24"/>
        </w:rPr>
        <w:t>. Accessed: 13</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1312F39C" w14:textId="77777777" w:rsidR="00397EC9" w:rsidRPr="001D0253" w:rsidRDefault="00397EC9" w:rsidP="001D0253">
      <w:pPr>
        <w:spacing w:line="240" w:lineRule="auto"/>
        <w:rPr>
          <w:rFonts w:ascii="Arial" w:hAnsi="Arial" w:cs="Arial"/>
          <w:sz w:val="24"/>
          <w:szCs w:val="24"/>
        </w:rPr>
      </w:pPr>
    </w:p>
    <w:p w14:paraId="59187140"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Harvard Business School, (2025). </w:t>
      </w:r>
      <w:r w:rsidRPr="001D0253">
        <w:rPr>
          <w:rFonts w:ascii="Arial" w:hAnsi="Arial" w:cs="Arial"/>
          <w:i/>
          <w:iCs/>
          <w:sz w:val="24"/>
          <w:szCs w:val="24"/>
        </w:rPr>
        <w:t xml:space="preserve">How to Read &amp; Understand a Balance Sheet (Online). </w:t>
      </w:r>
      <w:r w:rsidRPr="001D0253">
        <w:rPr>
          <w:rFonts w:ascii="Arial" w:hAnsi="Arial" w:cs="Arial"/>
          <w:sz w:val="24"/>
          <w:szCs w:val="24"/>
        </w:rPr>
        <w:t xml:space="preserve">Available at: </w:t>
      </w:r>
      <w:hyperlink r:id="rId41" w:history="1">
        <w:r w:rsidRPr="001D0253">
          <w:rPr>
            <w:rStyle w:val="Hyperlink"/>
            <w:rFonts w:ascii="Arial" w:hAnsi="Arial" w:cs="Arial"/>
            <w:sz w:val="24"/>
            <w:szCs w:val="24"/>
          </w:rPr>
          <w:t>How to Read &amp; Understand a Balance Sheet | HBS Online</w:t>
        </w:r>
      </w:hyperlink>
      <w:r w:rsidRPr="001D0253">
        <w:rPr>
          <w:rFonts w:ascii="Arial" w:hAnsi="Arial" w:cs="Arial"/>
          <w:sz w:val="24"/>
          <w:szCs w:val="24"/>
        </w:rPr>
        <w:t>. Accessed: 13</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19BD8C54" w14:textId="77777777" w:rsidR="00397EC9" w:rsidRPr="001D0253" w:rsidRDefault="00397EC9" w:rsidP="001D0253">
      <w:pPr>
        <w:spacing w:line="240" w:lineRule="auto"/>
        <w:rPr>
          <w:rFonts w:ascii="Arial" w:hAnsi="Arial" w:cs="Arial"/>
          <w:sz w:val="24"/>
          <w:szCs w:val="24"/>
        </w:rPr>
      </w:pPr>
    </w:p>
    <w:p w14:paraId="17BD3175" w14:textId="12B54781"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Harvard Business Review, Stein. D et al. (2021). How companies can improve employee engagement.</w:t>
      </w:r>
      <w:r w:rsidR="00830586">
        <w:rPr>
          <w:rFonts w:ascii="Arial" w:hAnsi="Arial" w:cs="Arial"/>
          <w:sz w:val="24"/>
          <w:szCs w:val="24"/>
        </w:rPr>
        <w:t xml:space="preserve"> (Online) </w:t>
      </w:r>
      <w:r w:rsidRPr="001D0253">
        <w:rPr>
          <w:rFonts w:ascii="Arial" w:hAnsi="Arial" w:cs="Arial"/>
          <w:sz w:val="24"/>
          <w:szCs w:val="24"/>
        </w:rPr>
        <w:t xml:space="preserve"> Available at:  </w:t>
      </w:r>
      <w:hyperlink r:id="rId42" w:history="1">
        <w:r w:rsidRPr="001D0253">
          <w:rPr>
            <w:rStyle w:val="Hyperlink"/>
            <w:rFonts w:ascii="Arial" w:hAnsi="Arial" w:cs="Arial"/>
            <w:sz w:val="24"/>
            <w:szCs w:val="24"/>
          </w:rPr>
          <w:t>How Companies Can Improve Employee Engagement_88b8244d-e0e2-42dc-97d8-172a6ad4f876.pdf</w:t>
        </w:r>
      </w:hyperlink>
      <w:r w:rsidRPr="001D0253">
        <w:rPr>
          <w:rFonts w:ascii="Arial" w:hAnsi="Arial" w:cs="Arial"/>
          <w:sz w:val="24"/>
          <w:szCs w:val="24"/>
        </w:rPr>
        <w:t>. Accessed: 13</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501F1F28" w14:textId="77777777" w:rsidR="00397EC9" w:rsidRPr="001D0253" w:rsidRDefault="00397EC9" w:rsidP="001D0253">
      <w:pPr>
        <w:spacing w:line="240" w:lineRule="auto"/>
        <w:rPr>
          <w:rFonts w:ascii="Arial" w:hAnsi="Arial" w:cs="Arial"/>
          <w:sz w:val="24"/>
          <w:szCs w:val="24"/>
        </w:rPr>
      </w:pPr>
    </w:p>
    <w:p w14:paraId="54FB3093"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Health Education and Improvement Wales HIEW, (2024), NHS Wales Staff Survey. Available at:  </w:t>
      </w:r>
      <w:hyperlink r:id="rId43" w:history="1">
        <w:r w:rsidRPr="001D0253">
          <w:rPr>
            <w:rStyle w:val="Hyperlink"/>
            <w:rFonts w:ascii="Arial" w:hAnsi="Arial" w:cs="Arial"/>
            <w:sz w:val="24"/>
            <w:szCs w:val="24"/>
          </w:rPr>
          <w:t>NHS Wales Staff Survey - HEIW</w:t>
        </w:r>
      </w:hyperlink>
      <w:r w:rsidRPr="001D0253">
        <w:rPr>
          <w:rFonts w:ascii="Arial" w:hAnsi="Arial" w:cs="Arial"/>
          <w:sz w:val="24"/>
          <w:szCs w:val="24"/>
        </w:rPr>
        <w:t xml:space="preserve"> (Accessed:  14</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43835896" w14:textId="77777777" w:rsidR="00397EC9" w:rsidRPr="001D0253" w:rsidRDefault="00397EC9" w:rsidP="001D0253">
      <w:pPr>
        <w:spacing w:line="240" w:lineRule="auto"/>
        <w:rPr>
          <w:rFonts w:ascii="Arial" w:hAnsi="Arial" w:cs="Arial"/>
          <w:sz w:val="24"/>
          <w:szCs w:val="24"/>
        </w:rPr>
      </w:pPr>
    </w:p>
    <w:p w14:paraId="20EA3C86"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HIEW, (2024), FAQs at HIEW. Available at:  </w:t>
      </w:r>
      <w:hyperlink r:id="rId44" w:history="1">
        <w:r w:rsidRPr="001D0253">
          <w:rPr>
            <w:rStyle w:val="Hyperlink"/>
            <w:rFonts w:ascii="Arial" w:hAnsi="Arial" w:cs="Arial"/>
            <w:sz w:val="24"/>
            <w:szCs w:val="24"/>
          </w:rPr>
          <w:t>FAQs - HEIW</w:t>
        </w:r>
      </w:hyperlink>
      <w:r w:rsidRPr="001D0253">
        <w:rPr>
          <w:rFonts w:ascii="Arial" w:hAnsi="Arial" w:cs="Arial"/>
          <w:sz w:val="24"/>
          <w:szCs w:val="24"/>
        </w:rPr>
        <w:t xml:space="preserve"> (Accessed: 14</w:t>
      </w:r>
      <w:r w:rsidRPr="001D0253">
        <w:rPr>
          <w:rFonts w:ascii="Arial" w:hAnsi="Arial" w:cs="Arial"/>
          <w:sz w:val="24"/>
          <w:szCs w:val="24"/>
          <w:vertAlign w:val="superscript"/>
        </w:rPr>
        <w:t>th</w:t>
      </w:r>
      <w:r w:rsidRPr="001D0253">
        <w:rPr>
          <w:rFonts w:ascii="Arial" w:hAnsi="Arial" w:cs="Arial"/>
          <w:sz w:val="24"/>
          <w:szCs w:val="24"/>
        </w:rPr>
        <w:t xml:space="preserve"> Sept ember 2025)</w:t>
      </w:r>
    </w:p>
    <w:p w14:paraId="5520A5D6" w14:textId="77777777" w:rsidR="00397EC9" w:rsidRPr="001D0253" w:rsidRDefault="00397EC9" w:rsidP="001D0253">
      <w:pPr>
        <w:pStyle w:val="NoSpacing"/>
        <w:rPr>
          <w:rFonts w:ascii="Arial" w:hAnsi="Arial" w:cs="Arial"/>
          <w:sz w:val="24"/>
          <w:szCs w:val="24"/>
        </w:rPr>
      </w:pPr>
    </w:p>
    <w:p w14:paraId="6086F5AE"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Horn, R. (2009). The Business Skills Handbook. 3</w:t>
      </w:r>
      <w:r w:rsidRPr="001D0253">
        <w:rPr>
          <w:rFonts w:ascii="Arial" w:hAnsi="Arial" w:cs="Arial"/>
          <w:sz w:val="24"/>
          <w:szCs w:val="24"/>
          <w:vertAlign w:val="superscript"/>
        </w:rPr>
        <w:t>rd</w:t>
      </w:r>
      <w:r w:rsidRPr="001D0253">
        <w:rPr>
          <w:rFonts w:ascii="Arial" w:hAnsi="Arial" w:cs="Arial"/>
          <w:sz w:val="24"/>
          <w:szCs w:val="24"/>
        </w:rPr>
        <w:t xml:space="preserve"> ed. London: CIPD Kogan Page. 3</w:t>
      </w:r>
    </w:p>
    <w:p w14:paraId="348C067A" w14:textId="77777777" w:rsidR="00397EC9" w:rsidRPr="001D0253" w:rsidRDefault="00397EC9" w:rsidP="001D0253">
      <w:pPr>
        <w:pStyle w:val="NoSpacing"/>
        <w:rPr>
          <w:rFonts w:ascii="Arial" w:hAnsi="Arial" w:cs="Arial"/>
          <w:sz w:val="24"/>
          <w:szCs w:val="24"/>
        </w:rPr>
      </w:pPr>
    </w:p>
    <w:p w14:paraId="7AE1503B"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 xml:space="preserve">Hywel Dda University Health Board HDUHB, (2023), Sustainable Resource Committee. Available at: </w:t>
      </w:r>
      <w:hyperlink r:id="rId45" w:history="1">
        <w:r w:rsidRPr="001D0253">
          <w:rPr>
            <w:rStyle w:val="Hyperlink"/>
            <w:rFonts w:ascii="Arial" w:hAnsi="Arial" w:cs="Arial"/>
            <w:sz w:val="24"/>
            <w:szCs w:val="24"/>
          </w:rPr>
          <w:t>https://hduhb.nhs.wales/about-us/governance-arrangements/board-committees/sustainable-resources-committee-src/sustainable-resources-committee-24-october-2023/item-3-5-balance-sheet-report/</w:t>
        </w:r>
      </w:hyperlink>
      <w:r w:rsidRPr="001D0253">
        <w:rPr>
          <w:rFonts w:ascii="Arial" w:hAnsi="Arial" w:cs="Arial"/>
          <w:sz w:val="24"/>
          <w:szCs w:val="24"/>
        </w:rPr>
        <w:t xml:space="preserve"> (Accessed 13</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30CFE670" w14:textId="77777777" w:rsidR="00397EC9" w:rsidRPr="001D0253" w:rsidRDefault="00397EC9" w:rsidP="001D0253">
      <w:pPr>
        <w:pStyle w:val="NoSpacing"/>
        <w:rPr>
          <w:rFonts w:ascii="Arial" w:hAnsi="Arial" w:cs="Arial"/>
          <w:sz w:val="24"/>
          <w:szCs w:val="24"/>
        </w:rPr>
      </w:pPr>
    </w:p>
    <w:p w14:paraId="32C82C08"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 xml:space="preserve">HDUHB, (2022), Learning and Development policy. Available at : </w:t>
      </w:r>
      <w:hyperlink r:id="rId46" w:history="1">
        <w:r w:rsidRPr="001D0253">
          <w:rPr>
            <w:rStyle w:val="Hyperlink"/>
            <w:rFonts w:ascii="Arial" w:hAnsi="Arial" w:cs="Arial"/>
            <w:sz w:val="24"/>
            <w:szCs w:val="24"/>
          </w:rPr>
          <w:t>https://hduhb.nhs.wales/about-us/governance-arrangements/policies-and-written-control-documents/policies/learning-and-development-policy/</w:t>
        </w:r>
      </w:hyperlink>
      <w:r w:rsidRPr="001D0253">
        <w:rPr>
          <w:rFonts w:ascii="Arial" w:hAnsi="Arial" w:cs="Arial"/>
          <w:sz w:val="24"/>
          <w:szCs w:val="24"/>
        </w:rPr>
        <w:t xml:space="preserve"> (Accessed:  20</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444E0479" w14:textId="77777777" w:rsidR="00397EC9" w:rsidRPr="001D0253" w:rsidRDefault="00397EC9" w:rsidP="001D0253">
      <w:pPr>
        <w:spacing w:line="240" w:lineRule="auto"/>
        <w:rPr>
          <w:rFonts w:ascii="Arial" w:hAnsi="Arial" w:cs="Arial"/>
          <w:sz w:val="24"/>
          <w:szCs w:val="24"/>
        </w:rPr>
      </w:pPr>
    </w:p>
    <w:p w14:paraId="000E806F"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MAERSK, Hofman, H. (2023). </w:t>
      </w:r>
      <w:proofErr w:type="gramStart"/>
      <w:r w:rsidRPr="001D0253">
        <w:rPr>
          <w:rFonts w:ascii="Arial" w:hAnsi="Arial" w:cs="Arial"/>
          <w:sz w:val="24"/>
          <w:szCs w:val="24"/>
        </w:rPr>
        <w:t>5</w:t>
      </w:r>
      <w:proofErr w:type="gramEnd"/>
      <w:r w:rsidRPr="001D0253">
        <w:rPr>
          <w:rFonts w:ascii="Arial" w:hAnsi="Arial" w:cs="Arial"/>
          <w:sz w:val="24"/>
          <w:szCs w:val="24"/>
        </w:rPr>
        <w:t xml:space="preserve"> reasons speed to market matters in business (online). Available at:  </w:t>
      </w:r>
      <w:hyperlink r:id="rId47" w:history="1">
        <w:r w:rsidRPr="001D0253">
          <w:rPr>
            <w:rStyle w:val="Hyperlink"/>
            <w:rFonts w:ascii="Arial" w:hAnsi="Arial" w:cs="Arial"/>
            <w:sz w:val="24"/>
            <w:szCs w:val="24"/>
          </w:rPr>
          <w:t>5 reasons speed to market matters to your business | Maersk</w:t>
        </w:r>
      </w:hyperlink>
      <w:r w:rsidRPr="001D0253">
        <w:rPr>
          <w:rFonts w:ascii="Arial" w:hAnsi="Arial" w:cs="Arial"/>
          <w:sz w:val="24"/>
          <w:szCs w:val="24"/>
        </w:rPr>
        <w:t>. Accessed: 14</w:t>
      </w:r>
      <w:r w:rsidRPr="001D0253">
        <w:rPr>
          <w:rFonts w:ascii="Arial" w:hAnsi="Arial" w:cs="Arial"/>
          <w:sz w:val="24"/>
          <w:szCs w:val="24"/>
          <w:vertAlign w:val="superscript"/>
        </w:rPr>
        <w:t>th</w:t>
      </w:r>
      <w:r w:rsidRPr="001D0253">
        <w:rPr>
          <w:rFonts w:ascii="Arial" w:hAnsi="Arial" w:cs="Arial"/>
          <w:sz w:val="24"/>
          <w:szCs w:val="24"/>
        </w:rPr>
        <w:t xml:space="preserve"> August 2025)</w:t>
      </w:r>
    </w:p>
    <w:p w14:paraId="4761DA12" w14:textId="77777777" w:rsidR="00397EC9" w:rsidRPr="001D0253" w:rsidRDefault="00397EC9" w:rsidP="001D0253">
      <w:pPr>
        <w:pStyle w:val="NoSpacing"/>
        <w:rPr>
          <w:rFonts w:ascii="Arial" w:hAnsi="Arial" w:cs="Arial"/>
          <w:sz w:val="24"/>
          <w:szCs w:val="24"/>
        </w:rPr>
      </w:pPr>
    </w:p>
    <w:p w14:paraId="0FF7C3C7" w14:textId="77777777" w:rsidR="00397EC9" w:rsidRDefault="00397EC9" w:rsidP="001D0253">
      <w:pPr>
        <w:pStyle w:val="NoSpacing"/>
        <w:rPr>
          <w:rFonts w:ascii="Arial" w:hAnsi="Arial" w:cs="Arial"/>
          <w:sz w:val="24"/>
          <w:szCs w:val="24"/>
        </w:rPr>
      </w:pPr>
      <w:r w:rsidRPr="001D0253">
        <w:rPr>
          <w:rFonts w:ascii="Arial" w:hAnsi="Arial" w:cs="Arial"/>
          <w:sz w:val="24"/>
          <w:szCs w:val="24"/>
        </w:rPr>
        <w:t>Marchington, M. Wilkinson, A. Donnelly, R and Kynighou, A. (2021). Human Resource Management at Work. 7</w:t>
      </w:r>
      <w:r w:rsidRPr="001D0253">
        <w:rPr>
          <w:rFonts w:ascii="Arial" w:hAnsi="Arial" w:cs="Arial"/>
          <w:sz w:val="24"/>
          <w:szCs w:val="24"/>
          <w:vertAlign w:val="superscript"/>
        </w:rPr>
        <w:t>th</w:t>
      </w:r>
      <w:r w:rsidRPr="001D0253">
        <w:rPr>
          <w:rFonts w:ascii="Arial" w:hAnsi="Arial" w:cs="Arial"/>
          <w:sz w:val="24"/>
          <w:szCs w:val="24"/>
        </w:rPr>
        <w:t xml:space="preserve"> ed. London: CIPD Kogan</w:t>
      </w:r>
    </w:p>
    <w:p w14:paraId="398675EB" w14:textId="77777777" w:rsidR="00830586" w:rsidRPr="001D0253" w:rsidRDefault="00830586" w:rsidP="001D0253">
      <w:pPr>
        <w:pStyle w:val="NoSpacing"/>
        <w:rPr>
          <w:rFonts w:ascii="Arial" w:hAnsi="Arial" w:cs="Arial"/>
          <w:sz w:val="24"/>
          <w:szCs w:val="24"/>
        </w:rPr>
      </w:pPr>
    </w:p>
    <w:p w14:paraId="2F1E653D" w14:textId="77777777" w:rsidR="00397EC9" w:rsidRPr="001D0253" w:rsidRDefault="00397EC9" w:rsidP="001D0253">
      <w:pPr>
        <w:pStyle w:val="NoSpacing"/>
        <w:rPr>
          <w:rFonts w:ascii="Arial" w:hAnsi="Arial" w:cs="Arial"/>
          <w:sz w:val="24"/>
          <w:szCs w:val="24"/>
        </w:rPr>
      </w:pPr>
    </w:p>
    <w:p w14:paraId="3C1E94A0"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 xml:space="preserve">Miller, Bridget (2018). </w:t>
      </w:r>
      <w:r w:rsidRPr="001D0253">
        <w:rPr>
          <w:rFonts w:ascii="Arial" w:hAnsi="Arial" w:cs="Arial"/>
          <w:i/>
          <w:iCs/>
          <w:sz w:val="24"/>
          <w:szCs w:val="24"/>
        </w:rPr>
        <w:t xml:space="preserve">The Pros and Cons of Engagement Surveys (Online) </w:t>
      </w:r>
      <w:r w:rsidRPr="001D0253">
        <w:rPr>
          <w:rFonts w:ascii="Arial" w:hAnsi="Arial" w:cs="Arial"/>
          <w:sz w:val="24"/>
          <w:szCs w:val="24"/>
        </w:rPr>
        <w:t xml:space="preserve">Available at: </w:t>
      </w:r>
      <w:hyperlink r:id="rId48" w:history="1">
        <w:r w:rsidRPr="001D0253">
          <w:rPr>
            <w:rStyle w:val="Hyperlink"/>
            <w:rFonts w:ascii="Arial" w:hAnsi="Arial" w:cs="Arial"/>
            <w:sz w:val="24"/>
            <w:szCs w:val="24"/>
          </w:rPr>
          <w:t>Pros and Cons of Employee Engagement Surveys - HR Daily Advisor</w:t>
        </w:r>
      </w:hyperlink>
      <w:r w:rsidRPr="001D0253">
        <w:rPr>
          <w:rFonts w:ascii="Arial" w:hAnsi="Arial" w:cs="Arial"/>
          <w:sz w:val="24"/>
          <w:szCs w:val="24"/>
        </w:rPr>
        <w:t>. Accessed: 13</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7C389231"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Mulling, LJ. And Rees, G. (2023). Management and Organisational Behaviour. 13</w:t>
      </w:r>
      <w:r w:rsidRPr="001D0253">
        <w:rPr>
          <w:rFonts w:ascii="Arial" w:hAnsi="Arial" w:cs="Arial"/>
          <w:sz w:val="24"/>
          <w:szCs w:val="24"/>
          <w:vertAlign w:val="superscript"/>
        </w:rPr>
        <w:t>th</w:t>
      </w:r>
      <w:r w:rsidRPr="001D0253">
        <w:rPr>
          <w:rFonts w:ascii="Arial" w:hAnsi="Arial" w:cs="Arial"/>
          <w:sz w:val="24"/>
          <w:szCs w:val="24"/>
        </w:rPr>
        <w:t xml:space="preserve"> ed. UK: Pearson</w:t>
      </w:r>
    </w:p>
    <w:p w14:paraId="214D5A5D" w14:textId="77777777" w:rsidR="00397EC9" w:rsidRPr="001D0253" w:rsidRDefault="00397EC9" w:rsidP="001D0253">
      <w:pPr>
        <w:pStyle w:val="NoSpacing"/>
        <w:rPr>
          <w:rFonts w:ascii="Arial" w:hAnsi="Arial" w:cs="Arial"/>
          <w:sz w:val="24"/>
          <w:szCs w:val="24"/>
        </w:rPr>
      </w:pPr>
    </w:p>
    <w:p w14:paraId="2F905F4D"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NHS Central and Nort West London NHS Foundation Turst, (2025). Exit/Stay Interviews:  Keeping Well (Online). Available at:  </w:t>
      </w:r>
      <w:hyperlink r:id="rId49" w:history="1">
        <w:r w:rsidRPr="001D0253">
          <w:rPr>
            <w:rStyle w:val="Hyperlink"/>
            <w:rFonts w:ascii="Arial" w:hAnsi="Arial" w:cs="Arial"/>
            <w:sz w:val="24"/>
            <w:szCs w:val="24"/>
          </w:rPr>
          <w:t>Exit/Stay interviews :: Keeping Well</w:t>
        </w:r>
      </w:hyperlink>
      <w:r w:rsidRPr="001D0253">
        <w:rPr>
          <w:rFonts w:ascii="Arial" w:hAnsi="Arial" w:cs="Arial"/>
          <w:sz w:val="24"/>
          <w:szCs w:val="24"/>
        </w:rPr>
        <w:t>. Accessed: 14</w:t>
      </w:r>
      <w:r w:rsidRPr="001D0253">
        <w:rPr>
          <w:rFonts w:ascii="Arial" w:hAnsi="Arial" w:cs="Arial"/>
          <w:sz w:val="24"/>
          <w:szCs w:val="24"/>
          <w:vertAlign w:val="superscript"/>
        </w:rPr>
        <w:t>th</w:t>
      </w:r>
      <w:r w:rsidRPr="001D0253">
        <w:rPr>
          <w:rFonts w:ascii="Arial" w:hAnsi="Arial" w:cs="Arial"/>
          <w:sz w:val="24"/>
          <w:szCs w:val="24"/>
        </w:rPr>
        <w:t xml:space="preserve"> August 2025.</w:t>
      </w:r>
    </w:p>
    <w:p w14:paraId="50A4EBAE" w14:textId="77777777" w:rsidR="00397EC9" w:rsidRPr="001D0253" w:rsidRDefault="00397EC9" w:rsidP="001D0253">
      <w:pPr>
        <w:spacing w:line="240" w:lineRule="auto"/>
        <w:rPr>
          <w:rFonts w:ascii="Arial" w:hAnsi="Arial" w:cs="Arial"/>
          <w:sz w:val="24"/>
          <w:szCs w:val="24"/>
        </w:rPr>
      </w:pPr>
    </w:p>
    <w:p w14:paraId="61F262D4"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People HR. Newson, R (2024). Exit interviews: Their purpose &amp; best practice (Online). Available at: </w:t>
      </w:r>
      <w:hyperlink r:id="rId50" w:history="1">
        <w:r w:rsidRPr="001D0253">
          <w:rPr>
            <w:rStyle w:val="Hyperlink"/>
            <w:rFonts w:ascii="Arial" w:hAnsi="Arial" w:cs="Arial"/>
            <w:sz w:val="24"/>
            <w:szCs w:val="24"/>
          </w:rPr>
          <w:t>Exit interviews: Their purpose &amp; best practices | People HR</w:t>
        </w:r>
      </w:hyperlink>
      <w:r w:rsidRPr="001D0253">
        <w:rPr>
          <w:rFonts w:ascii="Arial" w:hAnsi="Arial" w:cs="Arial"/>
          <w:sz w:val="24"/>
          <w:szCs w:val="24"/>
        </w:rPr>
        <w:t xml:space="preserve"> . Accessed: 15</w:t>
      </w:r>
      <w:r w:rsidRPr="001D0253">
        <w:rPr>
          <w:rFonts w:ascii="Arial" w:hAnsi="Arial" w:cs="Arial"/>
          <w:sz w:val="24"/>
          <w:szCs w:val="24"/>
          <w:vertAlign w:val="superscript"/>
        </w:rPr>
        <w:t>th</w:t>
      </w:r>
      <w:r w:rsidRPr="001D0253">
        <w:rPr>
          <w:rFonts w:ascii="Arial" w:hAnsi="Arial" w:cs="Arial"/>
          <w:sz w:val="24"/>
          <w:szCs w:val="24"/>
        </w:rPr>
        <w:t xml:space="preserve"> September 2025)</w:t>
      </w:r>
    </w:p>
    <w:p w14:paraId="2AC63915" w14:textId="77777777" w:rsidR="00397EC9" w:rsidRPr="001D0253" w:rsidRDefault="00397EC9" w:rsidP="001D0253">
      <w:pPr>
        <w:pStyle w:val="NoSpacing"/>
        <w:rPr>
          <w:rFonts w:ascii="Arial" w:hAnsi="Arial" w:cs="Arial"/>
          <w:sz w:val="24"/>
          <w:szCs w:val="24"/>
        </w:rPr>
      </w:pPr>
    </w:p>
    <w:p w14:paraId="11889AD8" w14:textId="77777777"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Sinclair, A. and Suff, R. (2025) Health and wellbeing at work. London: Chartered Institute of Personnel and Development. </w:t>
      </w:r>
      <w:hyperlink r:id="rId51" w:history="1">
        <w:r w:rsidRPr="001D0253">
          <w:rPr>
            <w:rStyle w:val="Hyperlink"/>
            <w:rFonts w:ascii="Arial" w:hAnsi="Arial" w:cs="Arial"/>
            <w:sz w:val="24"/>
            <w:szCs w:val="24"/>
          </w:rPr>
          <w:t>Health and wellbeing at work 2025</w:t>
        </w:r>
      </w:hyperlink>
      <w:r w:rsidRPr="001D0253">
        <w:rPr>
          <w:rFonts w:ascii="Arial" w:hAnsi="Arial" w:cs="Arial"/>
          <w:sz w:val="24"/>
          <w:szCs w:val="24"/>
        </w:rPr>
        <w:t xml:space="preserve"> (2025b)</w:t>
      </w:r>
    </w:p>
    <w:p w14:paraId="40A91D7F" w14:textId="77777777" w:rsidR="00397EC9" w:rsidRPr="001D0253" w:rsidRDefault="00397EC9" w:rsidP="001D0253">
      <w:pPr>
        <w:pStyle w:val="NoSpacing"/>
        <w:rPr>
          <w:rFonts w:ascii="Arial" w:hAnsi="Arial" w:cs="Arial"/>
          <w:b/>
          <w:bCs/>
          <w:sz w:val="24"/>
          <w:szCs w:val="24"/>
        </w:rPr>
      </w:pPr>
    </w:p>
    <w:p w14:paraId="32DD607D"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Taylor, S. and Woodhams, C. (2022). Studying Human Resource Management. 3</w:t>
      </w:r>
      <w:r w:rsidRPr="001D0253">
        <w:rPr>
          <w:rFonts w:ascii="Arial" w:hAnsi="Arial" w:cs="Arial"/>
          <w:sz w:val="24"/>
          <w:szCs w:val="24"/>
          <w:vertAlign w:val="superscript"/>
        </w:rPr>
        <w:t>rd</w:t>
      </w:r>
      <w:r w:rsidRPr="001D0253">
        <w:rPr>
          <w:rFonts w:ascii="Arial" w:hAnsi="Arial" w:cs="Arial"/>
          <w:sz w:val="24"/>
          <w:szCs w:val="24"/>
        </w:rPr>
        <w:t xml:space="preserve"> ed. London: CIPD Kogan Page.</w:t>
      </w:r>
    </w:p>
    <w:p w14:paraId="71CB5C98" w14:textId="77777777" w:rsidR="00397EC9" w:rsidRPr="001D0253" w:rsidRDefault="00397EC9" w:rsidP="001D0253">
      <w:pPr>
        <w:pStyle w:val="NoSpacing"/>
        <w:rPr>
          <w:rFonts w:ascii="Arial" w:hAnsi="Arial" w:cs="Arial"/>
          <w:sz w:val="24"/>
          <w:szCs w:val="24"/>
        </w:rPr>
      </w:pPr>
    </w:p>
    <w:p w14:paraId="21AC3479"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Waite, K. Beevers, K. Small, N. Tomlinson and K. Hussain, S. (2021). People Practice. A complete guide. 1</w:t>
      </w:r>
      <w:r w:rsidRPr="001D0253">
        <w:rPr>
          <w:rFonts w:ascii="Arial" w:hAnsi="Arial" w:cs="Arial"/>
          <w:sz w:val="24"/>
          <w:szCs w:val="24"/>
          <w:vertAlign w:val="superscript"/>
        </w:rPr>
        <w:t>st</w:t>
      </w:r>
      <w:r w:rsidRPr="001D0253">
        <w:rPr>
          <w:rFonts w:ascii="Arial" w:hAnsi="Arial" w:cs="Arial"/>
          <w:sz w:val="24"/>
          <w:szCs w:val="24"/>
        </w:rPr>
        <w:t xml:space="preserve"> ed. London: CIPD Kogan Page.</w:t>
      </w:r>
    </w:p>
    <w:p w14:paraId="6665C62B" w14:textId="77777777" w:rsidR="00397EC9" w:rsidRPr="001D0253" w:rsidRDefault="00397EC9" w:rsidP="001D0253">
      <w:pPr>
        <w:pStyle w:val="NoSpacing"/>
        <w:rPr>
          <w:rFonts w:ascii="Arial" w:hAnsi="Arial" w:cs="Arial"/>
          <w:sz w:val="24"/>
          <w:szCs w:val="24"/>
        </w:rPr>
      </w:pPr>
    </w:p>
    <w:p w14:paraId="69705302" w14:textId="77777777" w:rsidR="00397EC9" w:rsidRPr="001D0253" w:rsidRDefault="00397EC9" w:rsidP="001D0253">
      <w:pPr>
        <w:pStyle w:val="NoSpacing"/>
        <w:rPr>
          <w:rFonts w:ascii="Arial" w:hAnsi="Arial" w:cs="Arial"/>
          <w:sz w:val="24"/>
          <w:szCs w:val="24"/>
        </w:rPr>
      </w:pPr>
    </w:p>
    <w:p w14:paraId="152D6971" w14:textId="77777777" w:rsidR="00397EC9" w:rsidRPr="001D0253" w:rsidRDefault="00397EC9" w:rsidP="001D0253">
      <w:pPr>
        <w:pStyle w:val="NoSpacing"/>
        <w:rPr>
          <w:rFonts w:ascii="Arial" w:hAnsi="Arial" w:cs="Arial"/>
          <w:sz w:val="24"/>
          <w:szCs w:val="24"/>
        </w:rPr>
      </w:pPr>
      <w:r w:rsidRPr="001D0253">
        <w:rPr>
          <w:rFonts w:ascii="Arial" w:hAnsi="Arial" w:cs="Arial"/>
          <w:sz w:val="24"/>
          <w:szCs w:val="24"/>
        </w:rPr>
        <w:t>Whiting, F and Martin, M. (2021). Human Resource Practice. 8</w:t>
      </w:r>
      <w:r w:rsidRPr="001D0253">
        <w:rPr>
          <w:rFonts w:ascii="Arial" w:hAnsi="Arial" w:cs="Arial"/>
          <w:sz w:val="24"/>
          <w:szCs w:val="24"/>
          <w:vertAlign w:val="superscript"/>
        </w:rPr>
        <w:t>th</w:t>
      </w:r>
      <w:r w:rsidRPr="001D0253">
        <w:rPr>
          <w:rFonts w:ascii="Arial" w:hAnsi="Arial" w:cs="Arial"/>
          <w:sz w:val="24"/>
          <w:szCs w:val="24"/>
        </w:rPr>
        <w:t xml:space="preserve"> ed. London: CIPD Kogan Page.</w:t>
      </w:r>
    </w:p>
    <w:p w14:paraId="0A32D53E" w14:textId="77777777" w:rsidR="00397EC9" w:rsidRPr="001D0253" w:rsidRDefault="00397EC9" w:rsidP="001D0253">
      <w:pPr>
        <w:spacing w:line="240" w:lineRule="auto"/>
        <w:rPr>
          <w:rFonts w:ascii="Arial" w:hAnsi="Arial" w:cs="Arial"/>
          <w:sz w:val="24"/>
          <w:szCs w:val="24"/>
        </w:rPr>
      </w:pPr>
    </w:p>
    <w:p w14:paraId="5A650D19" w14:textId="5B2B600C" w:rsidR="00397EC9" w:rsidRPr="001D0253" w:rsidRDefault="00397EC9" w:rsidP="001D0253">
      <w:pPr>
        <w:spacing w:line="240" w:lineRule="auto"/>
        <w:rPr>
          <w:rFonts w:ascii="Arial" w:hAnsi="Arial" w:cs="Arial"/>
          <w:sz w:val="24"/>
          <w:szCs w:val="24"/>
        </w:rPr>
      </w:pPr>
      <w:r w:rsidRPr="001D0253">
        <w:rPr>
          <w:rFonts w:ascii="Arial" w:hAnsi="Arial" w:cs="Arial"/>
          <w:sz w:val="24"/>
          <w:szCs w:val="24"/>
        </w:rPr>
        <w:t xml:space="preserve">Williams, K. (2025). The CTO playbook for Innovation Strategy in Engineering. Available at: </w:t>
      </w:r>
      <w:hyperlink r:id="rId52" w:history="1">
        <w:r w:rsidRPr="001D0253">
          <w:rPr>
            <w:rStyle w:val="Hyperlink"/>
            <w:rFonts w:ascii="Arial" w:hAnsi="Arial" w:cs="Arial"/>
            <w:sz w:val="24"/>
            <w:szCs w:val="24"/>
          </w:rPr>
          <w:t>The CTO Playbook for Innovation Strategy in Engineering - 1: Introduction - Capgemini</w:t>
        </w:r>
      </w:hyperlink>
      <w:r w:rsidRPr="001D0253">
        <w:rPr>
          <w:rFonts w:ascii="Arial" w:hAnsi="Arial" w:cs="Arial"/>
          <w:sz w:val="24"/>
          <w:szCs w:val="24"/>
        </w:rPr>
        <w:t>. Accessed:   20</w:t>
      </w:r>
      <w:r w:rsidRPr="001D0253">
        <w:rPr>
          <w:rFonts w:ascii="Arial" w:hAnsi="Arial" w:cs="Arial"/>
          <w:sz w:val="24"/>
          <w:szCs w:val="24"/>
          <w:vertAlign w:val="superscript"/>
        </w:rPr>
        <w:t>th</w:t>
      </w:r>
      <w:r w:rsidRPr="001D0253">
        <w:rPr>
          <w:rFonts w:ascii="Arial" w:hAnsi="Arial" w:cs="Arial"/>
          <w:sz w:val="24"/>
          <w:szCs w:val="24"/>
        </w:rPr>
        <w:t xml:space="preserve"> Sep</w:t>
      </w:r>
    </w:p>
    <w:sectPr w:rsidR="00397EC9" w:rsidRPr="001D0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55400C"/>
    <w:multiLevelType w:val="multilevel"/>
    <w:tmpl w:val="89AE6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0A069C"/>
    <w:multiLevelType w:val="hybridMultilevel"/>
    <w:tmpl w:val="EA44FAF0"/>
    <w:lvl w:ilvl="0" w:tplc="6CE62F16">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089629">
    <w:abstractNumId w:val="1"/>
  </w:num>
  <w:num w:numId="2" w16cid:durableId="1640499466">
    <w:abstractNumId w:val="2"/>
  </w:num>
  <w:num w:numId="3" w16cid:durableId="1351687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F7"/>
    <w:rsid w:val="00006504"/>
    <w:rsid w:val="00013E1C"/>
    <w:rsid w:val="00013E4C"/>
    <w:rsid w:val="00021C40"/>
    <w:rsid w:val="000445CE"/>
    <w:rsid w:val="00051614"/>
    <w:rsid w:val="00052D8D"/>
    <w:rsid w:val="00055CA0"/>
    <w:rsid w:val="00066648"/>
    <w:rsid w:val="00073660"/>
    <w:rsid w:val="000749E5"/>
    <w:rsid w:val="000753F5"/>
    <w:rsid w:val="000A4846"/>
    <w:rsid w:val="000A68B3"/>
    <w:rsid w:val="000B105B"/>
    <w:rsid w:val="000C68C0"/>
    <w:rsid w:val="000E65FF"/>
    <w:rsid w:val="000F2A43"/>
    <w:rsid w:val="00111B0A"/>
    <w:rsid w:val="0012339A"/>
    <w:rsid w:val="00127177"/>
    <w:rsid w:val="00132F97"/>
    <w:rsid w:val="0014025E"/>
    <w:rsid w:val="00150B7D"/>
    <w:rsid w:val="001513B5"/>
    <w:rsid w:val="00151A01"/>
    <w:rsid w:val="00163BC9"/>
    <w:rsid w:val="001722DC"/>
    <w:rsid w:val="00185EF1"/>
    <w:rsid w:val="001871AC"/>
    <w:rsid w:val="001914B6"/>
    <w:rsid w:val="0019204B"/>
    <w:rsid w:val="00196DC3"/>
    <w:rsid w:val="001979EB"/>
    <w:rsid w:val="00197B0F"/>
    <w:rsid w:val="001A41FD"/>
    <w:rsid w:val="001A4A70"/>
    <w:rsid w:val="001C1B4C"/>
    <w:rsid w:val="001D0253"/>
    <w:rsid w:val="001D6FF0"/>
    <w:rsid w:val="001E0739"/>
    <w:rsid w:val="001E328C"/>
    <w:rsid w:val="001F3EE0"/>
    <w:rsid w:val="001F5627"/>
    <w:rsid w:val="00207AF1"/>
    <w:rsid w:val="00216EE7"/>
    <w:rsid w:val="0022761D"/>
    <w:rsid w:val="00232870"/>
    <w:rsid w:val="0023496C"/>
    <w:rsid w:val="0024133E"/>
    <w:rsid w:val="00252350"/>
    <w:rsid w:val="00272BD2"/>
    <w:rsid w:val="00277B2C"/>
    <w:rsid w:val="00283173"/>
    <w:rsid w:val="00285CF7"/>
    <w:rsid w:val="002A0016"/>
    <w:rsid w:val="002A3DA8"/>
    <w:rsid w:val="002B3893"/>
    <w:rsid w:val="002B4CBE"/>
    <w:rsid w:val="002C272A"/>
    <w:rsid w:val="002C52AA"/>
    <w:rsid w:val="002D0125"/>
    <w:rsid w:val="002D1E18"/>
    <w:rsid w:val="002D3437"/>
    <w:rsid w:val="002E460E"/>
    <w:rsid w:val="002E5AC3"/>
    <w:rsid w:val="002F0CA2"/>
    <w:rsid w:val="002F3A9E"/>
    <w:rsid w:val="002F587F"/>
    <w:rsid w:val="0030275B"/>
    <w:rsid w:val="003069A6"/>
    <w:rsid w:val="003116F9"/>
    <w:rsid w:val="00325ACC"/>
    <w:rsid w:val="0032717E"/>
    <w:rsid w:val="00327CBA"/>
    <w:rsid w:val="003616B9"/>
    <w:rsid w:val="00370D8D"/>
    <w:rsid w:val="00371347"/>
    <w:rsid w:val="0037158B"/>
    <w:rsid w:val="00384406"/>
    <w:rsid w:val="00384781"/>
    <w:rsid w:val="00391C4E"/>
    <w:rsid w:val="003948C1"/>
    <w:rsid w:val="00396559"/>
    <w:rsid w:val="00397EC9"/>
    <w:rsid w:val="003A3F07"/>
    <w:rsid w:val="003B1B0F"/>
    <w:rsid w:val="003C3D09"/>
    <w:rsid w:val="003D0362"/>
    <w:rsid w:val="003E0846"/>
    <w:rsid w:val="00401999"/>
    <w:rsid w:val="00412797"/>
    <w:rsid w:val="00426C97"/>
    <w:rsid w:val="00444FF7"/>
    <w:rsid w:val="00450052"/>
    <w:rsid w:val="00467162"/>
    <w:rsid w:val="00477135"/>
    <w:rsid w:val="0049499C"/>
    <w:rsid w:val="004A0A1F"/>
    <w:rsid w:val="004A6F5C"/>
    <w:rsid w:val="004B585D"/>
    <w:rsid w:val="004B5B30"/>
    <w:rsid w:val="004B7236"/>
    <w:rsid w:val="004C00AD"/>
    <w:rsid w:val="004C101F"/>
    <w:rsid w:val="004E7D1E"/>
    <w:rsid w:val="00510331"/>
    <w:rsid w:val="005206CC"/>
    <w:rsid w:val="005227AB"/>
    <w:rsid w:val="00522BCA"/>
    <w:rsid w:val="00541434"/>
    <w:rsid w:val="0058376F"/>
    <w:rsid w:val="005930C8"/>
    <w:rsid w:val="00594158"/>
    <w:rsid w:val="0059578C"/>
    <w:rsid w:val="005A0867"/>
    <w:rsid w:val="005A153A"/>
    <w:rsid w:val="005B1647"/>
    <w:rsid w:val="005C5D1B"/>
    <w:rsid w:val="005D6BFF"/>
    <w:rsid w:val="005E1120"/>
    <w:rsid w:val="005F111E"/>
    <w:rsid w:val="005F22F3"/>
    <w:rsid w:val="005F5132"/>
    <w:rsid w:val="005F7503"/>
    <w:rsid w:val="00611634"/>
    <w:rsid w:val="00612ED3"/>
    <w:rsid w:val="00617B8F"/>
    <w:rsid w:val="00617F83"/>
    <w:rsid w:val="0063362F"/>
    <w:rsid w:val="0063611D"/>
    <w:rsid w:val="00642C24"/>
    <w:rsid w:val="00653314"/>
    <w:rsid w:val="00660B7D"/>
    <w:rsid w:val="006708E0"/>
    <w:rsid w:val="00670A5E"/>
    <w:rsid w:val="00671D2B"/>
    <w:rsid w:val="00684A71"/>
    <w:rsid w:val="00685EF0"/>
    <w:rsid w:val="006873E1"/>
    <w:rsid w:val="00692A50"/>
    <w:rsid w:val="00693896"/>
    <w:rsid w:val="006A2586"/>
    <w:rsid w:val="006A3D14"/>
    <w:rsid w:val="006B3A83"/>
    <w:rsid w:val="006C38A0"/>
    <w:rsid w:val="006C735B"/>
    <w:rsid w:val="006D2E06"/>
    <w:rsid w:val="006E455F"/>
    <w:rsid w:val="006F28A6"/>
    <w:rsid w:val="00700429"/>
    <w:rsid w:val="00700D73"/>
    <w:rsid w:val="00706FAA"/>
    <w:rsid w:val="00710A24"/>
    <w:rsid w:val="00715D13"/>
    <w:rsid w:val="0072221D"/>
    <w:rsid w:val="00731F3D"/>
    <w:rsid w:val="00737A59"/>
    <w:rsid w:val="0074583F"/>
    <w:rsid w:val="00746054"/>
    <w:rsid w:val="007562B4"/>
    <w:rsid w:val="00760F06"/>
    <w:rsid w:val="007628CE"/>
    <w:rsid w:val="00771CF8"/>
    <w:rsid w:val="0078450D"/>
    <w:rsid w:val="00784D02"/>
    <w:rsid w:val="00792E6E"/>
    <w:rsid w:val="007A7E3C"/>
    <w:rsid w:val="007B7666"/>
    <w:rsid w:val="007C40D0"/>
    <w:rsid w:val="007C6A2D"/>
    <w:rsid w:val="007D23F7"/>
    <w:rsid w:val="007D5DD3"/>
    <w:rsid w:val="007F1F12"/>
    <w:rsid w:val="007F2A4B"/>
    <w:rsid w:val="007F7B6D"/>
    <w:rsid w:val="00801E22"/>
    <w:rsid w:val="008051D0"/>
    <w:rsid w:val="0081135D"/>
    <w:rsid w:val="00825459"/>
    <w:rsid w:val="008267CE"/>
    <w:rsid w:val="00830586"/>
    <w:rsid w:val="00833CE3"/>
    <w:rsid w:val="0084221E"/>
    <w:rsid w:val="0084490B"/>
    <w:rsid w:val="00845B64"/>
    <w:rsid w:val="00847B5A"/>
    <w:rsid w:val="00850A66"/>
    <w:rsid w:val="0085582A"/>
    <w:rsid w:val="008563B6"/>
    <w:rsid w:val="00861BD7"/>
    <w:rsid w:val="00866D92"/>
    <w:rsid w:val="00881C23"/>
    <w:rsid w:val="0088467E"/>
    <w:rsid w:val="008969A1"/>
    <w:rsid w:val="008A07F6"/>
    <w:rsid w:val="008B17C5"/>
    <w:rsid w:val="008B3530"/>
    <w:rsid w:val="008B7C87"/>
    <w:rsid w:val="008C1657"/>
    <w:rsid w:val="008C2533"/>
    <w:rsid w:val="008E2183"/>
    <w:rsid w:val="008E6C00"/>
    <w:rsid w:val="008E764A"/>
    <w:rsid w:val="008F6E02"/>
    <w:rsid w:val="008F7736"/>
    <w:rsid w:val="008F7D19"/>
    <w:rsid w:val="00903D76"/>
    <w:rsid w:val="0092154D"/>
    <w:rsid w:val="009219E7"/>
    <w:rsid w:val="00924AFD"/>
    <w:rsid w:val="00940AA0"/>
    <w:rsid w:val="00942D28"/>
    <w:rsid w:val="009648AE"/>
    <w:rsid w:val="00973CD8"/>
    <w:rsid w:val="009A0E6E"/>
    <w:rsid w:val="009B0AB8"/>
    <w:rsid w:val="009C4B43"/>
    <w:rsid w:val="009D0FC0"/>
    <w:rsid w:val="009D30F3"/>
    <w:rsid w:val="00A06F64"/>
    <w:rsid w:val="00A334E0"/>
    <w:rsid w:val="00A41135"/>
    <w:rsid w:val="00A412DB"/>
    <w:rsid w:val="00A502B6"/>
    <w:rsid w:val="00A60030"/>
    <w:rsid w:val="00A63908"/>
    <w:rsid w:val="00A63BAF"/>
    <w:rsid w:val="00A95A36"/>
    <w:rsid w:val="00A97D7C"/>
    <w:rsid w:val="00AA2DDF"/>
    <w:rsid w:val="00AA4F2D"/>
    <w:rsid w:val="00AC4BD5"/>
    <w:rsid w:val="00AD04CF"/>
    <w:rsid w:val="00AD30E8"/>
    <w:rsid w:val="00AD4A15"/>
    <w:rsid w:val="00AE2AF6"/>
    <w:rsid w:val="00AE32B4"/>
    <w:rsid w:val="00AE63C6"/>
    <w:rsid w:val="00AF4A8D"/>
    <w:rsid w:val="00B14137"/>
    <w:rsid w:val="00B21C52"/>
    <w:rsid w:val="00B22D3B"/>
    <w:rsid w:val="00B25308"/>
    <w:rsid w:val="00B31D7E"/>
    <w:rsid w:val="00B4743A"/>
    <w:rsid w:val="00B502B6"/>
    <w:rsid w:val="00B56152"/>
    <w:rsid w:val="00B61CC5"/>
    <w:rsid w:val="00B64BA9"/>
    <w:rsid w:val="00B650DB"/>
    <w:rsid w:val="00B77FF1"/>
    <w:rsid w:val="00B80B7D"/>
    <w:rsid w:val="00B85919"/>
    <w:rsid w:val="00B879A6"/>
    <w:rsid w:val="00BA67CA"/>
    <w:rsid w:val="00BB0317"/>
    <w:rsid w:val="00BB2EB5"/>
    <w:rsid w:val="00BC47BC"/>
    <w:rsid w:val="00BD6D5B"/>
    <w:rsid w:val="00BE1691"/>
    <w:rsid w:val="00BE343D"/>
    <w:rsid w:val="00C21754"/>
    <w:rsid w:val="00C2182B"/>
    <w:rsid w:val="00C2269C"/>
    <w:rsid w:val="00C24793"/>
    <w:rsid w:val="00C42B4E"/>
    <w:rsid w:val="00C45811"/>
    <w:rsid w:val="00C50E97"/>
    <w:rsid w:val="00C55094"/>
    <w:rsid w:val="00C57773"/>
    <w:rsid w:val="00C74AF8"/>
    <w:rsid w:val="00C86C30"/>
    <w:rsid w:val="00C9025E"/>
    <w:rsid w:val="00C91AFA"/>
    <w:rsid w:val="00CA2790"/>
    <w:rsid w:val="00CA2ADB"/>
    <w:rsid w:val="00CA543B"/>
    <w:rsid w:val="00CB6EC2"/>
    <w:rsid w:val="00CC0BEB"/>
    <w:rsid w:val="00CD0DE8"/>
    <w:rsid w:val="00CD347F"/>
    <w:rsid w:val="00CD7BE3"/>
    <w:rsid w:val="00CF2BC5"/>
    <w:rsid w:val="00D013F9"/>
    <w:rsid w:val="00D02CDF"/>
    <w:rsid w:val="00D02FE8"/>
    <w:rsid w:val="00D03F39"/>
    <w:rsid w:val="00D069B5"/>
    <w:rsid w:val="00D114B3"/>
    <w:rsid w:val="00D115D2"/>
    <w:rsid w:val="00D123F3"/>
    <w:rsid w:val="00D13A85"/>
    <w:rsid w:val="00D2673F"/>
    <w:rsid w:val="00D4317F"/>
    <w:rsid w:val="00D5036E"/>
    <w:rsid w:val="00D542B6"/>
    <w:rsid w:val="00D711FB"/>
    <w:rsid w:val="00D72689"/>
    <w:rsid w:val="00D72E2D"/>
    <w:rsid w:val="00D735C6"/>
    <w:rsid w:val="00D808FB"/>
    <w:rsid w:val="00D92DF2"/>
    <w:rsid w:val="00DA0BC8"/>
    <w:rsid w:val="00DA49F4"/>
    <w:rsid w:val="00DC12A2"/>
    <w:rsid w:val="00DC3C0D"/>
    <w:rsid w:val="00DC7B5E"/>
    <w:rsid w:val="00DD011B"/>
    <w:rsid w:val="00DD72F8"/>
    <w:rsid w:val="00DE1720"/>
    <w:rsid w:val="00DE45A0"/>
    <w:rsid w:val="00DF2DA9"/>
    <w:rsid w:val="00DF53C8"/>
    <w:rsid w:val="00E10994"/>
    <w:rsid w:val="00E123F8"/>
    <w:rsid w:val="00E27D07"/>
    <w:rsid w:val="00E35990"/>
    <w:rsid w:val="00E44391"/>
    <w:rsid w:val="00E5411C"/>
    <w:rsid w:val="00E562DD"/>
    <w:rsid w:val="00E61043"/>
    <w:rsid w:val="00E653AB"/>
    <w:rsid w:val="00E76F0E"/>
    <w:rsid w:val="00EA4CCD"/>
    <w:rsid w:val="00EA67FB"/>
    <w:rsid w:val="00EA7D05"/>
    <w:rsid w:val="00EB171E"/>
    <w:rsid w:val="00EB31D5"/>
    <w:rsid w:val="00ED4392"/>
    <w:rsid w:val="00ED7F2C"/>
    <w:rsid w:val="00EE699B"/>
    <w:rsid w:val="00EF3087"/>
    <w:rsid w:val="00EF401F"/>
    <w:rsid w:val="00EF6CE6"/>
    <w:rsid w:val="00F10537"/>
    <w:rsid w:val="00F130FC"/>
    <w:rsid w:val="00F30AA4"/>
    <w:rsid w:val="00F32C02"/>
    <w:rsid w:val="00F33BCC"/>
    <w:rsid w:val="00F33D01"/>
    <w:rsid w:val="00F40C54"/>
    <w:rsid w:val="00F4180F"/>
    <w:rsid w:val="00F451A4"/>
    <w:rsid w:val="00F71650"/>
    <w:rsid w:val="00F810E6"/>
    <w:rsid w:val="00F81CAA"/>
    <w:rsid w:val="00F8397A"/>
    <w:rsid w:val="00F84D16"/>
    <w:rsid w:val="00F9578B"/>
    <w:rsid w:val="00F9676F"/>
    <w:rsid w:val="00FA1190"/>
    <w:rsid w:val="00FA20F0"/>
    <w:rsid w:val="00FA4274"/>
    <w:rsid w:val="00FA72B6"/>
    <w:rsid w:val="00FC0DC6"/>
    <w:rsid w:val="00FC7971"/>
    <w:rsid w:val="00FD076F"/>
    <w:rsid w:val="00FD1BD5"/>
    <w:rsid w:val="00FD7A37"/>
    <w:rsid w:val="00FF386D"/>
    <w:rsid w:val="00FF7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2E164E"/>
  <w15:chartTrackingRefBased/>
  <w15:docId w15:val="{B06F89E9-7E6B-4204-8803-898335091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CF7"/>
  </w:style>
  <w:style w:type="paragraph" w:styleId="Heading1">
    <w:name w:val="heading 1"/>
    <w:basedOn w:val="Normal"/>
    <w:next w:val="Normal"/>
    <w:link w:val="Heading1Char"/>
    <w:uiPriority w:val="9"/>
    <w:qFormat/>
    <w:rsid w:val="00285C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5C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5C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C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C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C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C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C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C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C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5C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5C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C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C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C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C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C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CF7"/>
    <w:rPr>
      <w:rFonts w:eastAsiaTheme="majorEastAsia" w:cstheme="majorBidi"/>
      <w:color w:val="272727" w:themeColor="text1" w:themeTint="D8"/>
    </w:rPr>
  </w:style>
  <w:style w:type="paragraph" w:styleId="Title">
    <w:name w:val="Title"/>
    <w:basedOn w:val="Normal"/>
    <w:next w:val="Normal"/>
    <w:link w:val="TitleChar"/>
    <w:uiPriority w:val="10"/>
    <w:qFormat/>
    <w:rsid w:val="00285C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C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C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C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CF7"/>
    <w:pPr>
      <w:spacing w:before="160"/>
      <w:jc w:val="center"/>
    </w:pPr>
    <w:rPr>
      <w:i/>
      <w:iCs/>
      <w:color w:val="404040" w:themeColor="text1" w:themeTint="BF"/>
    </w:rPr>
  </w:style>
  <w:style w:type="character" w:customStyle="1" w:styleId="QuoteChar">
    <w:name w:val="Quote Char"/>
    <w:basedOn w:val="DefaultParagraphFont"/>
    <w:link w:val="Quote"/>
    <w:uiPriority w:val="29"/>
    <w:rsid w:val="00285CF7"/>
    <w:rPr>
      <w:i/>
      <w:iCs/>
      <w:color w:val="404040" w:themeColor="text1" w:themeTint="BF"/>
    </w:rPr>
  </w:style>
  <w:style w:type="paragraph" w:styleId="ListParagraph">
    <w:name w:val="List Paragraph"/>
    <w:basedOn w:val="Normal"/>
    <w:link w:val="ListParagraphChar"/>
    <w:uiPriority w:val="34"/>
    <w:qFormat/>
    <w:rsid w:val="00285CF7"/>
    <w:pPr>
      <w:ind w:left="720"/>
      <w:contextualSpacing/>
    </w:pPr>
  </w:style>
  <w:style w:type="character" w:styleId="IntenseEmphasis">
    <w:name w:val="Intense Emphasis"/>
    <w:basedOn w:val="DefaultParagraphFont"/>
    <w:uiPriority w:val="21"/>
    <w:qFormat/>
    <w:rsid w:val="00285CF7"/>
    <w:rPr>
      <w:i/>
      <w:iCs/>
      <w:color w:val="0F4761" w:themeColor="accent1" w:themeShade="BF"/>
    </w:rPr>
  </w:style>
  <w:style w:type="paragraph" w:styleId="IntenseQuote">
    <w:name w:val="Intense Quote"/>
    <w:basedOn w:val="Normal"/>
    <w:next w:val="Normal"/>
    <w:link w:val="IntenseQuoteChar"/>
    <w:uiPriority w:val="30"/>
    <w:qFormat/>
    <w:rsid w:val="00285C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CF7"/>
    <w:rPr>
      <w:i/>
      <w:iCs/>
      <w:color w:val="0F4761" w:themeColor="accent1" w:themeShade="BF"/>
    </w:rPr>
  </w:style>
  <w:style w:type="character" w:styleId="IntenseReference">
    <w:name w:val="Intense Reference"/>
    <w:basedOn w:val="DefaultParagraphFont"/>
    <w:uiPriority w:val="32"/>
    <w:qFormat/>
    <w:rsid w:val="00285CF7"/>
    <w:rPr>
      <w:b/>
      <w:bCs/>
      <w:smallCaps/>
      <w:color w:val="0F4761" w:themeColor="accent1" w:themeShade="BF"/>
      <w:spacing w:val="5"/>
    </w:rPr>
  </w:style>
  <w:style w:type="paragraph" w:styleId="NoSpacing">
    <w:name w:val="No Spacing"/>
    <w:uiPriority w:val="1"/>
    <w:qFormat/>
    <w:rsid w:val="00285CF7"/>
    <w:pPr>
      <w:spacing w:after="0" w:line="240" w:lineRule="auto"/>
    </w:pPr>
  </w:style>
  <w:style w:type="paragraph" w:styleId="BodyText">
    <w:name w:val="Body Text"/>
    <w:basedOn w:val="Normal"/>
    <w:link w:val="BodyTextChar"/>
    <w:uiPriority w:val="1"/>
    <w:qFormat/>
    <w:rsid w:val="00861BD7"/>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861BD7"/>
    <w:rPr>
      <w:rFonts w:ascii="Arial" w:eastAsia="Arial" w:hAnsi="Arial" w:cs="Arial"/>
      <w:kern w:val="0"/>
      <w14:ligatures w14:val="none"/>
    </w:rPr>
  </w:style>
  <w:style w:type="paragraph" w:customStyle="1" w:styleId="Nornal">
    <w:name w:val="Nornal"/>
    <w:basedOn w:val="Normal"/>
    <w:link w:val="NornalChar"/>
    <w:qFormat/>
    <w:rsid w:val="00861BD7"/>
    <w:pPr>
      <w:spacing w:line="264" w:lineRule="auto"/>
    </w:pPr>
    <w:rPr>
      <w:rFonts w:ascii="Arial" w:hAnsi="Arial" w:cs="Arial"/>
      <w:kern w:val="0"/>
      <w14:ligatures w14:val="none"/>
    </w:rPr>
  </w:style>
  <w:style w:type="character" w:customStyle="1" w:styleId="NornalChar">
    <w:name w:val="Nornal Char"/>
    <w:basedOn w:val="DefaultParagraphFont"/>
    <w:link w:val="Nornal"/>
    <w:rsid w:val="00861BD7"/>
    <w:rPr>
      <w:rFonts w:ascii="Arial" w:hAnsi="Arial" w:cs="Arial"/>
      <w:kern w:val="0"/>
      <w14:ligatures w14:val="none"/>
    </w:rPr>
  </w:style>
  <w:style w:type="character" w:customStyle="1" w:styleId="ListParagraphChar">
    <w:name w:val="List Paragraph Char"/>
    <w:basedOn w:val="DefaultParagraphFont"/>
    <w:link w:val="ListParagraph"/>
    <w:uiPriority w:val="34"/>
    <w:rsid w:val="00861BD7"/>
  </w:style>
  <w:style w:type="character" w:styleId="Hyperlink">
    <w:name w:val="Hyperlink"/>
    <w:basedOn w:val="DefaultParagraphFont"/>
    <w:uiPriority w:val="99"/>
    <w:unhideWhenUsed/>
    <w:rsid w:val="00013E4C"/>
    <w:rPr>
      <w:color w:val="467886" w:themeColor="hyperlink"/>
      <w:u w:val="single"/>
    </w:rPr>
  </w:style>
  <w:style w:type="character" w:styleId="UnresolvedMention">
    <w:name w:val="Unresolved Mention"/>
    <w:basedOn w:val="DefaultParagraphFont"/>
    <w:uiPriority w:val="99"/>
    <w:semiHidden/>
    <w:unhideWhenUsed/>
    <w:rsid w:val="00013E4C"/>
    <w:rPr>
      <w:color w:val="605E5C"/>
      <w:shd w:val="clear" w:color="auto" w:fill="E1DFDD"/>
    </w:rPr>
  </w:style>
  <w:style w:type="character" w:styleId="FollowedHyperlink">
    <w:name w:val="FollowedHyperlink"/>
    <w:basedOn w:val="DefaultParagraphFont"/>
    <w:uiPriority w:val="99"/>
    <w:semiHidden/>
    <w:unhideWhenUsed/>
    <w:rsid w:val="00397EC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4197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evidence-reviews/what-works-in-performance-management/" TargetMode="External"/><Relationship Id="rId18" Type="http://schemas.openxmlformats.org/officeDocument/2006/relationships/hyperlink" Target="https://www.cipd.org/uk/knowledge/factsheets/performance-factsheet/" TargetMode="External"/><Relationship Id="rId26" Type="http://schemas.openxmlformats.org/officeDocument/2006/relationships/hyperlink" Target="https://www.cipd.org/uk/knowledge/tools/retention/" TargetMode="External"/><Relationship Id="rId39" Type="http://schemas.openxmlformats.org/officeDocument/2006/relationships/hyperlink" Target="https://www.gov.uk/government/publications/barriers-and-enablers-to-advanced-technology-adoption-for-uk-businesses/factors-influencing-firms-adoption-of-advanced-technologies-a-rapid-evidence-review" TargetMode="External"/><Relationship Id="rId21" Type="http://schemas.openxmlformats.org/officeDocument/2006/relationships/hyperlink" Target="https://www.cipd.org/en/knowledge/podcasts/artificial-intelligence-learning-and-development/" TargetMode="External"/><Relationship Id="rId34" Type="http://schemas.openxmlformats.org/officeDocument/2006/relationships/hyperlink" Target="https://www.cipd.org/uk/knowledge/factsheets/performance-factsheet/" TargetMode="External"/><Relationship Id="rId42" Type="http://schemas.openxmlformats.org/officeDocument/2006/relationships/hyperlink" Target="https://www.hbs.edu/ris/Publication%20Files/How%20Companies%20Can%20Improve%20Employee%20Engagement_88b8244d-e0e2-42dc-97d8-172a6ad4f876.pdf" TargetMode="External"/><Relationship Id="rId47" Type="http://schemas.openxmlformats.org/officeDocument/2006/relationships/hyperlink" Target="https://www.maersk.com/insights/growth/2023/05/01/reasons-speed-to-market-matters-for-your-business" TargetMode="External"/><Relationship Id="rId50" Type="http://schemas.openxmlformats.org/officeDocument/2006/relationships/hyperlink" Target="https://www.peoplehr.com/en-gb/resources/blog/exit-interviews/" TargetMode="External"/><Relationship Id="rId7" Type="http://schemas.openxmlformats.org/officeDocument/2006/relationships/chart" Target="charts/chart3.xml"/><Relationship Id="rId2" Type="http://schemas.openxmlformats.org/officeDocument/2006/relationships/styles" Target="styles.xml"/><Relationship Id="rId16" Type="http://schemas.openxmlformats.org/officeDocument/2006/relationships/hyperlink" Target="https://www.cipd.org/uk/knowledge/evidence-reviews/performance-feedback/" TargetMode="External"/><Relationship Id="rId29" Type="http://schemas.openxmlformats.org/officeDocument/2006/relationships/hyperlink" Target="https://www.cipd.org/uk/knowledge/reports/goodwork/" TargetMode="External"/><Relationship Id="rId11" Type="http://schemas.openxmlformats.org/officeDocument/2006/relationships/hyperlink" Target="https://cavuhb.nhs.wales/staff-information/toolkits/leavers/exit-questionnaire/" TargetMode="External"/><Relationship Id="rId24" Type="http://schemas.openxmlformats.org/officeDocument/2006/relationships/hyperlink" Target="https://www.cipd.org/uk/views-and-insights/thought-leadership/insight/ai-people-management/" TargetMode="External"/><Relationship Id="rId32" Type="http://schemas.openxmlformats.org/officeDocument/2006/relationships/hyperlink" Target="https://www.cipd.org/uk/topics/artificial-intelligence-workplace/" TargetMode="External"/><Relationship Id="rId37" Type="http://schemas.openxmlformats.org/officeDocument/2006/relationships/hyperlink" Target="https://www.cipd.org/uk/knowledge/podcasts/critical-thinking/" TargetMode="External"/><Relationship Id="rId40" Type="http://schemas.openxmlformats.org/officeDocument/2006/relationships/hyperlink" Target="https://online.hbs.edu/Documents/managers-guide-to-finance-and-accounting.pdf" TargetMode="External"/><Relationship Id="rId45" Type="http://schemas.openxmlformats.org/officeDocument/2006/relationships/hyperlink" Target="https://hduhb.nhs.wales/about-us/governance-arrangements/board-committees/sustainable-resources-committee-src/sustainable-resources-committee-24-october-2023/item-3-5-balance-sheet-report/" TargetMode="External"/><Relationship Id="rId53"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hyperlink" Target="https://ukfinancials.org/blog/balance-sheet-explained-uk" TargetMode="External"/><Relationship Id="rId19" Type="http://schemas.openxmlformats.org/officeDocument/2006/relationships/hyperlink" Target="https://www.cipd.org/uk/knowledge/factsheets/talent-factsheet/" TargetMode="External"/><Relationship Id="rId31" Type="http://schemas.openxmlformats.org/officeDocument/2006/relationships/hyperlink" Target="https://www.cipd.org/uk/knowledge/factsheets/voice-factsheet/" TargetMode="External"/><Relationship Id="rId44" Type="http://schemas.openxmlformats.org/officeDocument/2006/relationships/hyperlink" Target="https://heiw.nhs.wales/our-work/nhs-wales-staff-survey/faqs/" TargetMode="External"/><Relationship Id="rId52" Type="http://schemas.openxmlformats.org/officeDocument/2006/relationships/hyperlink" Target="https://www.capgemini.com/insights/expert-perspectives/the-cto-playbook-for-innovation-strategy-in-engineering-introduction/" TargetMode="Externa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hyperlink" Target="https://www.cipd.org/en/knowledge/evidence-reviews/evidence-engagement/" TargetMode="External"/><Relationship Id="rId22" Type="http://schemas.openxmlformats.org/officeDocument/2006/relationships/hyperlink" Target="https://www.cipd.org/uk/the-people-profession/the-profession-map/explore-the-profession-map/professional-values-purpose/" TargetMode="External"/><Relationship Id="rId27" Type="http://schemas.openxmlformats.org/officeDocument/2006/relationships/hyperlink" Target="https://www.cipd.org/uk/the-people-profession/the-profession-map/explore-the-profession-map/specialist-knowledge/reward/" TargetMode="External"/><Relationship Id="rId30" Type="http://schemas.openxmlformats.org/officeDocument/2006/relationships/hyperlink" Target="https://www.cipd.org/uk/knowledge/factsheets/analytics-factsheet/" TargetMode="External"/><Relationship Id="rId35" Type="http://schemas.openxmlformats.org/officeDocument/2006/relationships/hyperlink" Target="https://www.hibob.com/guides/metrics-that-matter/" TargetMode="External"/><Relationship Id="rId43" Type="http://schemas.openxmlformats.org/officeDocument/2006/relationships/hyperlink" Target="https://heiw.nhs.wales/our-work/nhs-wales-staff-survey/" TargetMode="External"/><Relationship Id="rId48" Type="http://schemas.openxmlformats.org/officeDocument/2006/relationships/hyperlink" Target="https://hrdailyadvisor.com/2018/04/09/pros-cons-employee-engagement-surveys/" TargetMode="External"/><Relationship Id="rId8" Type="http://schemas.openxmlformats.org/officeDocument/2006/relationships/chart" Target="charts/chart4.xml"/><Relationship Id="rId51" Type="http://schemas.openxmlformats.org/officeDocument/2006/relationships/hyperlink" Target="https://www.cipd.org/globalassets/media/knowledge/knowledge-hub/reports/2025-pdfs/8920-Health-and-wellbeing-report-2025-/" TargetMode="External"/><Relationship Id="rId3" Type="http://schemas.openxmlformats.org/officeDocument/2006/relationships/settings" Target="settings.xml"/><Relationship Id="rId12" Type="http://schemas.openxmlformats.org/officeDocument/2006/relationships/hyperlink" Target="https://www.cipd.org/globalassets/media/comms/the-people-profession/profession-map-pdfs/ethical-decision-making-2015-eight-perspectives-on-workplace-dilemmas_tcm29-9564.pdf" TargetMode="External"/><Relationship Id="rId17" Type="http://schemas.openxmlformats.org/officeDocument/2006/relationships/hyperlink" Target="https://www.cipd.org/globalassets/media/knowledge/knowledge-hub/evidence-reviews/performance-feedback-evidence-review_tcm18-111378.pdf" TargetMode="External"/><Relationship Id="rId25" Type="http://schemas.openxmlformats.org/officeDocument/2006/relationships/hyperlink" Target="https://www.cipd.org/uk/knowledge/factsheets/well-being-factsheet/" TargetMode="External"/><Relationship Id="rId33" Type="http://schemas.openxmlformats.org/officeDocument/2006/relationships/hyperlink" Target="https://www.cipd.org/uk/knowledge/factsheets/performance-factsheet/" TargetMode="External"/><Relationship Id="rId38" Type="http://schemas.openxmlformats.org/officeDocument/2006/relationships/hyperlink" Target="https://www.forbes.com/advisor/business/porters-five-forces/" TargetMode="External"/><Relationship Id="rId46" Type="http://schemas.openxmlformats.org/officeDocument/2006/relationships/hyperlink" Target="https://hduhb.nhs.wales/about-us/governance-arrangements/policies-and-written-control-documents/policies/learning-and-development-policy/" TargetMode="External"/><Relationship Id="rId20" Type="http://schemas.openxmlformats.org/officeDocument/2006/relationships/hyperlink" Target="https://www.cipd.org/uk/knowledge/factsheets/strategy-development-factsheet/" TargetMode="External"/><Relationship Id="rId41" Type="http://schemas.openxmlformats.org/officeDocument/2006/relationships/hyperlink" Target="https://online.hbs.edu/blog/post/how-to-read-a-balance-sheet"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hart" Target="charts/chart2.xml"/><Relationship Id="rId15" Type="http://schemas.openxmlformats.org/officeDocument/2006/relationships/hyperlink" Target="https://www.cipd.org/uk/views-and-insights/thought-leadership/insight/ai-people-management/" TargetMode="External"/><Relationship Id="rId23" Type="http://schemas.openxmlformats.org/officeDocument/2006/relationships/hyperlink" Target="https://www.cipd.org/uk/knowledge/factsheets/ethics-role-hr-factsheet/" TargetMode="External"/><Relationship Id="rId28" Type="http://schemas.openxmlformats.org/officeDocument/2006/relationships/hyperlink" Target="https://www.cipd.org/globalassets/media/knowledge/knowledge-hub/evidence-reviews/employee-engagement-discussion-report_tcm18-89598.pdf" TargetMode="External"/><Relationship Id="rId36" Type="http://schemas.openxmlformats.org/officeDocument/2006/relationships/hyperlink" Target="https://www.cipd.org/uk/knowledge/factsheets/ethics-role-hr-factsheet/" TargetMode="External"/><Relationship Id="rId49" Type="http://schemas.openxmlformats.org/officeDocument/2006/relationships/hyperlink" Target="https://www.keepingwellnwl.nhs.uk/academy/using-workforce-intelligence-data/exit-interview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miche\AppData\Local\Microsoft\Olk\Attachments\ooa-2483b908-515f-4312-9351-9e5c3d60597e\b4048950449c3eeda2cd559910a1a909a587e5e1dd53ed856bddfdbffa9a1172\MP%20Table%20one%20turnover%20and%20recruitment%20take%20up.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iche\AppData\Local\Microsoft\Olk\Attachments\ooa-2483b908-515f-4312-9351-9e5c3d60597e\b4048950449c3eeda2cd559910a1a909a587e5e1dd53ed856bddfdbffa9a1172\MP%20Table%20one%20turnover%20and%20recruitment%20take%20up.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iche\AppData\Local\Microsoft\Olk\Attachments\ooa-2483b908-515f-4312-9351-9e5c3d60597e\b4048950449c3eeda2cd559910a1a909a587e5e1dd53ed856bddfdbffa9a1172\MP%20Table%20one%20turnover%20and%20recruitment%20take%20up.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iche\AppData\Local\Microsoft\Olk\Attachments\ooa-2483b908-515f-4312-9351-9e5c3d60597e\b4048950449c3eeda2cd559910a1a909a587e5e1dd53ed856bddfdbffa9a1172\MP%20Table%20one%20turnover%20and%20recruitment%20take%20up.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25241679E37E35E0/Documents/FINAL%20COMPLETED%20QUESTIONS%20%20111.docx!_1820079397"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Sheet1!$B$3</c:f>
              <c:strCache>
                <c:ptCount val="1"/>
                <c:pt idx="0">
                  <c:v>Total in Department 2024</c:v>
                </c:pt>
              </c:strCache>
            </c:strRef>
          </c:tx>
          <c:spPr>
            <a:solidFill>
              <a:schemeClr val="accent1"/>
            </a:solidFill>
            <a:ln>
              <a:noFill/>
            </a:ln>
            <a:effectLst/>
          </c:spPr>
          <c:invertIfNegative val="0"/>
          <c:cat>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Sheet1!$B$4:$B$22</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00-C4D2-40ED-8A54-9DA0C5D93778}"/>
            </c:ext>
          </c:extLst>
        </c:ser>
        <c:ser>
          <c:idx val="1"/>
          <c:order val="1"/>
          <c:tx>
            <c:strRef>
              <c:f>Sheet1!$C$3</c:f>
              <c:strCache>
                <c:ptCount val="1"/>
                <c:pt idx="0">
                  <c:v>Leavers for 2024</c:v>
                </c:pt>
              </c:strCache>
            </c:strRef>
          </c:tx>
          <c:spPr>
            <a:solidFill>
              <a:schemeClr val="accent2"/>
            </a:solidFill>
            <a:ln>
              <a:noFill/>
            </a:ln>
            <a:effectLst/>
          </c:spPr>
          <c:invertIfNegative val="0"/>
          <c:cat>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Sheet1!$C$4:$C$22</c:f>
              <c:numCache>
                <c:formatCode>General</c:formatCode>
                <c:ptCount val="19"/>
                <c:pt idx="0">
                  <c:v>6</c:v>
                </c:pt>
                <c:pt idx="2">
                  <c:v>4</c:v>
                </c:pt>
                <c:pt idx="4">
                  <c:v>1</c:v>
                </c:pt>
                <c:pt idx="6">
                  <c:v>2</c:v>
                </c:pt>
                <c:pt idx="8">
                  <c:v>4</c:v>
                </c:pt>
                <c:pt idx="10">
                  <c:v>8</c:v>
                </c:pt>
                <c:pt idx="12">
                  <c:v>3</c:v>
                </c:pt>
                <c:pt idx="14">
                  <c:v>4</c:v>
                </c:pt>
                <c:pt idx="16">
                  <c:v>1</c:v>
                </c:pt>
                <c:pt idx="18">
                  <c:v>3</c:v>
                </c:pt>
              </c:numCache>
            </c:numRef>
          </c:val>
          <c:extLst>
            <c:ext xmlns:c16="http://schemas.microsoft.com/office/drawing/2014/chart" uri="{C3380CC4-5D6E-409C-BE32-E72D297353CC}">
              <c16:uniqueId val="{00000001-C4D2-40ED-8A54-9DA0C5D93778}"/>
            </c:ext>
          </c:extLst>
        </c:ser>
        <c:ser>
          <c:idx val="2"/>
          <c:order val="2"/>
          <c:tx>
            <c:strRef>
              <c:f>Sheet1!$D$3</c:f>
              <c:strCache>
                <c:ptCount val="1"/>
                <c:pt idx="0">
                  <c:v>Leavers as a % against total in each Department</c:v>
                </c:pt>
              </c:strCache>
            </c:strRef>
          </c:tx>
          <c:spPr>
            <a:solidFill>
              <a:schemeClr val="accent3"/>
            </a:solidFill>
            <a:ln>
              <a:noFill/>
            </a:ln>
            <a:effectLst/>
          </c:spPr>
          <c:invertIfNegative val="0"/>
          <c:cat>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Sheet1!$D$4:$D$22</c:f>
              <c:numCache>
                <c:formatCode>General</c:formatCode>
                <c:ptCount val="19"/>
                <c:pt idx="0" formatCode="0.00%">
                  <c:v>0.23076923076923078</c:v>
                </c:pt>
                <c:pt idx="2" formatCode="0.00%">
                  <c:v>0.26666666666666666</c:v>
                </c:pt>
                <c:pt idx="4" formatCode="0.00%">
                  <c:v>0.125</c:v>
                </c:pt>
                <c:pt idx="6" formatCode="0.00%">
                  <c:v>0.5</c:v>
                </c:pt>
                <c:pt idx="8" formatCode="0.00%">
                  <c:v>0.26666666666666666</c:v>
                </c:pt>
                <c:pt idx="10" formatCode="0.00%">
                  <c:v>0.22857142857142856</c:v>
                </c:pt>
                <c:pt idx="12" formatCode="0.00%">
                  <c:v>0.5</c:v>
                </c:pt>
                <c:pt idx="14" formatCode="0.00%">
                  <c:v>0.33333333333333331</c:v>
                </c:pt>
                <c:pt idx="16" formatCode="0.00%">
                  <c:v>0.25</c:v>
                </c:pt>
                <c:pt idx="18" formatCode="0.00%">
                  <c:v>0.25</c:v>
                </c:pt>
              </c:numCache>
            </c:numRef>
          </c:val>
          <c:extLst>
            <c:ext xmlns:c16="http://schemas.microsoft.com/office/drawing/2014/chart" uri="{C3380CC4-5D6E-409C-BE32-E72D297353CC}">
              <c16:uniqueId val="{00000002-C4D2-40ED-8A54-9DA0C5D93778}"/>
            </c:ext>
          </c:extLst>
        </c:ser>
        <c:ser>
          <c:idx val="3"/>
          <c:order val="3"/>
          <c:tx>
            <c:strRef>
              <c:f>Sheet1!$E$3</c:f>
              <c:strCache>
                <c:ptCount val="1"/>
                <c:pt idx="0">
                  <c:v>Positions vacant </c:v>
                </c:pt>
              </c:strCache>
            </c:strRef>
          </c:tx>
          <c:spPr>
            <a:solidFill>
              <a:schemeClr val="accent4"/>
            </a:solidFill>
            <a:ln>
              <a:noFill/>
            </a:ln>
            <a:effectLst/>
          </c:spPr>
          <c:invertIfNegative val="0"/>
          <c:cat>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Sheet1!$E$4:$E$22</c:f>
              <c:numCache>
                <c:formatCode>General</c:formatCode>
                <c:ptCount val="19"/>
                <c:pt idx="0">
                  <c:v>8</c:v>
                </c:pt>
                <c:pt idx="2">
                  <c:v>5</c:v>
                </c:pt>
                <c:pt idx="4">
                  <c:v>4</c:v>
                </c:pt>
                <c:pt idx="6">
                  <c:v>3</c:v>
                </c:pt>
                <c:pt idx="8">
                  <c:v>6</c:v>
                </c:pt>
                <c:pt idx="10">
                  <c:v>8</c:v>
                </c:pt>
                <c:pt idx="12">
                  <c:v>5</c:v>
                </c:pt>
                <c:pt idx="14">
                  <c:v>3</c:v>
                </c:pt>
                <c:pt idx="16">
                  <c:v>1</c:v>
                </c:pt>
                <c:pt idx="18">
                  <c:v>5</c:v>
                </c:pt>
              </c:numCache>
            </c:numRef>
          </c:val>
          <c:extLst>
            <c:ext xmlns:c16="http://schemas.microsoft.com/office/drawing/2014/chart" uri="{C3380CC4-5D6E-409C-BE32-E72D297353CC}">
              <c16:uniqueId val="{00000003-C4D2-40ED-8A54-9DA0C5D93778}"/>
            </c:ext>
          </c:extLst>
        </c:ser>
        <c:ser>
          <c:idx val="4"/>
          <c:order val="4"/>
          <c:tx>
            <c:strRef>
              <c:f>Sheet1!$F$3</c:f>
              <c:strCache>
                <c:ptCount val="1"/>
                <c:pt idx="0">
                  <c:v>Vacancies as a % against total in each Department</c:v>
                </c:pt>
              </c:strCache>
            </c:strRef>
          </c:tx>
          <c:spPr>
            <a:solidFill>
              <a:schemeClr val="accent5"/>
            </a:solidFill>
            <a:ln>
              <a:noFill/>
            </a:ln>
            <a:effectLst/>
          </c:spPr>
          <c:invertIfNegative val="0"/>
          <c:cat>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Sheet1!$F$4:$F$22</c:f>
              <c:numCache>
                <c:formatCode>General</c:formatCode>
                <c:ptCount val="19"/>
                <c:pt idx="0" formatCode="0.00%">
                  <c:v>0.30769230769230771</c:v>
                </c:pt>
                <c:pt idx="2" formatCode="0.00%">
                  <c:v>0.33333333333333331</c:v>
                </c:pt>
                <c:pt idx="4" formatCode="0.00%">
                  <c:v>0.5</c:v>
                </c:pt>
                <c:pt idx="6" formatCode="0.00%">
                  <c:v>0.75</c:v>
                </c:pt>
                <c:pt idx="8" formatCode="0.00%">
                  <c:v>0.4</c:v>
                </c:pt>
                <c:pt idx="10" formatCode="0.00%">
                  <c:v>0.22857142857142856</c:v>
                </c:pt>
                <c:pt idx="12" formatCode="0.00%">
                  <c:v>0.83333333333333337</c:v>
                </c:pt>
                <c:pt idx="14" formatCode="0.00%">
                  <c:v>0.25</c:v>
                </c:pt>
                <c:pt idx="16" formatCode="0.00%">
                  <c:v>0.25</c:v>
                </c:pt>
                <c:pt idx="18" formatCode="0.00%">
                  <c:v>0.41666666666666669</c:v>
                </c:pt>
              </c:numCache>
            </c:numRef>
          </c:val>
          <c:extLst>
            <c:ext xmlns:c16="http://schemas.microsoft.com/office/drawing/2014/chart" uri="{C3380CC4-5D6E-409C-BE32-E72D297353CC}">
              <c16:uniqueId val="{00000004-C4D2-40ED-8A54-9DA0C5D93778}"/>
            </c:ext>
          </c:extLst>
        </c:ser>
        <c:ser>
          <c:idx val="5"/>
          <c:order val="5"/>
          <c:tx>
            <c:strRef>
              <c:f>Sheet1!$G$3</c:f>
              <c:strCache>
                <c:ptCount val="1"/>
                <c:pt idx="0">
                  <c:v>Positions filled </c:v>
                </c:pt>
              </c:strCache>
            </c:strRef>
          </c:tx>
          <c:spPr>
            <a:solidFill>
              <a:schemeClr val="accent6"/>
            </a:solidFill>
            <a:ln>
              <a:noFill/>
            </a:ln>
            <a:effectLst/>
          </c:spPr>
          <c:invertIfNegative val="0"/>
          <c:cat>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Sheet1!$G$4:$G$22</c:f>
              <c:numCache>
                <c:formatCode>General</c:formatCode>
                <c:ptCount val="19"/>
                <c:pt idx="0">
                  <c:v>3</c:v>
                </c:pt>
                <c:pt idx="2">
                  <c:v>5</c:v>
                </c:pt>
                <c:pt idx="4">
                  <c:v>4</c:v>
                </c:pt>
                <c:pt idx="6">
                  <c:v>3</c:v>
                </c:pt>
                <c:pt idx="8">
                  <c:v>6</c:v>
                </c:pt>
                <c:pt idx="10">
                  <c:v>3</c:v>
                </c:pt>
                <c:pt idx="12">
                  <c:v>2</c:v>
                </c:pt>
                <c:pt idx="14">
                  <c:v>3</c:v>
                </c:pt>
                <c:pt idx="16">
                  <c:v>1</c:v>
                </c:pt>
                <c:pt idx="18">
                  <c:v>2</c:v>
                </c:pt>
              </c:numCache>
            </c:numRef>
          </c:val>
          <c:extLst>
            <c:ext xmlns:c16="http://schemas.microsoft.com/office/drawing/2014/chart" uri="{C3380CC4-5D6E-409C-BE32-E72D297353CC}">
              <c16:uniqueId val="{00000005-C4D2-40ED-8A54-9DA0C5D93778}"/>
            </c:ext>
          </c:extLst>
        </c:ser>
        <c:ser>
          <c:idx val="6"/>
          <c:order val="6"/>
          <c:tx>
            <c:strRef>
              <c:f>Sheet1!$H$3</c:f>
              <c:strCache>
                <c:ptCount val="1"/>
                <c:pt idx="0">
                  <c:v>Positions filled as a % of total in each Department</c:v>
                </c:pt>
              </c:strCache>
            </c:strRef>
          </c:tx>
          <c:spPr>
            <a:solidFill>
              <a:schemeClr val="accent1">
                <a:lumMod val="60000"/>
              </a:schemeClr>
            </a:solidFill>
            <a:ln>
              <a:noFill/>
            </a:ln>
            <a:effectLst/>
          </c:spPr>
          <c:invertIfNegative val="0"/>
          <c:cat>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Sheet1!$H$4:$H$22</c:f>
              <c:numCache>
                <c:formatCode>General</c:formatCode>
                <c:ptCount val="19"/>
                <c:pt idx="0" formatCode="0.00%">
                  <c:v>0.11538461538461539</c:v>
                </c:pt>
                <c:pt idx="2" formatCode="0.00%">
                  <c:v>0.33333333333333331</c:v>
                </c:pt>
                <c:pt idx="4" formatCode="0.00%">
                  <c:v>0.5</c:v>
                </c:pt>
                <c:pt idx="6" formatCode="0.00%">
                  <c:v>0.75</c:v>
                </c:pt>
                <c:pt idx="8" formatCode="0.00%">
                  <c:v>0.4</c:v>
                </c:pt>
                <c:pt idx="10" formatCode="0.00%">
                  <c:v>8.5714285714285715E-2</c:v>
                </c:pt>
                <c:pt idx="12" formatCode="0.00%">
                  <c:v>0.33333333333333331</c:v>
                </c:pt>
                <c:pt idx="14" formatCode="0.00%">
                  <c:v>0.25</c:v>
                </c:pt>
                <c:pt idx="16" formatCode="0.00%">
                  <c:v>0.25</c:v>
                </c:pt>
                <c:pt idx="18" formatCode="0.00%">
                  <c:v>0.16666666666666666</c:v>
                </c:pt>
              </c:numCache>
            </c:numRef>
          </c:val>
          <c:extLst>
            <c:ext xmlns:c16="http://schemas.microsoft.com/office/drawing/2014/chart" uri="{C3380CC4-5D6E-409C-BE32-E72D297353CC}">
              <c16:uniqueId val="{00000006-C4D2-40ED-8A54-9DA0C5D93778}"/>
            </c:ext>
          </c:extLst>
        </c:ser>
        <c:dLbls>
          <c:showLegendKey val="0"/>
          <c:showVal val="0"/>
          <c:showCatName val="0"/>
          <c:showSerName val="0"/>
          <c:showPercent val="0"/>
          <c:showBubbleSize val="0"/>
        </c:dLbls>
        <c:gapWidth val="55"/>
        <c:overlap val="100"/>
        <c:axId val="1941599759"/>
        <c:axId val="1941598319"/>
      </c:barChart>
      <c:catAx>
        <c:axId val="1941599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1598319"/>
        <c:crosses val="autoZero"/>
        <c:auto val="1"/>
        <c:lblAlgn val="ctr"/>
        <c:lblOffset val="100"/>
        <c:noMultiLvlLbl val="0"/>
      </c:catAx>
      <c:valAx>
        <c:axId val="1941598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159975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Sheet1!$B$3</c:f>
              <c:strCache>
                <c:ptCount val="1"/>
                <c:pt idx="0">
                  <c:v>Total in Department 2024</c:v>
                </c:pt>
              </c:strCache>
            </c:strRef>
          </c:tx>
          <c:spPr>
            <a:ln w="28575" cap="rnd">
              <a:solidFill>
                <a:schemeClr val="accent1"/>
              </a:solidFill>
              <a:round/>
            </a:ln>
            <a:effectLst/>
          </c:spPr>
          <c:marker>
            <c:symbol val="none"/>
          </c:marke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(Sheet1!$B$4,Sheet1!$B$6,Sheet1!$B$8,Sheet1!$B$10,Sheet1!$B$12,Sheet1!$B$14,Sheet1!$B$16,Sheet1!$B$18,Sheet1!$B$20,Sheet1!$B$22)</c:f>
              <c:numCache>
                <c:formatCode>General</c:formatCode>
                <c:ptCount val="10"/>
                <c:pt idx="0">
                  <c:v>26</c:v>
                </c:pt>
                <c:pt idx="1">
                  <c:v>15</c:v>
                </c:pt>
                <c:pt idx="2">
                  <c:v>8</c:v>
                </c:pt>
                <c:pt idx="3">
                  <c:v>4</c:v>
                </c:pt>
                <c:pt idx="4">
                  <c:v>15</c:v>
                </c:pt>
                <c:pt idx="5">
                  <c:v>35</c:v>
                </c:pt>
                <c:pt idx="6">
                  <c:v>6</c:v>
                </c:pt>
                <c:pt idx="7">
                  <c:v>12</c:v>
                </c:pt>
                <c:pt idx="8">
                  <c:v>4</c:v>
                </c:pt>
                <c:pt idx="9">
                  <c:v>12</c:v>
                </c:pt>
              </c:numCache>
              <c:extLst/>
            </c:numRef>
          </c:val>
          <c:smooth val="0"/>
          <c:extLst>
            <c:ext xmlns:c16="http://schemas.microsoft.com/office/drawing/2014/chart" uri="{C3380CC4-5D6E-409C-BE32-E72D297353CC}">
              <c16:uniqueId val="{00000000-B8F8-4101-A6F9-69C3A3AF844C}"/>
            </c:ext>
          </c:extLst>
        </c:ser>
        <c:ser>
          <c:idx val="1"/>
          <c:order val="1"/>
          <c:tx>
            <c:strRef>
              <c:f>Sheet1!$C$3</c:f>
              <c:strCache>
                <c:ptCount val="1"/>
                <c:pt idx="0">
                  <c:v>Leavers for 2024</c:v>
                </c:pt>
              </c:strCache>
            </c:strRef>
          </c:tx>
          <c:spPr>
            <a:ln w="28575" cap="rnd">
              <a:solidFill>
                <a:schemeClr val="accent2"/>
              </a:solidFill>
              <a:round/>
            </a:ln>
            <a:effectLst/>
          </c:spPr>
          <c:marker>
            <c:symbol val="none"/>
          </c:marke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(Sheet1!$C$4,Sheet1!$C$6,Sheet1!$C$8,Sheet1!$C$10,Sheet1!$C$12,Sheet1!$C$14,Sheet1!$C$16,Sheet1!$C$18,Sheet1!$C$20,Sheet1!$C$22)</c:f>
              <c:numCache>
                <c:formatCode>General</c:formatCode>
                <c:ptCount val="10"/>
                <c:pt idx="0">
                  <c:v>6</c:v>
                </c:pt>
                <c:pt idx="1">
                  <c:v>4</c:v>
                </c:pt>
                <c:pt idx="2">
                  <c:v>1</c:v>
                </c:pt>
                <c:pt idx="3">
                  <c:v>2</c:v>
                </c:pt>
                <c:pt idx="4">
                  <c:v>4</c:v>
                </c:pt>
                <c:pt idx="5">
                  <c:v>8</c:v>
                </c:pt>
                <c:pt idx="6">
                  <c:v>3</c:v>
                </c:pt>
                <c:pt idx="7">
                  <c:v>4</c:v>
                </c:pt>
                <c:pt idx="8">
                  <c:v>1</c:v>
                </c:pt>
                <c:pt idx="9">
                  <c:v>3</c:v>
                </c:pt>
              </c:numCache>
              <c:extLst/>
            </c:numRef>
          </c:val>
          <c:smooth val="0"/>
          <c:extLst>
            <c:ext xmlns:c16="http://schemas.microsoft.com/office/drawing/2014/chart" uri="{C3380CC4-5D6E-409C-BE32-E72D297353CC}">
              <c16:uniqueId val="{00000001-B8F8-4101-A6F9-69C3A3AF844C}"/>
            </c:ext>
          </c:extLst>
        </c:ser>
        <c:ser>
          <c:idx val="2"/>
          <c:order val="2"/>
          <c:tx>
            <c:strRef>
              <c:f>Sheet1!$D$3</c:f>
              <c:strCache>
                <c:ptCount val="1"/>
                <c:pt idx="0">
                  <c:v>Leavers as a % against total in each Department</c:v>
                </c:pt>
              </c:strCache>
            </c:strRef>
          </c:tx>
          <c:spPr>
            <a:ln w="28575" cap="rnd">
              <a:solidFill>
                <a:schemeClr val="accent3"/>
              </a:solidFill>
              <a:round/>
            </a:ln>
            <a:effectLst/>
          </c:spPr>
          <c:marker>
            <c:symbol val="none"/>
          </c:marke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(Sheet1!$D$4,Sheet1!$D$6,Sheet1!$D$8,Sheet1!$D$10,Sheet1!$D$12,Sheet1!$D$14,Sheet1!$D$16,Sheet1!$D$18,Sheet1!$D$20,Sheet1!$D$22)</c:f>
              <c:numCache>
                <c:formatCode>0.00%</c:formatCode>
                <c:ptCount val="10"/>
                <c:pt idx="0">
                  <c:v>0.23076923076923078</c:v>
                </c:pt>
                <c:pt idx="1">
                  <c:v>0.26666666666666666</c:v>
                </c:pt>
                <c:pt idx="2">
                  <c:v>0.125</c:v>
                </c:pt>
                <c:pt idx="3">
                  <c:v>0.5</c:v>
                </c:pt>
                <c:pt idx="4">
                  <c:v>0.26666666666666666</c:v>
                </c:pt>
                <c:pt idx="5">
                  <c:v>0.22857142857142856</c:v>
                </c:pt>
                <c:pt idx="6">
                  <c:v>0.5</c:v>
                </c:pt>
                <c:pt idx="7">
                  <c:v>0.33333333333333331</c:v>
                </c:pt>
                <c:pt idx="8">
                  <c:v>0.25</c:v>
                </c:pt>
                <c:pt idx="9">
                  <c:v>0.25</c:v>
                </c:pt>
              </c:numCache>
              <c:extLst/>
            </c:numRef>
          </c:val>
          <c:smooth val="0"/>
          <c:extLst>
            <c:ext xmlns:c16="http://schemas.microsoft.com/office/drawing/2014/chart" uri="{C3380CC4-5D6E-409C-BE32-E72D297353CC}">
              <c16:uniqueId val="{00000002-B8F8-4101-A6F9-69C3A3AF844C}"/>
            </c:ext>
          </c:extLst>
        </c:ser>
        <c:ser>
          <c:idx val="3"/>
          <c:order val="3"/>
          <c:tx>
            <c:strRef>
              <c:f>Sheet1!$E$3</c:f>
              <c:strCache>
                <c:ptCount val="1"/>
                <c:pt idx="0">
                  <c:v>Positions vacant </c:v>
                </c:pt>
              </c:strCache>
            </c:strRef>
          </c:tx>
          <c:spPr>
            <a:ln w="28575" cap="rnd">
              <a:solidFill>
                <a:schemeClr val="accent4"/>
              </a:solidFill>
              <a:round/>
            </a:ln>
            <a:effectLst/>
          </c:spPr>
          <c:marker>
            <c:symbol val="none"/>
          </c:marke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(Sheet1!$E$4,Sheet1!$E$6,Sheet1!$E$8,Sheet1!$E$10,Sheet1!$E$12,Sheet1!$E$14,Sheet1!$E$16,Sheet1!$E$18,Sheet1!$E$20,Sheet1!$E$22)</c:f>
              <c:numCache>
                <c:formatCode>General</c:formatCode>
                <c:ptCount val="10"/>
                <c:pt idx="0">
                  <c:v>8</c:v>
                </c:pt>
                <c:pt idx="1">
                  <c:v>5</c:v>
                </c:pt>
                <c:pt idx="2">
                  <c:v>4</c:v>
                </c:pt>
                <c:pt idx="3">
                  <c:v>3</c:v>
                </c:pt>
                <c:pt idx="4">
                  <c:v>6</c:v>
                </c:pt>
                <c:pt idx="5">
                  <c:v>8</c:v>
                </c:pt>
                <c:pt idx="6">
                  <c:v>5</c:v>
                </c:pt>
                <c:pt idx="7">
                  <c:v>3</c:v>
                </c:pt>
                <c:pt idx="8">
                  <c:v>1</c:v>
                </c:pt>
                <c:pt idx="9">
                  <c:v>5</c:v>
                </c:pt>
              </c:numCache>
              <c:extLst/>
            </c:numRef>
          </c:val>
          <c:smooth val="0"/>
          <c:extLst>
            <c:ext xmlns:c16="http://schemas.microsoft.com/office/drawing/2014/chart" uri="{C3380CC4-5D6E-409C-BE32-E72D297353CC}">
              <c16:uniqueId val="{00000003-B8F8-4101-A6F9-69C3A3AF844C}"/>
            </c:ext>
          </c:extLst>
        </c:ser>
        <c:ser>
          <c:idx val="4"/>
          <c:order val="4"/>
          <c:tx>
            <c:strRef>
              <c:f>Sheet1!$F$3</c:f>
              <c:strCache>
                <c:ptCount val="1"/>
                <c:pt idx="0">
                  <c:v>Vacancies as a % against total in each Department</c:v>
                </c:pt>
              </c:strCache>
            </c:strRef>
          </c:tx>
          <c:spPr>
            <a:ln w="28575" cap="rnd">
              <a:solidFill>
                <a:schemeClr val="accent5"/>
              </a:solidFill>
              <a:round/>
            </a:ln>
            <a:effectLst/>
          </c:spPr>
          <c:marker>
            <c:symbol val="none"/>
          </c:marke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(Sheet1!$F$4,Sheet1!$F$6,Sheet1!$F$8,Sheet1!$F$10,Sheet1!$F$12,Sheet1!$F$14,Sheet1!$F$16,Sheet1!$F$18,Sheet1!$F$20,Sheet1!$F$22)</c:f>
              <c:numCache>
                <c:formatCode>0.00%</c:formatCode>
                <c:ptCount val="10"/>
                <c:pt idx="0">
                  <c:v>0.30769230769230771</c:v>
                </c:pt>
                <c:pt idx="1">
                  <c:v>0.33333333333333331</c:v>
                </c:pt>
                <c:pt idx="2">
                  <c:v>0.5</c:v>
                </c:pt>
                <c:pt idx="3">
                  <c:v>0.75</c:v>
                </c:pt>
                <c:pt idx="4">
                  <c:v>0.4</c:v>
                </c:pt>
                <c:pt idx="5">
                  <c:v>0.22857142857142856</c:v>
                </c:pt>
                <c:pt idx="6">
                  <c:v>0.83333333333333337</c:v>
                </c:pt>
                <c:pt idx="7">
                  <c:v>0.25</c:v>
                </c:pt>
                <c:pt idx="8">
                  <c:v>0.25</c:v>
                </c:pt>
                <c:pt idx="9">
                  <c:v>0.41666666666666669</c:v>
                </c:pt>
              </c:numCache>
              <c:extLst/>
            </c:numRef>
          </c:val>
          <c:smooth val="0"/>
          <c:extLst>
            <c:ext xmlns:c16="http://schemas.microsoft.com/office/drawing/2014/chart" uri="{C3380CC4-5D6E-409C-BE32-E72D297353CC}">
              <c16:uniqueId val="{00000004-B8F8-4101-A6F9-69C3A3AF844C}"/>
            </c:ext>
          </c:extLst>
        </c:ser>
        <c:ser>
          <c:idx val="5"/>
          <c:order val="5"/>
          <c:tx>
            <c:strRef>
              <c:f>Sheet1!$G$3</c:f>
              <c:strCache>
                <c:ptCount val="1"/>
                <c:pt idx="0">
                  <c:v>Positions filled </c:v>
                </c:pt>
              </c:strCache>
            </c:strRef>
          </c:tx>
          <c:spPr>
            <a:ln w="28575" cap="rnd">
              <a:solidFill>
                <a:schemeClr val="accent6"/>
              </a:solidFill>
              <a:round/>
            </a:ln>
            <a:effectLst/>
          </c:spPr>
          <c:marker>
            <c:symbol val="none"/>
          </c:marke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(Sheet1!$G$4,Sheet1!$G$6,Sheet1!$G$8,Sheet1!$G$10,Sheet1!$G$12,Sheet1!$G$14,Sheet1!$G$16,Sheet1!$G$18,Sheet1!$G$20,Sheet1!$G$22)</c:f>
              <c:numCache>
                <c:formatCode>General</c:formatCode>
                <c:ptCount val="10"/>
                <c:pt idx="0">
                  <c:v>3</c:v>
                </c:pt>
                <c:pt idx="1">
                  <c:v>5</c:v>
                </c:pt>
                <c:pt idx="2">
                  <c:v>4</c:v>
                </c:pt>
                <c:pt idx="3">
                  <c:v>3</c:v>
                </c:pt>
                <c:pt idx="4">
                  <c:v>6</c:v>
                </c:pt>
                <c:pt idx="5">
                  <c:v>3</c:v>
                </c:pt>
                <c:pt idx="6">
                  <c:v>2</c:v>
                </c:pt>
                <c:pt idx="7">
                  <c:v>3</c:v>
                </c:pt>
                <c:pt idx="8">
                  <c:v>1</c:v>
                </c:pt>
                <c:pt idx="9">
                  <c:v>2</c:v>
                </c:pt>
              </c:numCache>
              <c:extLst/>
            </c:numRef>
          </c:val>
          <c:smooth val="0"/>
          <c:extLst>
            <c:ext xmlns:c16="http://schemas.microsoft.com/office/drawing/2014/chart" uri="{C3380CC4-5D6E-409C-BE32-E72D297353CC}">
              <c16:uniqueId val="{00000005-B8F8-4101-A6F9-69C3A3AF844C}"/>
            </c:ext>
          </c:extLst>
        </c:ser>
        <c:ser>
          <c:idx val="6"/>
          <c:order val="6"/>
          <c:tx>
            <c:strRef>
              <c:f>Sheet1!$H$3</c:f>
              <c:strCache>
                <c:ptCount val="1"/>
                <c:pt idx="0">
                  <c:v>Positions filled as a % of total in each Department</c:v>
                </c:pt>
              </c:strCache>
            </c:strRef>
          </c:tx>
          <c:spPr>
            <a:ln w="28575" cap="rnd">
              <a:solidFill>
                <a:schemeClr val="accent1">
                  <a:lumMod val="60000"/>
                </a:schemeClr>
              </a:solidFill>
              <a:round/>
            </a:ln>
            <a:effectLst/>
          </c:spPr>
          <c:marker>
            <c:symbol val="none"/>
          </c:marke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(Sheet1!$H$4,Sheet1!$H$6,Sheet1!$H$8,Sheet1!$H$10,Sheet1!$H$12,Sheet1!$H$14,Sheet1!$H$16,Sheet1!$H$18,Sheet1!$H$20,Sheet1!$H$22)</c:f>
              <c:numCache>
                <c:formatCode>0.00%</c:formatCode>
                <c:ptCount val="10"/>
                <c:pt idx="0">
                  <c:v>0.11538461538461539</c:v>
                </c:pt>
                <c:pt idx="1">
                  <c:v>0.33333333333333331</c:v>
                </c:pt>
                <c:pt idx="2">
                  <c:v>0.5</c:v>
                </c:pt>
                <c:pt idx="3">
                  <c:v>0.75</c:v>
                </c:pt>
                <c:pt idx="4">
                  <c:v>0.4</c:v>
                </c:pt>
                <c:pt idx="5">
                  <c:v>8.5714285714285715E-2</c:v>
                </c:pt>
                <c:pt idx="6">
                  <c:v>0.33333333333333331</c:v>
                </c:pt>
                <c:pt idx="7">
                  <c:v>0.25</c:v>
                </c:pt>
                <c:pt idx="8">
                  <c:v>0.25</c:v>
                </c:pt>
                <c:pt idx="9">
                  <c:v>0.16666666666666666</c:v>
                </c:pt>
              </c:numCache>
              <c:extLst/>
            </c:numRef>
          </c:val>
          <c:smooth val="0"/>
          <c:extLst>
            <c:ext xmlns:c16="http://schemas.microsoft.com/office/drawing/2014/chart" uri="{C3380CC4-5D6E-409C-BE32-E72D297353CC}">
              <c16:uniqueId val="{00000006-B8F8-4101-A6F9-69C3A3AF844C}"/>
            </c:ext>
          </c:extLst>
        </c:ser>
        <c:dLbls>
          <c:showLegendKey val="0"/>
          <c:showVal val="0"/>
          <c:showCatName val="0"/>
          <c:showSerName val="0"/>
          <c:showPercent val="0"/>
          <c:showBubbleSize val="0"/>
        </c:dLbls>
        <c:smooth val="0"/>
        <c:axId val="1941599759"/>
        <c:axId val="1941598319"/>
      </c:lineChart>
      <c:catAx>
        <c:axId val="1941599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1598319"/>
        <c:crosses val="autoZero"/>
        <c:auto val="1"/>
        <c:lblAlgn val="ctr"/>
        <c:lblOffset val="100"/>
        <c:noMultiLvlLbl val="0"/>
      </c:catAx>
      <c:valAx>
        <c:axId val="1941598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159975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areaChart>
        <c:grouping val="standard"/>
        <c:varyColors val="0"/>
        <c:ser>
          <c:idx val="0"/>
          <c:order val="0"/>
          <c:tx>
            <c:strRef>
              <c:f>Sheet1!$B$3</c:f>
              <c:strCache>
                <c:ptCount val="1"/>
                <c:pt idx="0">
                  <c:v>Total in Department 2024</c:v>
                </c:pt>
              </c:strCache>
            </c:strRef>
          </c:tx>
          <c:spPr>
            <a:solidFill>
              <a:schemeClr val="accent1"/>
            </a:solidFill>
            <a:ln>
              <a:noFill/>
            </a:ln>
            <a:effectLst/>
          </c:spP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(Sheet1!$B$4,Sheet1!$B$6,Sheet1!$B$8,Sheet1!$B$10,Sheet1!$B$12,Sheet1!$B$14,Sheet1!$B$16,Sheet1!$B$18,Sheet1!$B$20,Sheet1!$B$22)</c:f>
              <c:numCache>
                <c:formatCode>General</c:formatCode>
                <c:ptCount val="10"/>
                <c:pt idx="0">
                  <c:v>26</c:v>
                </c:pt>
                <c:pt idx="1">
                  <c:v>15</c:v>
                </c:pt>
                <c:pt idx="2">
                  <c:v>8</c:v>
                </c:pt>
                <c:pt idx="3">
                  <c:v>4</c:v>
                </c:pt>
                <c:pt idx="4">
                  <c:v>15</c:v>
                </c:pt>
                <c:pt idx="5">
                  <c:v>35</c:v>
                </c:pt>
                <c:pt idx="6">
                  <c:v>6</c:v>
                </c:pt>
                <c:pt idx="7">
                  <c:v>12</c:v>
                </c:pt>
                <c:pt idx="8">
                  <c:v>4</c:v>
                </c:pt>
                <c:pt idx="9">
                  <c:v>12</c:v>
                </c:pt>
              </c:numCache>
              <c:extLst/>
            </c:numRef>
          </c:val>
          <c:extLst>
            <c:ext xmlns:c16="http://schemas.microsoft.com/office/drawing/2014/chart" uri="{C3380CC4-5D6E-409C-BE32-E72D297353CC}">
              <c16:uniqueId val="{00000000-B0A5-47F8-8236-19205640BF3C}"/>
            </c:ext>
          </c:extLst>
        </c:ser>
        <c:ser>
          <c:idx val="1"/>
          <c:order val="1"/>
          <c:tx>
            <c:strRef>
              <c:f>Sheet1!$C$3</c:f>
              <c:strCache>
                <c:ptCount val="1"/>
                <c:pt idx="0">
                  <c:v>Leavers for 2024</c:v>
                </c:pt>
              </c:strCache>
            </c:strRef>
          </c:tx>
          <c:spPr>
            <a:solidFill>
              <a:schemeClr val="accent2"/>
            </a:solidFill>
            <a:ln>
              <a:noFill/>
            </a:ln>
            <a:effectLst/>
          </c:spP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(Sheet1!$C$4,Sheet1!$C$6,Sheet1!$C$8,Sheet1!$C$10,Sheet1!$C$12,Sheet1!$C$14,Sheet1!$C$16,Sheet1!$C$18,Sheet1!$C$20,Sheet1!$C$22)</c:f>
              <c:numCache>
                <c:formatCode>General</c:formatCode>
                <c:ptCount val="10"/>
                <c:pt idx="0">
                  <c:v>6</c:v>
                </c:pt>
                <c:pt idx="1">
                  <c:v>4</c:v>
                </c:pt>
                <c:pt idx="2">
                  <c:v>1</c:v>
                </c:pt>
                <c:pt idx="3">
                  <c:v>2</c:v>
                </c:pt>
                <c:pt idx="4">
                  <c:v>4</c:v>
                </c:pt>
                <c:pt idx="5">
                  <c:v>8</c:v>
                </c:pt>
                <c:pt idx="6">
                  <c:v>3</c:v>
                </c:pt>
                <c:pt idx="7">
                  <c:v>4</c:v>
                </c:pt>
                <c:pt idx="8">
                  <c:v>1</c:v>
                </c:pt>
                <c:pt idx="9">
                  <c:v>3</c:v>
                </c:pt>
              </c:numCache>
              <c:extLst/>
            </c:numRef>
          </c:val>
          <c:extLst>
            <c:ext xmlns:c16="http://schemas.microsoft.com/office/drawing/2014/chart" uri="{C3380CC4-5D6E-409C-BE32-E72D297353CC}">
              <c16:uniqueId val="{00000001-B0A5-47F8-8236-19205640BF3C}"/>
            </c:ext>
          </c:extLst>
        </c:ser>
        <c:ser>
          <c:idx val="2"/>
          <c:order val="2"/>
          <c:tx>
            <c:strRef>
              <c:f>Sheet1!$D$3</c:f>
              <c:strCache>
                <c:ptCount val="1"/>
                <c:pt idx="0">
                  <c:v>Leavers as a % against total in each Department</c:v>
                </c:pt>
              </c:strCache>
            </c:strRef>
          </c:tx>
          <c:spPr>
            <a:solidFill>
              <a:schemeClr val="accent3"/>
            </a:solidFill>
            <a:ln>
              <a:noFill/>
            </a:ln>
            <a:effectLst/>
          </c:spP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(Sheet1!$D$4,Sheet1!$D$6,Sheet1!$D$8,Sheet1!$D$10,Sheet1!$D$12,Sheet1!$D$14,Sheet1!$D$16,Sheet1!$D$18,Sheet1!$D$20,Sheet1!$D$22)</c:f>
              <c:numCache>
                <c:formatCode>0.00%</c:formatCode>
                <c:ptCount val="10"/>
                <c:pt idx="0">
                  <c:v>0.23076923076923078</c:v>
                </c:pt>
                <c:pt idx="1">
                  <c:v>0.26666666666666666</c:v>
                </c:pt>
                <c:pt idx="2">
                  <c:v>0.125</c:v>
                </c:pt>
                <c:pt idx="3">
                  <c:v>0.5</c:v>
                </c:pt>
                <c:pt idx="4">
                  <c:v>0.26666666666666666</c:v>
                </c:pt>
                <c:pt idx="5">
                  <c:v>0.22857142857142856</c:v>
                </c:pt>
                <c:pt idx="6">
                  <c:v>0.5</c:v>
                </c:pt>
                <c:pt idx="7">
                  <c:v>0.33333333333333331</c:v>
                </c:pt>
                <c:pt idx="8">
                  <c:v>0.25</c:v>
                </c:pt>
                <c:pt idx="9">
                  <c:v>0.25</c:v>
                </c:pt>
              </c:numCache>
              <c:extLst/>
            </c:numRef>
          </c:val>
          <c:extLst>
            <c:ext xmlns:c16="http://schemas.microsoft.com/office/drawing/2014/chart" uri="{C3380CC4-5D6E-409C-BE32-E72D297353CC}">
              <c16:uniqueId val="{00000002-B0A5-47F8-8236-19205640BF3C}"/>
            </c:ext>
          </c:extLst>
        </c:ser>
        <c:ser>
          <c:idx val="3"/>
          <c:order val="3"/>
          <c:tx>
            <c:strRef>
              <c:f>Sheet1!$E$3</c:f>
              <c:strCache>
                <c:ptCount val="1"/>
                <c:pt idx="0">
                  <c:v>Positions vacant </c:v>
                </c:pt>
              </c:strCache>
            </c:strRef>
          </c:tx>
          <c:spPr>
            <a:solidFill>
              <a:schemeClr val="accent4"/>
            </a:solidFill>
            <a:ln>
              <a:noFill/>
            </a:ln>
            <a:effectLst/>
          </c:spP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(Sheet1!$E$4,Sheet1!$E$6,Sheet1!$E$8,Sheet1!$E$10,Sheet1!$E$12,Sheet1!$E$14,Sheet1!$E$16,Sheet1!$E$18,Sheet1!$E$20,Sheet1!$E$22)</c:f>
              <c:numCache>
                <c:formatCode>General</c:formatCode>
                <c:ptCount val="10"/>
                <c:pt idx="0">
                  <c:v>8</c:v>
                </c:pt>
                <c:pt idx="1">
                  <c:v>5</c:v>
                </c:pt>
                <c:pt idx="2">
                  <c:v>4</c:v>
                </c:pt>
                <c:pt idx="3">
                  <c:v>3</c:v>
                </c:pt>
                <c:pt idx="4">
                  <c:v>6</c:v>
                </c:pt>
                <c:pt idx="5">
                  <c:v>8</c:v>
                </c:pt>
                <c:pt idx="6">
                  <c:v>5</c:v>
                </c:pt>
                <c:pt idx="7">
                  <c:v>3</c:v>
                </c:pt>
                <c:pt idx="8">
                  <c:v>1</c:v>
                </c:pt>
                <c:pt idx="9">
                  <c:v>5</c:v>
                </c:pt>
              </c:numCache>
              <c:extLst/>
            </c:numRef>
          </c:val>
          <c:extLst>
            <c:ext xmlns:c16="http://schemas.microsoft.com/office/drawing/2014/chart" uri="{C3380CC4-5D6E-409C-BE32-E72D297353CC}">
              <c16:uniqueId val="{00000003-B0A5-47F8-8236-19205640BF3C}"/>
            </c:ext>
          </c:extLst>
        </c:ser>
        <c:ser>
          <c:idx val="4"/>
          <c:order val="4"/>
          <c:tx>
            <c:strRef>
              <c:f>Sheet1!$F$3</c:f>
              <c:strCache>
                <c:ptCount val="1"/>
                <c:pt idx="0">
                  <c:v>Vacancies as a % against total in each Department</c:v>
                </c:pt>
              </c:strCache>
            </c:strRef>
          </c:tx>
          <c:spPr>
            <a:solidFill>
              <a:schemeClr val="accent5"/>
            </a:solidFill>
            <a:ln>
              <a:noFill/>
            </a:ln>
            <a:effectLst/>
          </c:spP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(Sheet1!$F$4,Sheet1!$F$6,Sheet1!$F$8,Sheet1!$F$10,Sheet1!$F$12,Sheet1!$F$14,Sheet1!$F$16,Sheet1!$F$18,Sheet1!$F$20,Sheet1!$F$22)</c:f>
              <c:numCache>
                <c:formatCode>0.00%</c:formatCode>
                <c:ptCount val="10"/>
                <c:pt idx="0">
                  <c:v>0.30769230769230771</c:v>
                </c:pt>
                <c:pt idx="1">
                  <c:v>0.33333333333333331</c:v>
                </c:pt>
                <c:pt idx="2">
                  <c:v>0.5</c:v>
                </c:pt>
                <c:pt idx="3">
                  <c:v>0.75</c:v>
                </c:pt>
                <c:pt idx="4">
                  <c:v>0.4</c:v>
                </c:pt>
                <c:pt idx="5">
                  <c:v>0.22857142857142856</c:v>
                </c:pt>
                <c:pt idx="6">
                  <c:v>0.83333333333333337</c:v>
                </c:pt>
                <c:pt idx="7">
                  <c:v>0.25</c:v>
                </c:pt>
                <c:pt idx="8">
                  <c:v>0.25</c:v>
                </c:pt>
                <c:pt idx="9">
                  <c:v>0.41666666666666669</c:v>
                </c:pt>
              </c:numCache>
              <c:extLst/>
            </c:numRef>
          </c:val>
          <c:extLst>
            <c:ext xmlns:c16="http://schemas.microsoft.com/office/drawing/2014/chart" uri="{C3380CC4-5D6E-409C-BE32-E72D297353CC}">
              <c16:uniqueId val="{00000004-B0A5-47F8-8236-19205640BF3C}"/>
            </c:ext>
          </c:extLst>
        </c:ser>
        <c:ser>
          <c:idx val="5"/>
          <c:order val="5"/>
          <c:tx>
            <c:strRef>
              <c:f>Sheet1!$G$3</c:f>
              <c:strCache>
                <c:ptCount val="1"/>
                <c:pt idx="0">
                  <c:v>Positions filled </c:v>
                </c:pt>
              </c:strCache>
            </c:strRef>
          </c:tx>
          <c:spPr>
            <a:solidFill>
              <a:schemeClr val="accent6"/>
            </a:solidFill>
            <a:ln>
              <a:noFill/>
            </a:ln>
            <a:effectLst/>
          </c:spP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(Sheet1!$G$4,Sheet1!$G$6,Sheet1!$G$8,Sheet1!$G$10,Sheet1!$G$12,Sheet1!$G$14,Sheet1!$G$16,Sheet1!$G$18,Sheet1!$G$20,Sheet1!$G$22)</c:f>
              <c:numCache>
                <c:formatCode>General</c:formatCode>
                <c:ptCount val="10"/>
                <c:pt idx="0">
                  <c:v>3</c:v>
                </c:pt>
                <c:pt idx="1">
                  <c:v>5</c:v>
                </c:pt>
                <c:pt idx="2">
                  <c:v>4</c:v>
                </c:pt>
                <c:pt idx="3">
                  <c:v>3</c:v>
                </c:pt>
                <c:pt idx="4">
                  <c:v>6</c:v>
                </c:pt>
                <c:pt idx="5">
                  <c:v>3</c:v>
                </c:pt>
                <c:pt idx="6">
                  <c:v>2</c:v>
                </c:pt>
                <c:pt idx="7">
                  <c:v>3</c:v>
                </c:pt>
                <c:pt idx="8">
                  <c:v>1</c:v>
                </c:pt>
                <c:pt idx="9">
                  <c:v>2</c:v>
                </c:pt>
              </c:numCache>
              <c:extLst/>
            </c:numRef>
          </c:val>
          <c:extLst>
            <c:ext xmlns:c16="http://schemas.microsoft.com/office/drawing/2014/chart" uri="{C3380CC4-5D6E-409C-BE32-E72D297353CC}">
              <c16:uniqueId val="{00000005-B0A5-47F8-8236-19205640BF3C}"/>
            </c:ext>
          </c:extLst>
        </c:ser>
        <c:ser>
          <c:idx val="6"/>
          <c:order val="6"/>
          <c:tx>
            <c:strRef>
              <c:f>Sheet1!$H$3</c:f>
              <c:strCache>
                <c:ptCount val="1"/>
                <c:pt idx="0">
                  <c:v>Positions filled as a % of total in each Department</c:v>
                </c:pt>
              </c:strCache>
            </c:strRef>
          </c:tx>
          <c:spPr>
            <a:solidFill>
              <a:schemeClr val="accent1">
                <a:lumMod val="60000"/>
              </a:schemeClr>
            </a:solidFill>
            <a:ln>
              <a:noFill/>
            </a:ln>
            <a:effectLst/>
          </c:spPr>
          <c:cat>
            <c:strRef>
              <c:f>(Sheet1!$A$4,Sheet1!$A$6,Sheet1!$A$8,Sheet1!$A$10,Sheet1!$A$12,Sheet1!$A$14,Sheet1!$A$16,Sheet1!$A$18,Sheet1!$A$20,Sheet1!$A$22)</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extLst/>
            </c:strRef>
          </c:cat>
          <c:val>
            <c:numRef>
              <c:f>(Sheet1!$H$4,Sheet1!$H$6,Sheet1!$H$8,Sheet1!$H$10,Sheet1!$H$12,Sheet1!$H$14,Sheet1!$H$16,Sheet1!$H$18,Sheet1!$H$20,Sheet1!$H$22)</c:f>
              <c:numCache>
                <c:formatCode>0.00%</c:formatCode>
                <c:ptCount val="10"/>
                <c:pt idx="0">
                  <c:v>0.11538461538461539</c:v>
                </c:pt>
                <c:pt idx="1">
                  <c:v>0.33333333333333331</c:v>
                </c:pt>
                <c:pt idx="2">
                  <c:v>0.5</c:v>
                </c:pt>
                <c:pt idx="3">
                  <c:v>0.75</c:v>
                </c:pt>
                <c:pt idx="4">
                  <c:v>0.4</c:v>
                </c:pt>
                <c:pt idx="5">
                  <c:v>8.5714285714285715E-2</c:v>
                </c:pt>
                <c:pt idx="6">
                  <c:v>0.33333333333333331</c:v>
                </c:pt>
                <c:pt idx="7">
                  <c:v>0.25</c:v>
                </c:pt>
                <c:pt idx="8">
                  <c:v>0.25</c:v>
                </c:pt>
                <c:pt idx="9">
                  <c:v>0.16666666666666666</c:v>
                </c:pt>
              </c:numCache>
              <c:extLst/>
            </c:numRef>
          </c:val>
          <c:extLst>
            <c:ext xmlns:c16="http://schemas.microsoft.com/office/drawing/2014/chart" uri="{C3380CC4-5D6E-409C-BE32-E72D297353CC}">
              <c16:uniqueId val="{00000006-B0A5-47F8-8236-19205640BF3C}"/>
            </c:ext>
          </c:extLst>
        </c:ser>
        <c:dLbls>
          <c:showLegendKey val="0"/>
          <c:showVal val="0"/>
          <c:showCatName val="0"/>
          <c:showSerName val="0"/>
          <c:showPercent val="0"/>
          <c:showBubbleSize val="0"/>
        </c:dLbls>
        <c:axId val="1941599759"/>
        <c:axId val="1941598319"/>
      </c:areaChart>
      <c:catAx>
        <c:axId val="1941599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1598319"/>
        <c:crosses val="autoZero"/>
        <c:auto val="1"/>
        <c:lblAlgn val="ctr"/>
        <c:lblOffset val="100"/>
        <c:noMultiLvlLbl val="0"/>
      </c:catAx>
      <c:valAx>
        <c:axId val="1941598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159975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strRef>
              <c:f>Sheet1!$B$3</c:f>
              <c:strCache>
                <c:ptCount val="1"/>
                <c:pt idx="0">
                  <c:v>Total in Department 2024</c:v>
                </c:pt>
              </c:strCache>
            </c:strRef>
          </c:tx>
          <c:spPr>
            <a:ln w="25400" cap="rnd">
              <a:noFill/>
              <a:round/>
            </a:ln>
            <a:effectLst/>
          </c:spPr>
          <c:marker>
            <c:symbol val="circle"/>
            <c:size val="5"/>
            <c:spPr>
              <a:solidFill>
                <a:schemeClr val="accent1"/>
              </a:solidFill>
              <a:ln w="9525">
                <a:solidFill>
                  <a:schemeClr val="accent1"/>
                </a:solidFill>
              </a:ln>
              <a:effectLst/>
            </c:spPr>
          </c:marker>
          <c:xVal>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xVal>
          <c:yVal>
            <c:numRef>
              <c:f>Sheet1!$B$4:$B$22</c:f>
              <c:numCache>
                <c:formatCode>General</c:formatCode>
                <c:ptCount val="19"/>
                <c:pt idx="0">
                  <c:v>26</c:v>
                </c:pt>
                <c:pt idx="2">
                  <c:v>15</c:v>
                </c:pt>
                <c:pt idx="4">
                  <c:v>8</c:v>
                </c:pt>
                <c:pt idx="6">
                  <c:v>4</c:v>
                </c:pt>
                <c:pt idx="8">
                  <c:v>15</c:v>
                </c:pt>
                <c:pt idx="10">
                  <c:v>35</c:v>
                </c:pt>
                <c:pt idx="12">
                  <c:v>6</c:v>
                </c:pt>
                <c:pt idx="14">
                  <c:v>12</c:v>
                </c:pt>
                <c:pt idx="16">
                  <c:v>4</c:v>
                </c:pt>
                <c:pt idx="18">
                  <c:v>12</c:v>
                </c:pt>
              </c:numCache>
            </c:numRef>
          </c:yVal>
          <c:smooth val="0"/>
          <c:extLst>
            <c:ext xmlns:c16="http://schemas.microsoft.com/office/drawing/2014/chart" uri="{C3380CC4-5D6E-409C-BE32-E72D297353CC}">
              <c16:uniqueId val="{00000000-A548-4298-81A0-E0628C302870}"/>
            </c:ext>
          </c:extLst>
        </c:ser>
        <c:ser>
          <c:idx val="1"/>
          <c:order val="1"/>
          <c:tx>
            <c:strRef>
              <c:f>Sheet1!$C$3</c:f>
              <c:strCache>
                <c:ptCount val="1"/>
                <c:pt idx="0">
                  <c:v>Leavers for 2024</c:v>
                </c:pt>
              </c:strCache>
            </c:strRef>
          </c:tx>
          <c:spPr>
            <a:ln w="25400" cap="rnd">
              <a:noFill/>
              <a:round/>
            </a:ln>
            <a:effectLst/>
          </c:spPr>
          <c:marker>
            <c:symbol val="circle"/>
            <c:size val="5"/>
            <c:spPr>
              <a:solidFill>
                <a:schemeClr val="accent2"/>
              </a:solidFill>
              <a:ln w="9525">
                <a:solidFill>
                  <a:schemeClr val="accent2"/>
                </a:solidFill>
              </a:ln>
              <a:effectLst/>
            </c:spPr>
          </c:marker>
          <c:xVal>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xVal>
          <c:yVal>
            <c:numRef>
              <c:f>Sheet1!$C$4:$C$22</c:f>
              <c:numCache>
                <c:formatCode>General</c:formatCode>
                <c:ptCount val="19"/>
                <c:pt idx="0">
                  <c:v>6</c:v>
                </c:pt>
                <c:pt idx="2">
                  <c:v>4</c:v>
                </c:pt>
                <c:pt idx="4">
                  <c:v>1</c:v>
                </c:pt>
                <c:pt idx="6">
                  <c:v>2</c:v>
                </c:pt>
                <c:pt idx="8">
                  <c:v>4</c:v>
                </c:pt>
                <c:pt idx="10">
                  <c:v>8</c:v>
                </c:pt>
                <c:pt idx="12">
                  <c:v>3</c:v>
                </c:pt>
                <c:pt idx="14">
                  <c:v>4</c:v>
                </c:pt>
                <c:pt idx="16">
                  <c:v>1</c:v>
                </c:pt>
                <c:pt idx="18">
                  <c:v>3</c:v>
                </c:pt>
              </c:numCache>
            </c:numRef>
          </c:yVal>
          <c:smooth val="0"/>
          <c:extLst>
            <c:ext xmlns:c16="http://schemas.microsoft.com/office/drawing/2014/chart" uri="{C3380CC4-5D6E-409C-BE32-E72D297353CC}">
              <c16:uniqueId val="{00000001-A548-4298-81A0-E0628C302870}"/>
            </c:ext>
          </c:extLst>
        </c:ser>
        <c:ser>
          <c:idx val="2"/>
          <c:order val="2"/>
          <c:tx>
            <c:strRef>
              <c:f>Sheet1!$D$3</c:f>
              <c:strCache>
                <c:ptCount val="1"/>
                <c:pt idx="0">
                  <c:v>Leavers as a % against total in each Department</c:v>
                </c:pt>
              </c:strCache>
            </c:strRef>
          </c:tx>
          <c:spPr>
            <a:ln w="25400" cap="rnd">
              <a:noFill/>
              <a:round/>
            </a:ln>
            <a:effectLst/>
          </c:spPr>
          <c:marker>
            <c:symbol val="circle"/>
            <c:size val="5"/>
            <c:spPr>
              <a:solidFill>
                <a:schemeClr val="accent3"/>
              </a:solidFill>
              <a:ln w="9525">
                <a:solidFill>
                  <a:schemeClr val="accent3"/>
                </a:solidFill>
              </a:ln>
              <a:effectLst/>
            </c:spPr>
          </c:marker>
          <c:xVal>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xVal>
          <c:yVal>
            <c:numRef>
              <c:f>Sheet1!$D$4:$D$22</c:f>
              <c:numCache>
                <c:formatCode>0.00%</c:formatCode>
                <c:ptCount val="19"/>
                <c:pt idx="0">
                  <c:v>0.23076923076923078</c:v>
                </c:pt>
                <c:pt idx="2">
                  <c:v>0.26666666666666666</c:v>
                </c:pt>
                <c:pt idx="4">
                  <c:v>0.125</c:v>
                </c:pt>
                <c:pt idx="6">
                  <c:v>0.5</c:v>
                </c:pt>
                <c:pt idx="8">
                  <c:v>0.26666666666666666</c:v>
                </c:pt>
                <c:pt idx="10">
                  <c:v>0.22857142857142856</c:v>
                </c:pt>
                <c:pt idx="12">
                  <c:v>0.5</c:v>
                </c:pt>
                <c:pt idx="14">
                  <c:v>0.33333333333333331</c:v>
                </c:pt>
                <c:pt idx="16">
                  <c:v>0.25</c:v>
                </c:pt>
                <c:pt idx="18">
                  <c:v>0.25</c:v>
                </c:pt>
              </c:numCache>
            </c:numRef>
          </c:yVal>
          <c:smooth val="0"/>
          <c:extLst>
            <c:ext xmlns:c16="http://schemas.microsoft.com/office/drawing/2014/chart" uri="{C3380CC4-5D6E-409C-BE32-E72D297353CC}">
              <c16:uniqueId val="{00000002-A548-4298-81A0-E0628C302870}"/>
            </c:ext>
          </c:extLst>
        </c:ser>
        <c:ser>
          <c:idx val="3"/>
          <c:order val="3"/>
          <c:tx>
            <c:strRef>
              <c:f>Sheet1!$E$3</c:f>
              <c:strCache>
                <c:ptCount val="1"/>
                <c:pt idx="0">
                  <c:v>Positions vacant </c:v>
                </c:pt>
              </c:strCache>
            </c:strRef>
          </c:tx>
          <c:spPr>
            <a:ln w="25400" cap="rnd">
              <a:noFill/>
              <a:round/>
            </a:ln>
            <a:effectLst/>
          </c:spPr>
          <c:marker>
            <c:symbol val="circle"/>
            <c:size val="5"/>
            <c:spPr>
              <a:solidFill>
                <a:schemeClr val="accent4"/>
              </a:solidFill>
              <a:ln w="9525">
                <a:solidFill>
                  <a:schemeClr val="accent4"/>
                </a:solidFill>
              </a:ln>
              <a:effectLst/>
            </c:spPr>
          </c:marker>
          <c:xVal>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xVal>
          <c:yVal>
            <c:numRef>
              <c:f>Sheet1!$E$4:$E$22</c:f>
              <c:numCache>
                <c:formatCode>General</c:formatCode>
                <c:ptCount val="19"/>
                <c:pt idx="0">
                  <c:v>8</c:v>
                </c:pt>
                <c:pt idx="2">
                  <c:v>5</c:v>
                </c:pt>
                <c:pt idx="4">
                  <c:v>4</c:v>
                </c:pt>
                <c:pt idx="6">
                  <c:v>3</c:v>
                </c:pt>
                <c:pt idx="8">
                  <c:v>6</c:v>
                </c:pt>
                <c:pt idx="10">
                  <c:v>8</c:v>
                </c:pt>
                <c:pt idx="12">
                  <c:v>5</c:v>
                </c:pt>
                <c:pt idx="14">
                  <c:v>3</c:v>
                </c:pt>
                <c:pt idx="16">
                  <c:v>1</c:v>
                </c:pt>
                <c:pt idx="18">
                  <c:v>5</c:v>
                </c:pt>
              </c:numCache>
            </c:numRef>
          </c:yVal>
          <c:smooth val="0"/>
          <c:extLst>
            <c:ext xmlns:c16="http://schemas.microsoft.com/office/drawing/2014/chart" uri="{C3380CC4-5D6E-409C-BE32-E72D297353CC}">
              <c16:uniqueId val="{00000003-A548-4298-81A0-E0628C302870}"/>
            </c:ext>
          </c:extLst>
        </c:ser>
        <c:ser>
          <c:idx val="4"/>
          <c:order val="4"/>
          <c:tx>
            <c:strRef>
              <c:f>Sheet1!$F$3</c:f>
              <c:strCache>
                <c:ptCount val="1"/>
                <c:pt idx="0">
                  <c:v>Vacancies as a % against total in each Department</c:v>
                </c:pt>
              </c:strCache>
            </c:strRef>
          </c:tx>
          <c:spPr>
            <a:ln w="25400" cap="rnd">
              <a:noFill/>
              <a:round/>
            </a:ln>
            <a:effectLst/>
          </c:spPr>
          <c:marker>
            <c:symbol val="circle"/>
            <c:size val="5"/>
            <c:spPr>
              <a:solidFill>
                <a:schemeClr val="accent5"/>
              </a:solidFill>
              <a:ln w="9525">
                <a:solidFill>
                  <a:schemeClr val="accent5"/>
                </a:solidFill>
              </a:ln>
              <a:effectLst/>
            </c:spPr>
          </c:marker>
          <c:xVal>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xVal>
          <c:yVal>
            <c:numRef>
              <c:f>Sheet1!$F$4:$F$22</c:f>
              <c:numCache>
                <c:formatCode>0.00%</c:formatCode>
                <c:ptCount val="19"/>
                <c:pt idx="0">
                  <c:v>0.30769230769230771</c:v>
                </c:pt>
                <c:pt idx="2">
                  <c:v>0.33333333333333331</c:v>
                </c:pt>
                <c:pt idx="4">
                  <c:v>0.5</c:v>
                </c:pt>
                <c:pt idx="6">
                  <c:v>0.75</c:v>
                </c:pt>
                <c:pt idx="8">
                  <c:v>0.4</c:v>
                </c:pt>
                <c:pt idx="10">
                  <c:v>0.22857142857142856</c:v>
                </c:pt>
                <c:pt idx="12">
                  <c:v>0.83333333333333337</c:v>
                </c:pt>
                <c:pt idx="14">
                  <c:v>0.25</c:v>
                </c:pt>
                <c:pt idx="16">
                  <c:v>0.25</c:v>
                </c:pt>
                <c:pt idx="18">
                  <c:v>0.41666666666666669</c:v>
                </c:pt>
              </c:numCache>
            </c:numRef>
          </c:yVal>
          <c:smooth val="0"/>
          <c:extLst>
            <c:ext xmlns:c16="http://schemas.microsoft.com/office/drawing/2014/chart" uri="{C3380CC4-5D6E-409C-BE32-E72D297353CC}">
              <c16:uniqueId val="{00000004-A548-4298-81A0-E0628C302870}"/>
            </c:ext>
          </c:extLst>
        </c:ser>
        <c:ser>
          <c:idx val="5"/>
          <c:order val="5"/>
          <c:tx>
            <c:strRef>
              <c:f>Sheet1!$G$3</c:f>
              <c:strCache>
                <c:ptCount val="1"/>
                <c:pt idx="0">
                  <c:v>Positions filled </c:v>
                </c:pt>
              </c:strCache>
            </c:strRef>
          </c:tx>
          <c:spPr>
            <a:ln w="25400" cap="rnd">
              <a:noFill/>
              <a:round/>
            </a:ln>
            <a:effectLst/>
          </c:spPr>
          <c:marker>
            <c:symbol val="circle"/>
            <c:size val="5"/>
            <c:spPr>
              <a:solidFill>
                <a:schemeClr val="accent6"/>
              </a:solidFill>
              <a:ln w="9525">
                <a:solidFill>
                  <a:schemeClr val="accent6"/>
                </a:solidFill>
              </a:ln>
              <a:effectLst/>
            </c:spPr>
          </c:marker>
          <c:xVal>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xVal>
          <c:yVal>
            <c:numRef>
              <c:f>Sheet1!$G$4:$G$22</c:f>
              <c:numCache>
                <c:formatCode>General</c:formatCode>
                <c:ptCount val="19"/>
                <c:pt idx="0">
                  <c:v>3</c:v>
                </c:pt>
                <c:pt idx="2">
                  <c:v>5</c:v>
                </c:pt>
                <c:pt idx="4">
                  <c:v>4</c:v>
                </c:pt>
                <c:pt idx="6">
                  <c:v>3</c:v>
                </c:pt>
                <c:pt idx="8">
                  <c:v>6</c:v>
                </c:pt>
                <c:pt idx="10">
                  <c:v>3</c:v>
                </c:pt>
                <c:pt idx="12">
                  <c:v>2</c:v>
                </c:pt>
                <c:pt idx="14">
                  <c:v>3</c:v>
                </c:pt>
                <c:pt idx="16">
                  <c:v>1</c:v>
                </c:pt>
                <c:pt idx="18">
                  <c:v>2</c:v>
                </c:pt>
              </c:numCache>
            </c:numRef>
          </c:yVal>
          <c:smooth val="0"/>
          <c:extLst>
            <c:ext xmlns:c16="http://schemas.microsoft.com/office/drawing/2014/chart" uri="{C3380CC4-5D6E-409C-BE32-E72D297353CC}">
              <c16:uniqueId val="{00000005-A548-4298-81A0-E0628C302870}"/>
            </c:ext>
          </c:extLst>
        </c:ser>
        <c:ser>
          <c:idx val="6"/>
          <c:order val="6"/>
          <c:tx>
            <c:strRef>
              <c:f>Sheet1!$H$3</c:f>
              <c:strCache>
                <c:ptCount val="1"/>
                <c:pt idx="0">
                  <c:v>Positions filled as a % of total in each Department</c:v>
                </c:pt>
              </c:strCache>
            </c:strRef>
          </c:tx>
          <c:spPr>
            <a:ln w="25400" cap="rnd">
              <a:noFill/>
              <a:round/>
            </a:ln>
            <a:effectLst/>
          </c:spPr>
          <c:marker>
            <c:symbol val="circle"/>
            <c:size val="5"/>
            <c:spPr>
              <a:solidFill>
                <a:schemeClr val="accent1">
                  <a:lumMod val="60000"/>
                </a:schemeClr>
              </a:solidFill>
              <a:ln w="9525">
                <a:solidFill>
                  <a:schemeClr val="accent1">
                    <a:lumMod val="60000"/>
                  </a:schemeClr>
                </a:solidFill>
              </a:ln>
              <a:effectLst/>
            </c:spPr>
          </c:marker>
          <c:xVal>
            <c:strRef>
              <c:f>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xVal>
          <c:yVal>
            <c:numRef>
              <c:f>Sheet1!$H$4:$H$22</c:f>
              <c:numCache>
                <c:formatCode>0.00%</c:formatCode>
                <c:ptCount val="19"/>
                <c:pt idx="0">
                  <c:v>0.11538461538461539</c:v>
                </c:pt>
                <c:pt idx="2">
                  <c:v>0.33333333333333331</c:v>
                </c:pt>
                <c:pt idx="4">
                  <c:v>0.5</c:v>
                </c:pt>
                <c:pt idx="6">
                  <c:v>0.75</c:v>
                </c:pt>
                <c:pt idx="8">
                  <c:v>0.4</c:v>
                </c:pt>
                <c:pt idx="10">
                  <c:v>8.5714285714285715E-2</c:v>
                </c:pt>
                <c:pt idx="12">
                  <c:v>0.33333333333333331</c:v>
                </c:pt>
                <c:pt idx="14">
                  <c:v>0.25</c:v>
                </c:pt>
                <c:pt idx="16">
                  <c:v>0.25</c:v>
                </c:pt>
                <c:pt idx="18">
                  <c:v>0.16666666666666666</c:v>
                </c:pt>
              </c:numCache>
            </c:numRef>
          </c:yVal>
          <c:smooth val="0"/>
          <c:extLst>
            <c:ext xmlns:c16="http://schemas.microsoft.com/office/drawing/2014/chart" uri="{C3380CC4-5D6E-409C-BE32-E72D297353CC}">
              <c16:uniqueId val="{00000006-A548-4298-81A0-E0628C302870}"/>
            </c:ext>
          </c:extLst>
        </c:ser>
        <c:dLbls>
          <c:showLegendKey val="0"/>
          <c:showVal val="0"/>
          <c:showCatName val="0"/>
          <c:showSerName val="0"/>
          <c:showPercent val="0"/>
          <c:showBubbleSize val="0"/>
        </c:dLbls>
        <c:axId val="1941599759"/>
        <c:axId val="1941598319"/>
      </c:scatterChart>
      <c:valAx>
        <c:axId val="1941599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1598319"/>
        <c:crosses val="autoZero"/>
        <c:crossBetween val="midCat"/>
      </c:valAx>
      <c:valAx>
        <c:axId val="1941598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159975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Evaluation Feedback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'[Worksheet in https   d.docs.live.net 25241679E37E35E0 Documents FINAL%20COMPLETED%20QUESTIONS%20%20111.docx]Sheet1'!$B$9</c:f>
              <c:strCache>
                <c:ptCount val="1"/>
                <c:pt idx="0">
                  <c:v>Fully Agree</c:v>
                </c:pt>
              </c:strCache>
            </c:strRef>
          </c:tx>
          <c:spPr>
            <a:ln w="28575" cap="rnd">
              <a:solidFill>
                <a:schemeClr val="accent1"/>
              </a:solidFill>
              <a:round/>
            </a:ln>
            <a:effectLst/>
          </c:spPr>
          <c:marker>
            <c:symbol val="none"/>
          </c:marker>
          <c:cat>
            <c:strRef>
              <c:f>'[Worksheet in https   d.docs.live.net 25241679E37E35E0 Documents FINAL%20COMPLETED%20QUESTIONS%20%20111.docx]Sheet1'!$A$10:$A$19</c:f>
              <c:strCache>
                <c:ptCount val="10"/>
                <c:pt idx="0">
                  <c:v>My learning preferences were consider prior the learning activity </c:v>
                </c:pt>
                <c:pt idx="1">
                  <c:v>On commencement the faciliator provided clear set objectives </c:v>
                </c:pt>
                <c:pt idx="2">
                  <c:v>The learning event was appropriately structured</c:v>
                </c:pt>
                <c:pt idx="3">
                  <c:v>The faciliator was clearly knolwedgable about the topics </c:v>
                </c:pt>
                <c:pt idx="4">
                  <c:v>The faciliator provided clear explanation on topics discussed </c:v>
                </c:pt>
                <c:pt idx="5">
                  <c:v>Resources used were of a good quality</c:v>
                </c:pt>
                <c:pt idx="6">
                  <c:v>I was able to engage with meaningful questioning and answering on topics being discussed </c:v>
                </c:pt>
                <c:pt idx="7">
                  <c:v>At the end of the session the set learning outcomes were achieved </c:v>
                </c:pt>
                <c:pt idx="8">
                  <c:v>The learning linked to my performace target</c:v>
                </c:pt>
                <c:pt idx="9">
                  <c:v>I was able to employ the knolwedge skills and behaviours into my working role </c:v>
                </c:pt>
              </c:strCache>
            </c:strRef>
          </c:cat>
          <c:val>
            <c:numRef>
              <c:f>'[Worksheet in https   d.docs.live.net 25241679E37E35E0 Documents FINAL%20COMPLETED%20QUESTIONS%20%20111.docx]Sheet1'!$B$10:$B$19</c:f>
              <c:numCache>
                <c:formatCode>General</c:formatCode>
                <c:ptCount val="10"/>
                <c:pt idx="0">
                  <c:v>10</c:v>
                </c:pt>
                <c:pt idx="1">
                  <c:v>5</c:v>
                </c:pt>
                <c:pt idx="2">
                  <c:v>7</c:v>
                </c:pt>
                <c:pt idx="3">
                  <c:v>13</c:v>
                </c:pt>
                <c:pt idx="4">
                  <c:v>5</c:v>
                </c:pt>
                <c:pt idx="5">
                  <c:v>0</c:v>
                </c:pt>
                <c:pt idx="6">
                  <c:v>0</c:v>
                </c:pt>
                <c:pt idx="7">
                  <c:v>4</c:v>
                </c:pt>
                <c:pt idx="8">
                  <c:v>2</c:v>
                </c:pt>
                <c:pt idx="9">
                  <c:v>0</c:v>
                </c:pt>
              </c:numCache>
            </c:numRef>
          </c:val>
          <c:smooth val="0"/>
          <c:extLst>
            <c:ext xmlns:c16="http://schemas.microsoft.com/office/drawing/2014/chart" uri="{C3380CC4-5D6E-409C-BE32-E72D297353CC}">
              <c16:uniqueId val="{00000000-45BA-4ECE-A19D-04A8C91C999D}"/>
            </c:ext>
          </c:extLst>
        </c:ser>
        <c:ser>
          <c:idx val="1"/>
          <c:order val="1"/>
          <c:tx>
            <c:strRef>
              <c:f>'[Worksheet in https   d.docs.live.net 25241679E37E35E0 Documents FINAL%20COMPLETED%20QUESTIONS%20%20111.docx]Sheet1'!$C$9</c:f>
              <c:strCache>
                <c:ptCount val="1"/>
                <c:pt idx="0">
                  <c:v>Agree</c:v>
                </c:pt>
              </c:strCache>
            </c:strRef>
          </c:tx>
          <c:spPr>
            <a:ln w="28575" cap="rnd">
              <a:solidFill>
                <a:schemeClr val="accent2"/>
              </a:solidFill>
              <a:round/>
            </a:ln>
            <a:effectLst/>
          </c:spPr>
          <c:marker>
            <c:symbol val="none"/>
          </c:marker>
          <c:cat>
            <c:strRef>
              <c:f>'[Worksheet in https   d.docs.live.net 25241679E37E35E0 Documents FINAL%20COMPLETED%20QUESTIONS%20%20111.docx]Sheet1'!$A$10:$A$19</c:f>
              <c:strCache>
                <c:ptCount val="10"/>
                <c:pt idx="0">
                  <c:v>My learning preferences were consider prior the learning activity </c:v>
                </c:pt>
                <c:pt idx="1">
                  <c:v>On commencement the faciliator provided clear set objectives </c:v>
                </c:pt>
                <c:pt idx="2">
                  <c:v>The learning event was appropriately structured</c:v>
                </c:pt>
                <c:pt idx="3">
                  <c:v>The faciliator was clearly knolwedgable about the topics </c:v>
                </c:pt>
                <c:pt idx="4">
                  <c:v>The faciliator provided clear explanation on topics discussed </c:v>
                </c:pt>
                <c:pt idx="5">
                  <c:v>Resources used were of a good quality</c:v>
                </c:pt>
                <c:pt idx="6">
                  <c:v>I was able to engage with meaningful questioning and answering on topics being discussed </c:v>
                </c:pt>
                <c:pt idx="7">
                  <c:v>At the end of the session the set learning outcomes were achieved </c:v>
                </c:pt>
                <c:pt idx="8">
                  <c:v>The learning linked to my performace target</c:v>
                </c:pt>
                <c:pt idx="9">
                  <c:v>I was able to employ the knolwedge skills and behaviours into my working role </c:v>
                </c:pt>
              </c:strCache>
            </c:strRef>
          </c:cat>
          <c:val>
            <c:numRef>
              <c:f>'[Worksheet in https   d.docs.live.net 25241679E37E35E0 Documents FINAL%20COMPLETED%20QUESTIONS%20%20111.docx]Sheet1'!$C$10:$C$19</c:f>
              <c:numCache>
                <c:formatCode>General</c:formatCode>
                <c:ptCount val="10"/>
                <c:pt idx="0">
                  <c:v>0</c:v>
                </c:pt>
                <c:pt idx="1">
                  <c:v>34</c:v>
                </c:pt>
                <c:pt idx="2">
                  <c:v>16</c:v>
                </c:pt>
                <c:pt idx="3">
                  <c:v>26</c:v>
                </c:pt>
                <c:pt idx="4">
                  <c:v>28</c:v>
                </c:pt>
                <c:pt idx="5">
                  <c:v>36</c:v>
                </c:pt>
                <c:pt idx="6">
                  <c:v>2</c:v>
                </c:pt>
                <c:pt idx="7">
                  <c:v>1</c:v>
                </c:pt>
                <c:pt idx="8">
                  <c:v>4</c:v>
                </c:pt>
                <c:pt idx="9">
                  <c:v>6</c:v>
                </c:pt>
              </c:numCache>
            </c:numRef>
          </c:val>
          <c:smooth val="0"/>
          <c:extLst>
            <c:ext xmlns:c16="http://schemas.microsoft.com/office/drawing/2014/chart" uri="{C3380CC4-5D6E-409C-BE32-E72D297353CC}">
              <c16:uniqueId val="{00000001-45BA-4ECE-A19D-04A8C91C999D}"/>
            </c:ext>
          </c:extLst>
        </c:ser>
        <c:ser>
          <c:idx val="2"/>
          <c:order val="2"/>
          <c:tx>
            <c:strRef>
              <c:f>'[Worksheet in https   d.docs.live.net 25241679E37E35E0 Documents FINAL%20COMPLETED%20QUESTIONS%20%20111.docx]Sheet1'!$D$9</c:f>
              <c:strCache>
                <c:ptCount val="1"/>
                <c:pt idx="0">
                  <c:v>Not Sure</c:v>
                </c:pt>
              </c:strCache>
            </c:strRef>
          </c:tx>
          <c:spPr>
            <a:ln w="28575" cap="rnd">
              <a:solidFill>
                <a:schemeClr val="accent3"/>
              </a:solidFill>
              <a:round/>
            </a:ln>
            <a:effectLst/>
          </c:spPr>
          <c:marker>
            <c:symbol val="none"/>
          </c:marker>
          <c:cat>
            <c:strRef>
              <c:f>'[Worksheet in https   d.docs.live.net 25241679E37E35E0 Documents FINAL%20COMPLETED%20QUESTIONS%20%20111.docx]Sheet1'!$A$10:$A$19</c:f>
              <c:strCache>
                <c:ptCount val="10"/>
                <c:pt idx="0">
                  <c:v>My learning preferences were consider prior the learning activity </c:v>
                </c:pt>
                <c:pt idx="1">
                  <c:v>On commencement the faciliator provided clear set objectives </c:v>
                </c:pt>
                <c:pt idx="2">
                  <c:v>The learning event was appropriately structured</c:v>
                </c:pt>
                <c:pt idx="3">
                  <c:v>The faciliator was clearly knolwedgable about the topics </c:v>
                </c:pt>
                <c:pt idx="4">
                  <c:v>The faciliator provided clear explanation on topics discussed </c:v>
                </c:pt>
                <c:pt idx="5">
                  <c:v>Resources used were of a good quality</c:v>
                </c:pt>
                <c:pt idx="6">
                  <c:v>I was able to engage with meaningful questioning and answering on topics being discussed </c:v>
                </c:pt>
                <c:pt idx="7">
                  <c:v>At the end of the session the set learning outcomes were achieved </c:v>
                </c:pt>
                <c:pt idx="8">
                  <c:v>The learning linked to my performace target</c:v>
                </c:pt>
                <c:pt idx="9">
                  <c:v>I was able to employ the knolwedge skills and behaviours into my working role </c:v>
                </c:pt>
              </c:strCache>
            </c:strRef>
          </c:cat>
          <c:val>
            <c:numRef>
              <c:f>'[Worksheet in https   d.docs.live.net 25241679E37E35E0 Documents FINAL%20COMPLETED%20QUESTIONS%20%20111.docx]Sheet1'!$D$10:$D$19</c:f>
              <c:numCache>
                <c:formatCode>General</c:formatCode>
                <c:ptCount val="10"/>
                <c:pt idx="0">
                  <c:v>18</c:v>
                </c:pt>
                <c:pt idx="1">
                  <c:v>3</c:v>
                </c:pt>
                <c:pt idx="2">
                  <c:v>11</c:v>
                </c:pt>
                <c:pt idx="3">
                  <c:v>2</c:v>
                </c:pt>
                <c:pt idx="4">
                  <c:v>0</c:v>
                </c:pt>
                <c:pt idx="5">
                  <c:v>6</c:v>
                </c:pt>
                <c:pt idx="6">
                  <c:v>8</c:v>
                </c:pt>
                <c:pt idx="7">
                  <c:v>4</c:v>
                </c:pt>
                <c:pt idx="8">
                  <c:v>24</c:v>
                </c:pt>
                <c:pt idx="9">
                  <c:v>22</c:v>
                </c:pt>
              </c:numCache>
            </c:numRef>
          </c:val>
          <c:smooth val="0"/>
          <c:extLst>
            <c:ext xmlns:c16="http://schemas.microsoft.com/office/drawing/2014/chart" uri="{C3380CC4-5D6E-409C-BE32-E72D297353CC}">
              <c16:uniqueId val="{00000002-45BA-4ECE-A19D-04A8C91C999D}"/>
            </c:ext>
          </c:extLst>
        </c:ser>
        <c:ser>
          <c:idx val="3"/>
          <c:order val="3"/>
          <c:tx>
            <c:strRef>
              <c:f>'[Worksheet in https   d.docs.live.net 25241679E37E35E0 Documents FINAL%20COMPLETED%20QUESTIONS%20%20111.docx]Sheet1'!$E$9</c:f>
              <c:strCache>
                <c:ptCount val="1"/>
                <c:pt idx="0">
                  <c:v>Disagree</c:v>
                </c:pt>
              </c:strCache>
            </c:strRef>
          </c:tx>
          <c:spPr>
            <a:ln w="28575" cap="rnd">
              <a:solidFill>
                <a:schemeClr val="accent4"/>
              </a:solidFill>
              <a:round/>
            </a:ln>
            <a:effectLst/>
          </c:spPr>
          <c:marker>
            <c:symbol val="none"/>
          </c:marker>
          <c:cat>
            <c:strRef>
              <c:f>'[Worksheet in https   d.docs.live.net 25241679E37E35E0 Documents FINAL%20COMPLETED%20QUESTIONS%20%20111.docx]Sheet1'!$A$10:$A$19</c:f>
              <c:strCache>
                <c:ptCount val="10"/>
                <c:pt idx="0">
                  <c:v>My learning preferences were consider prior the learning activity </c:v>
                </c:pt>
                <c:pt idx="1">
                  <c:v>On commencement the faciliator provided clear set objectives </c:v>
                </c:pt>
                <c:pt idx="2">
                  <c:v>The learning event was appropriately structured</c:v>
                </c:pt>
                <c:pt idx="3">
                  <c:v>The faciliator was clearly knolwedgable about the topics </c:v>
                </c:pt>
                <c:pt idx="4">
                  <c:v>The faciliator provided clear explanation on topics discussed </c:v>
                </c:pt>
                <c:pt idx="5">
                  <c:v>Resources used were of a good quality</c:v>
                </c:pt>
                <c:pt idx="6">
                  <c:v>I was able to engage with meaningful questioning and answering on topics being discussed </c:v>
                </c:pt>
                <c:pt idx="7">
                  <c:v>At the end of the session the set learning outcomes were achieved </c:v>
                </c:pt>
                <c:pt idx="8">
                  <c:v>The learning linked to my performace target</c:v>
                </c:pt>
                <c:pt idx="9">
                  <c:v>I was able to employ the knolwedge skills and behaviours into my working role </c:v>
                </c:pt>
              </c:strCache>
            </c:strRef>
          </c:cat>
          <c:val>
            <c:numRef>
              <c:f>'[Worksheet in https   d.docs.live.net 25241679E37E35E0 Documents FINAL%20COMPLETED%20QUESTIONS%20%20111.docx]Sheet1'!$E$10:$E$19</c:f>
              <c:numCache>
                <c:formatCode>General</c:formatCode>
                <c:ptCount val="10"/>
                <c:pt idx="0">
                  <c:v>14</c:v>
                </c:pt>
                <c:pt idx="1">
                  <c:v>0</c:v>
                </c:pt>
                <c:pt idx="2">
                  <c:v>6</c:v>
                </c:pt>
                <c:pt idx="3">
                  <c:v>1</c:v>
                </c:pt>
                <c:pt idx="4">
                  <c:v>9</c:v>
                </c:pt>
                <c:pt idx="5">
                  <c:v>0</c:v>
                </c:pt>
                <c:pt idx="6">
                  <c:v>27</c:v>
                </c:pt>
                <c:pt idx="7">
                  <c:v>18</c:v>
                </c:pt>
                <c:pt idx="8">
                  <c:v>11</c:v>
                </c:pt>
                <c:pt idx="9">
                  <c:v>8</c:v>
                </c:pt>
              </c:numCache>
            </c:numRef>
          </c:val>
          <c:smooth val="0"/>
          <c:extLst>
            <c:ext xmlns:c16="http://schemas.microsoft.com/office/drawing/2014/chart" uri="{C3380CC4-5D6E-409C-BE32-E72D297353CC}">
              <c16:uniqueId val="{00000003-45BA-4ECE-A19D-04A8C91C999D}"/>
            </c:ext>
          </c:extLst>
        </c:ser>
        <c:ser>
          <c:idx val="4"/>
          <c:order val="4"/>
          <c:tx>
            <c:strRef>
              <c:f>'[Worksheet in https   d.docs.live.net 25241679E37E35E0 Documents FINAL%20COMPLETED%20QUESTIONS%20%20111.docx]Sheet1'!$F$9</c:f>
              <c:strCache>
                <c:ptCount val="1"/>
                <c:pt idx="0">
                  <c:v>Strongly Disagree</c:v>
                </c:pt>
              </c:strCache>
            </c:strRef>
          </c:tx>
          <c:spPr>
            <a:ln w="28575" cap="rnd">
              <a:solidFill>
                <a:schemeClr val="accent5"/>
              </a:solidFill>
              <a:round/>
            </a:ln>
            <a:effectLst/>
          </c:spPr>
          <c:marker>
            <c:symbol val="none"/>
          </c:marker>
          <c:cat>
            <c:strRef>
              <c:f>'[Worksheet in https   d.docs.live.net 25241679E37E35E0 Documents FINAL%20COMPLETED%20QUESTIONS%20%20111.docx]Sheet1'!$A$10:$A$19</c:f>
              <c:strCache>
                <c:ptCount val="10"/>
                <c:pt idx="0">
                  <c:v>My learning preferences were consider prior the learning activity </c:v>
                </c:pt>
                <c:pt idx="1">
                  <c:v>On commencement the faciliator provided clear set objectives </c:v>
                </c:pt>
                <c:pt idx="2">
                  <c:v>The learning event was appropriately structured</c:v>
                </c:pt>
                <c:pt idx="3">
                  <c:v>The faciliator was clearly knolwedgable about the topics </c:v>
                </c:pt>
                <c:pt idx="4">
                  <c:v>The faciliator provided clear explanation on topics discussed </c:v>
                </c:pt>
                <c:pt idx="5">
                  <c:v>Resources used were of a good quality</c:v>
                </c:pt>
                <c:pt idx="6">
                  <c:v>I was able to engage with meaningful questioning and answering on topics being discussed </c:v>
                </c:pt>
                <c:pt idx="7">
                  <c:v>At the end of the session the set learning outcomes were achieved </c:v>
                </c:pt>
                <c:pt idx="8">
                  <c:v>The learning linked to my performace target</c:v>
                </c:pt>
                <c:pt idx="9">
                  <c:v>I was able to employ the knolwedge skills and behaviours into my working role </c:v>
                </c:pt>
              </c:strCache>
            </c:strRef>
          </c:cat>
          <c:val>
            <c:numRef>
              <c:f>'[Worksheet in https   d.docs.live.net 25241679E37E35E0 Documents FINAL%20COMPLETED%20QUESTIONS%20%20111.docx]Sheet1'!$F$10:$F$19</c:f>
              <c:numCache>
                <c:formatCode>General</c:formatCode>
                <c:ptCount val="10"/>
                <c:pt idx="0">
                  <c:v>0</c:v>
                </c:pt>
                <c:pt idx="1">
                  <c:v>0</c:v>
                </c:pt>
                <c:pt idx="2">
                  <c:v>2</c:v>
                </c:pt>
                <c:pt idx="3">
                  <c:v>0</c:v>
                </c:pt>
                <c:pt idx="4">
                  <c:v>0</c:v>
                </c:pt>
                <c:pt idx="5">
                  <c:v>0</c:v>
                </c:pt>
                <c:pt idx="6">
                  <c:v>5</c:v>
                </c:pt>
                <c:pt idx="7">
                  <c:v>15</c:v>
                </c:pt>
                <c:pt idx="8">
                  <c:v>1</c:v>
                </c:pt>
                <c:pt idx="9">
                  <c:v>6</c:v>
                </c:pt>
              </c:numCache>
            </c:numRef>
          </c:val>
          <c:smooth val="0"/>
          <c:extLst>
            <c:ext xmlns:c16="http://schemas.microsoft.com/office/drawing/2014/chart" uri="{C3380CC4-5D6E-409C-BE32-E72D297353CC}">
              <c16:uniqueId val="{00000004-45BA-4ECE-A19D-04A8C91C999D}"/>
            </c:ext>
          </c:extLst>
        </c:ser>
        <c:dLbls>
          <c:showLegendKey val="0"/>
          <c:showVal val="0"/>
          <c:showCatName val="0"/>
          <c:showSerName val="0"/>
          <c:showPercent val="0"/>
          <c:showBubbleSize val="0"/>
        </c:dLbls>
        <c:smooth val="0"/>
        <c:axId val="1755721775"/>
        <c:axId val="1755719855"/>
      </c:lineChart>
      <c:catAx>
        <c:axId val="1755721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5719855"/>
        <c:crosses val="autoZero"/>
        <c:auto val="1"/>
        <c:lblAlgn val="ctr"/>
        <c:lblOffset val="100"/>
        <c:noMultiLvlLbl val="0"/>
      </c:catAx>
      <c:valAx>
        <c:axId val="17557198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57217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6074</Words>
  <Characters>34622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phillips</dc:creator>
  <cp:keywords/>
  <dc:description/>
  <cp:lastModifiedBy>michelle phillips</cp:lastModifiedBy>
  <cp:revision>2</cp:revision>
  <dcterms:created xsi:type="dcterms:W3CDTF">2025-09-22T21:27:00Z</dcterms:created>
  <dcterms:modified xsi:type="dcterms:W3CDTF">2025-09-22T21:27:00Z</dcterms:modified>
</cp:coreProperties>
</file>