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522475554"/>
        <w:docPartObj>
          <w:docPartGallery w:val="Cover Pages"/>
          <w:docPartUnique/>
        </w:docPartObj>
      </w:sdtPr>
      <w:sdtEndPr/>
      <w:sdtContent>
        <w:p w14:paraId="32E0C564" w14:textId="77777777" w:rsidR="006730B6" w:rsidRPr="00BE3ACE" w:rsidRDefault="006730B6" w:rsidP="006730B6">
          <w:pPr>
            <w:spacing w:line="360" w:lineRule="auto"/>
            <w:rPr>
              <w:rFonts w:ascii="Arial" w:hAnsi="Arial" w:cs="Arial"/>
              <w:sz w:val="24"/>
              <w:szCs w:val="24"/>
            </w:rPr>
          </w:pPr>
        </w:p>
        <w:p w14:paraId="4A310BED" w14:textId="1D46741A" w:rsidR="006730B6" w:rsidRPr="00BE3ACE" w:rsidRDefault="006730B6" w:rsidP="006730B6">
          <w:pPr>
            <w:spacing w:line="360" w:lineRule="auto"/>
            <w:rPr>
              <w:rFonts w:ascii="Arial" w:hAnsi="Arial" w:cs="Arial"/>
              <w:sz w:val="24"/>
              <w:szCs w:val="24"/>
            </w:rPr>
          </w:pPr>
          <w:r w:rsidRPr="00BE3ACE">
            <w:rPr>
              <w:rFonts w:ascii="Arial" w:hAnsi="Arial" w:cs="Arial"/>
              <w:sz w:val="24"/>
              <w:szCs w:val="24"/>
            </w:rPr>
            <w:t>Student Name: Madalina Nagy</w:t>
          </w:r>
        </w:p>
        <w:p w14:paraId="256283CE" w14:textId="77777777" w:rsidR="006730B6" w:rsidRPr="00BE3ACE" w:rsidRDefault="006730B6" w:rsidP="006730B6">
          <w:pPr>
            <w:spacing w:line="360" w:lineRule="auto"/>
            <w:rPr>
              <w:rFonts w:ascii="Arial" w:hAnsi="Arial" w:cs="Arial"/>
              <w:caps/>
              <w:color w:val="171717" w:themeColor="background2" w:themeShade="1A"/>
              <w:kern w:val="24"/>
              <w:sz w:val="24"/>
              <w:szCs w:val="24"/>
            </w:rPr>
          </w:pPr>
          <w:r w:rsidRPr="00BE3ACE">
            <w:rPr>
              <w:rFonts w:ascii="Arial" w:hAnsi="Arial" w:cs="Arial"/>
              <w:sz w:val="24"/>
              <w:szCs w:val="24"/>
            </w:rPr>
            <w:t xml:space="preserve">Student Number: </w:t>
          </w:r>
          <w:r w:rsidRPr="00BE3ACE">
            <w:rPr>
              <w:rFonts w:ascii="Arial" w:hAnsi="Arial" w:cs="Arial"/>
              <w:caps/>
              <w:color w:val="171717" w:themeColor="background2" w:themeShade="1A"/>
              <w:kern w:val="24"/>
              <w:sz w:val="24"/>
              <w:szCs w:val="24"/>
            </w:rPr>
            <w:t>2019619</w:t>
          </w:r>
        </w:p>
        <w:p w14:paraId="13E7DAEE" w14:textId="6A813877" w:rsidR="006730B6" w:rsidRPr="00BE3ACE" w:rsidRDefault="006730B6" w:rsidP="006730B6">
          <w:pPr>
            <w:spacing w:line="360" w:lineRule="auto"/>
            <w:rPr>
              <w:rFonts w:ascii="Arial" w:hAnsi="Arial" w:cs="Arial"/>
              <w:sz w:val="24"/>
              <w:szCs w:val="24"/>
            </w:rPr>
          </w:pPr>
          <w:r w:rsidRPr="00BE3ACE">
            <w:rPr>
              <w:rFonts w:ascii="Arial" w:hAnsi="Arial" w:cs="Arial"/>
              <w:sz w:val="24"/>
              <w:szCs w:val="24"/>
            </w:rPr>
            <w:t>Module:</w:t>
          </w:r>
          <w:r w:rsidR="00D13D50" w:rsidRPr="00BE3ACE">
            <w:rPr>
              <w:rFonts w:ascii="Arial" w:hAnsi="Arial" w:cs="Arial"/>
              <w:sz w:val="24"/>
              <w:szCs w:val="24"/>
            </w:rPr>
            <w:t xml:space="preserve"> Financial Management for the Hotel Industry</w:t>
          </w:r>
          <w:r w:rsidR="001A11D8" w:rsidRPr="00BE3ACE">
            <w:rPr>
              <w:rFonts w:ascii="Arial" w:hAnsi="Arial" w:cs="Arial"/>
              <w:sz w:val="24"/>
              <w:szCs w:val="24"/>
            </w:rPr>
            <w:t xml:space="preserve"> (BMIH5007)</w:t>
          </w:r>
        </w:p>
        <w:p w14:paraId="1836CEA2" w14:textId="77777777" w:rsidR="00D13D50" w:rsidRPr="00BE3ACE" w:rsidRDefault="00D13D50" w:rsidP="00D13D50">
          <w:pPr>
            <w:spacing w:line="360" w:lineRule="auto"/>
            <w:rPr>
              <w:rFonts w:ascii="Arial" w:hAnsi="Arial" w:cs="Arial"/>
              <w:sz w:val="24"/>
              <w:szCs w:val="24"/>
            </w:rPr>
          </w:pPr>
          <w:r w:rsidRPr="00BE3ACE">
            <w:rPr>
              <w:rFonts w:ascii="Arial" w:hAnsi="Arial" w:cs="Arial"/>
              <w:sz w:val="24"/>
              <w:szCs w:val="24"/>
            </w:rPr>
            <w:t xml:space="preserve">   LEVEL 5</w:t>
          </w:r>
        </w:p>
        <w:p w14:paraId="09A1CBEA" w14:textId="77777777" w:rsidR="00D13D50" w:rsidRPr="00BE3ACE" w:rsidRDefault="00D13D50" w:rsidP="00D13D50">
          <w:pPr>
            <w:spacing w:line="360" w:lineRule="auto"/>
            <w:rPr>
              <w:rFonts w:ascii="Arial" w:hAnsi="Arial" w:cs="Arial"/>
              <w:sz w:val="24"/>
              <w:szCs w:val="24"/>
            </w:rPr>
          </w:pPr>
          <w:r w:rsidRPr="00BE3ACE">
            <w:rPr>
              <w:rFonts w:ascii="Arial" w:hAnsi="Arial" w:cs="Arial"/>
              <w:sz w:val="24"/>
              <w:szCs w:val="24"/>
            </w:rPr>
            <w:t>Programmes: BA (Hons) International Hotel Management</w:t>
          </w:r>
        </w:p>
        <w:p w14:paraId="1D9DCF93" w14:textId="5DE6C2F9" w:rsidR="006730B6" w:rsidRPr="00BE3ACE" w:rsidRDefault="00D13D50" w:rsidP="00A20636">
          <w:pPr>
            <w:spacing w:line="360" w:lineRule="auto"/>
            <w:rPr>
              <w:rFonts w:ascii="Arial" w:hAnsi="Arial" w:cs="Arial"/>
              <w:sz w:val="24"/>
              <w:szCs w:val="24"/>
            </w:rPr>
          </w:pPr>
          <w:r w:rsidRPr="00BE3ACE">
            <w:rPr>
              <w:rFonts w:ascii="Arial" w:hAnsi="Arial" w:cs="Arial"/>
              <w:sz w:val="24"/>
              <w:szCs w:val="24"/>
            </w:rPr>
            <w:tab/>
          </w:r>
          <w:r w:rsidRPr="00BE3ACE">
            <w:rPr>
              <w:rFonts w:ascii="Arial" w:hAnsi="Arial" w:cs="Arial"/>
              <w:sz w:val="24"/>
              <w:szCs w:val="24"/>
            </w:rPr>
            <w:tab/>
            <w:t xml:space="preserve"> School of International Hotel Management</w:t>
          </w:r>
        </w:p>
        <w:p w14:paraId="3BDEC478" w14:textId="45D4D26B" w:rsidR="007D1947" w:rsidRPr="00BE3ACE" w:rsidRDefault="008D55D0" w:rsidP="00CA4710">
          <w:pPr>
            <w:pStyle w:val="NoSpacing"/>
            <w:spacing w:before="1540" w:after="240" w:line="360" w:lineRule="auto"/>
            <w:jc w:val="center"/>
            <w:rPr>
              <w:rFonts w:ascii="Arial" w:hAnsi="Arial" w:cs="Arial"/>
              <w:sz w:val="24"/>
              <w:szCs w:val="24"/>
            </w:rPr>
          </w:pPr>
          <w:r w:rsidRPr="00BE3ACE">
            <w:rPr>
              <w:rFonts w:ascii="Arial" w:hAnsi="Arial" w:cs="Arial"/>
              <w:noProof/>
              <w:sz w:val="24"/>
              <w:szCs w:val="24"/>
            </w:rPr>
            <w:drawing>
              <wp:inline distT="0" distB="0" distL="0" distR="0" wp14:anchorId="6ED26128" wp14:editId="6CD6802F">
                <wp:extent cx="2491740" cy="944245"/>
                <wp:effectExtent l="0" t="0" r="3810" b="8255"/>
                <wp:docPr id="6" name="Picture 5" descr="Text, website, whiteboard&#10;&#10;Description automatically generated">
                  <a:extLst xmlns:a="http://schemas.openxmlformats.org/drawingml/2006/main">
                    <a:ext uri="{FF2B5EF4-FFF2-40B4-BE49-F238E27FC236}">
                      <a16:creationId xmlns:a16="http://schemas.microsoft.com/office/drawing/2014/main" id="{F8DDD5AE-7117-6CF4-1F6E-227294A69A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 website, whiteboard&#10;&#10;Description automatically generated">
                          <a:extLst>
                            <a:ext uri="{FF2B5EF4-FFF2-40B4-BE49-F238E27FC236}">
                              <a16:creationId xmlns:a16="http://schemas.microsoft.com/office/drawing/2014/main" id="{F8DDD5AE-7117-6CF4-1F6E-227294A69A91}"/>
                            </a:ext>
                          </a:extLst>
                        </pic:cNvPr>
                        <pic:cNvPicPr>
                          <a:picLocks noChangeAspect="1"/>
                        </pic:cNvPicPr>
                      </pic:nvPicPr>
                      <pic:blipFill>
                        <a:blip r:embed="rId12"/>
                        <a:stretch>
                          <a:fillRect/>
                        </a:stretch>
                      </pic:blipFill>
                      <pic:spPr>
                        <a:xfrm>
                          <a:off x="0" y="0"/>
                          <a:ext cx="2502138" cy="948185"/>
                        </a:xfrm>
                        <a:prstGeom prst="rect">
                          <a:avLst/>
                        </a:prstGeom>
                        <a:ln>
                          <a:noFill/>
                        </a:ln>
                        <a:effectLst>
                          <a:softEdge rad="112500"/>
                        </a:effectLst>
                      </pic:spPr>
                    </pic:pic>
                  </a:graphicData>
                </a:graphic>
              </wp:inline>
            </w:drawing>
          </w:r>
        </w:p>
        <w:p w14:paraId="3D11FE6E" w14:textId="3FE02C52" w:rsidR="007D1947" w:rsidRPr="00BE3ACE" w:rsidRDefault="00604C34" w:rsidP="00CA4710">
          <w:pPr>
            <w:pStyle w:val="NoSpacing"/>
            <w:spacing w:line="360" w:lineRule="auto"/>
            <w:jc w:val="center"/>
            <w:rPr>
              <w:rFonts w:ascii="Arial" w:hAnsi="Arial" w:cs="Arial"/>
              <w:sz w:val="24"/>
              <w:szCs w:val="24"/>
            </w:rPr>
          </w:pPr>
          <w:r>
            <w:rPr>
              <w:noProof/>
            </w:rPr>
            <mc:AlternateContent>
              <mc:Choice Requires="wps">
                <w:drawing>
                  <wp:inline distT="0" distB="0" distL="0" distR="0" wp14:anchorId="16112A1F" wp14:editId="6795579B">
                    <wp:extent cx="1828800" cy="1828800"/>
                    <wp:effectExtent l="0" t="0" r="0" b="0"/>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C77822" w14:textId="3FCFC1F3" w:rsidR="00604C34" w:rsidRPr="00C75615" w:rsidRDefault="00604C34" w:rsidP="00604C34">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7561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CONTINENTAL HOTEL BUDGET P</w:t>
                                </w:r>
                                <w:r w:rsidR="0079752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LA</w:t>
                                </w:r>
                                <w:r w:rsidRPr="00C7561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NNER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16112A1F" id="_x0000_t202" coordsize="21600,21600" o:spt="202" path="m,l,21600r21600,l21600,xe">
                    <v:stroke joinstyle="miter"/>
                    <v:path gradientshapeok="t" o:connecttype="rect"/>
                  </v:shapetype>
                  <v:shape id="Text Box 3" o:spid="_x0000_s1026" type="#_x0000_t202" style="width:2in;height:2in;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40C77822" w14:textId="3FCFC1F3" w:rsidR="00604C34" w:rsidRPr="00C75615" w:rsidRDefault="00604C34" w:rsidP="00604C34">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7561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CONTINENTAL HOTEL BUDGET P</w:t>
                          </w:r>
                          <w:r w:rsidR="0079752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LA</w:t>
                          </w:r>
                          <w:r w:rsidRPr="00C75615">
                            <w:rPr>
                              <w:rFonts w:ascii="Arial" w:eastAsiaTheme="majorEastAsia"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NNER</w:t>
                          </w:r>
                        </w:p>
                      </w:txbxContent>
                    </v:textbox>
                    <w10:anchorlock/>
                  </v:shape>
                </w:pict>
              </mc:Fallback>
            </mc:AlternateContent>
          </w:r>
        </w:p>
        <w:p w14:paraId="765A889E" w14:textId="14BA71F4" w:rsidR="007D1947" w:rsidRPr="00BE3ACE" w:rsidRDefault="007D1947" w:rsidP="00215D8C">
          <w:pPr>
            <w:pStyle w:val="NoSpacing"/>
            <w:spacing w:before="480" w:line="360" w:lineRule="auto"/>
            <w:rPr>
              <w:rFonts w:ascii="Arial" w:hAnsi="Arial" w:cs="Arial"/>
              <w:sz w:val="24"/>
              <w:szCs w:val="24"/>
            </w:rPr>
          </w:pPr>
          <w:r w:rsidRPr="00BE3ACE">
            <w:rPr>
              <w:rFonts w:ascii="Arial" w:hAnsi="Arial" w:cs="Arial"/>
              <w:noProof/>
              <w:sz w:val="24"/>
              <w:szCs w:val="24"/>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4"/>
                                    <w:szCs w:val="24"/>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5DA3BD92" w14:textId="5D6ECE51" w:rsidR="007D1947" w:rsidRPr="005A5062" w:rsidRDefault="00C410A9">
                                    <w:pPr>
                                      <w:pStyle w:val="NoSpacing"/>
                                      <w:spacing w:after="40"/>
                                      <w:jc w:val="center"/>
                                      <w:rPr>
                                        <w:rFonts w:ascii="Times New Roman" w:hAnsi="Times New Roman" w:cs="Times New Roman"/>
                                        <w:caps/>
                                        <w:sz w:val="24"/>
                                        <w:szCs w:val="24"/>
                                      </w:rPr>
                                    </w:pPr>
                                    <w:r>
                                      <w:rPr>
                                        <w:rFonts w:ascii="Times New Roman" w:hAnsi="Times New Roman" w:cs="Times New Roman"/>
                                        <w:caps/>
                                        <w:sz w:val="24"/>
                                        <w:szCs w:val="24"/>
                                      </w:rPr>
                                      <w:t>July 6, 2022</w:t>
                                    </w:r>
                                  </w:p>
                                </w:sdtContent>
                              </w:sdt>
                              <w:p w14:paraId="6DAC6D9E" w14:textId="77777777" w:rsidR="007D1947" w:rsidRPr="005A5062" w:rsidRDefault="00566386">
                                <w:pPr>
                                  <w:pStyle w:val="NoSpacing"/>
                                  <w:jc w:val="center"/>
                                  <w:rPr>
                                    <w:rFonts w:ascii="Times New Roman" w:hAnsi="Times New Roman" w:cs="Times New Roman"/>
                                    <w:sz w:val="24"/>
                                    <w:szCs w:val="24"/>
                                  </w:rPr>
                                </w:pP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A5062">
                                      <w:rPr>
                                        <w:rFonts w:ascii="Times New Roman" w:hAnsi="Times New Roman" w:cs="Times New Roman"/>
                                        <w:caps/>
                                        <w:sz w:val="24"/>
                                        <w:szCs w:val="24"/>
                                        <w:lang w:val="en-GB"/>
                                      </w:rPr>
                                      <w:t>University of Wales Trinity Saint David</w:t>
                                    </w:r>
                                  </w:sdtContent>
                                </w:sdt>
                              </w:p>
                              <w:p w14:paraId="0AF62F9A" w14:textId="77777777" w:rsidR="007D1947" w:rsidRPr="005A5062" w:rsidRDefault="00566386">
                                <w:pPr>
                                  <w:pStyle w:val="NoSpacing"/>
                                  <w:jc w:val="center"/>
                                  <w:rPr>
                                    <w:rFonts w:ascii="Times New Roman" w:hAnsi="Times New Roman" w:cs="Times New Roman"/>
                                    <w:sz w:val="24"/>
                                    <w:szCs w:val="24"/>
                                  </w:rPr>
                                </w:pPr>
                                <w:sdt>
                                  <w:sdtPr>
                                    <w:rPr>
                                      <w:rFonts w:ascii="Times New Roman" w:hAnsi="Times New Roman" w:cs="Times New Roman"/>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5A5062">
                                      <w:rPr>
                                        <w:rFonts w:ascii="Times New Roman" w:hAnsi="Times New Roman" w:cs="Times New Roman"/>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47C4096" id="Text Box 142" o:spid="_x0000_s1027"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rFonts w:ascii="Times New Roman" w:hAnsi="Times New Roman" w:cs="Times New Roman"/>
                              <w:caps/>
                              <w:sz w:val="24"/>
                              <w:szCs w:val="24"/>
                            </w:rPr>
                            <w:alias w:val="Date"/>
                            <w:tag w:val=""/>
                            <w:id w:val="197127006"/>
                            <w:dataBinding w:prefixMappings="xmlns:ns0='http://schemas.microsoft.com/office/2006/coverPageProps' " w:xpath="/ns0:CoverPageProperties[1]/ns0:PublishDate[1]" w:storeItemID="{55AF091B-3C7A-41E3-B477-F2FDAA23CFDA}"/>
                            <w:date w:fullDate="2022-07-06T00:00:00Z">
                              <w:dateFormat w:val="MMMM d, yyyy"/>
                              <w:lid w:val="en-US"/>
                              <w:storeMappedDataAs w:val="dateTime"/>
                              <w:calendar w:val="gregorian"/>
                            </w:date>
                          </w:sdtPr>
                          <w:sdtEndPr/>
                          <w:sdtContent>
                            <w:p w14:paraId="5DA3BD92" w14:textId="5D6ECE51" w:rsidR="007D1947" w:rsidRPr="005A5062" w:rsidRDefault="00C410A9">
                              <w:pPr>
                                <w:pStyle w:val="NoSpacing"/>
                                <w:spacing w:after="40"/>
                                <w:jc w:val="center"/>
                                <w:rPr>
                                  <w:rFonts w:ascii="Times New Roman" w:hAnsi="Times New Roman" w:cs="Times New Roman"/>
                                  <w:caps/>
                                  <w:sz w:val="24"/>
                                  <w:szCs w:val="24"/>
                                </w:rPr>
                              </w:pPr>
                              <w:r>
                                <w:rPr>
                                  <w:rFonts w:ascii="Times New Roman" w:hAnsi="Times New Roman" w:cs="Times New Roman"/>
                                  <w:caps/>
                                  <w:sz w:val="24"/>
                                  <w:szCs w:val="24"/>
                                </w:rPr>
                                <w:t>July 6, 2022</w:t>
                              </w:r>
                            </w:p>
                          </w:sdtContent>
                        </w:sdt>
                        <w:p w14:paraId="6DAC6D9E" w14:textId="77777777" w:rsidR="007D1947" w:rsidRPr="005A5062" w:rsidRDefault="00566386">
                          <w:pPr>
                            <w:pStyle w:val="NoSpacing"/>
                            <w:jc w:val="center"/>
                            <w:rPr>
                              <w:rFonts w:ascii="Times New Roman" w:hAnsi="Times New Roman" w:cs="Times New Roman"/>
                              <w:sz w:val="24"/>
                              <w:szCs w:val="24"/>
                            </w:rPr>
                          </w:pP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A5062">
                                <w:rPr>
                                  <w:rFonts w:ascii="Times New Roman" w:hAnsi="Times New Roman" w:cs="Times New Roman"/>
                                  <w:caps/>
                                  <w:sz w:val="24"/>
                                  <w:szCs w:val="24"/>
                                  <w:lang w:val="en-GB"/>
                                </w:rPr>
                                <w:t>University of Wales Trinity Saint David</w:t>
                              </w:r>
                            </w:sdtContent>
                          </w:sdt>
                        </w:p>
                        <w:p w14:paraId="0AF62F9A" w14:textId="77777777" w:rsidR="007D1947" w:rsidRPr="005A5062" w:rsidRDefault="00566386">
                          <w:pPr>
                            <w:pStyle w:val="NoSpacing"/>
                            <w:jc w:val="center"/>
                            <w:rPr>
                              <w:rFonts w:ascii="Times New Roman" w:hAnsi="Times New Roman" w:cs="Times New Roman"/>
                              <w:sz w:val="24"/>
                              <w:szCs w:val="24"/>
                            </w:rPr>
                          </w:pPr>
                          <w:sdt>
                            <w:sdtPr>
                              <w:rPr>
                                <w:rFonts w:ascii="Times New Roman" w:hAnsi="Times New Roman" w:cs="Times New Roman"/>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5A5062">
                                <w:rPr>
                                  <w:rFonts w:ascii="Times New Roman" w:hAnsi="Times New Roman" w:cs="Times New Roman"/>
                                  <w:sz w:val="24"/>
                                  <w:szCs w:val="24"/>
                                </w:rPr>
                                <w:t xml:space="preserve">     </w:t>
                              </w:r>
                            </w:sdtContent>
                          </w:sdt>
                        </w:p>
                      </w:txbxContent>
                    </v:textbox>
                    <w10:wrap anchorx="margin" anchory="page"/>
                  </v:shape>
                </w:pict>
              </mc:Fallback>
            </mc:AlternateContent>
          </w:r>
        </w:p>
        <w:p w14:paraId="5FA31EA5" w14:textId="37F48CC6" w:rsidR="00B2237E" w:rsidRDefault="001E633D" w:rsidP="00C0294F">
          <w:pPr>
            <w:pStyle w:val="Heading1"/>
            <w:spacing w:line="360" w:lineRule="auto"/>
            <w:rPr>
              <w:rFonts w:ascii="Arial" w:hAnsi="Arial" w:cs="Arial"/>
              <w:b/>
              <w:color w:val="auto"/>
              <w:sz w:val="24"/>
              <w:szCs w:val="24"/>
            </w:rPr>
          </w:pPr>
          <w:r w:rsidRPr="00BE3ACE">
            <w:rPr>
              <w:rFonts w:ascii="Arial" w:hAnsi="Arial" w:cs="Arial"/>
              <w:sz w:val="24"/>
              <w:szCs w:val="24"/>
            </w:rPr>
            <w:t>Lecturer:   Dale Clarke</w:t>
          </w:r>
          <w:r w:rsidR="007D1947" w:rsidRPr="00BE3ACE">
            <w:rPr>
              <w:rFonts w:ascii="Arial" w:hAnsi="Arial" w:cs="Arial"/>
              <w:color w:val="auto"/>
              <w:sz w:val="24"/>
              <w:szCs w:val="24"/>
            </w:rPr>
            <w:br w:type="page"/>
          </w:r>
          <w:bookmarkStart w:id="0" w:name="_Toc104895806"/>
          <w:r w:rsidR="007D1947" w:rsidRPr="00BE3ACE">
            <w:rPr>
              <w:rFonts w:ascii="Arial" w:hAnsi="Arial" w:cs="Arial"/>
              <w:b/>
              <w:color w:val="auto"/>
              <w:sz w:val="24"/>
              <w:szCs w:val="24"/>
            </w:rPr>
            <w:lastRenderedPageBreak/>
            <w:t>Executive Summary</w:t>
          </w:r>
          <w:bookmarkEnd w:id="0"/>
        </w:p>
        <w:p w14:paraId="37D27313" w14:textId="77777777" w:rsidR="00C0294F" w:rsidRPr="00C0294F" w:rsidRDefault="00C0294F" w:rsidP="00C0294F"/>
        <w:p w14:paraId="7670641D" w14:textId="7BB8F97B" w:rsidR="00C24709" w:rsidRDefault="00B2237E" w:rsidP="00857528">
          <w:pPr>
            <w:spacing w:line="360" w:lineRule="auto"/>
            <w:jc w:val="both"/>
            <w:rPr>
              <w:rFonts w:ascii="Arial" w:hAnsi="Arial" w:cs="Arial"/>
              <w:sz w:val="24"/>
              <w:szCs w:val="24"/>
            </w:rPr>
          </w:pPr>
          <w:r w:rsidRPr="00212650">
            <w:rPr>
              <w:rFonts w:ascii="Arial" w:hAnsi="Arial" w:cs="Arial"/>
              <w:sz w:val="24"/>
              <w:szCs w:val="24"/>
            </w:rPr>
            <w:t>The current report is aimed at providing a detailed overview of the various budgeting options for the organization. The process of zero-based budgeting will be discussed, and the last section will be related to the role of budgeting in sustainability. Traditional budgeting depends on the allocation, absorption, and apportionment of the overheads while making the products. Budgeting employs the incremental approach in which the previous year's figures are used to forecast or prepare the budget for the current year. Additionally, the increase or decrease percentage is applied to the figures from the previous year’s budget. The expenses from the previous budget are adjusted according to the rate of inflation and market conditions.</w:t>
          </w:r>
        </w:p>
        <w:p w14:paraId="1C34BF3F" w14:textId="77777777" w:rsidR="00C24709" w:rsidRDefault="00C24709" w:rsidP="00212650">
          <w:pPr>
            <w:spacing w:line="480" w:lineRule="auto"/>
            <w:jc w:val="both"/>
            <w:rPr>
              <w:rFonts w:ascii="Arial" w:hAnsi="Arial" w:cs="Arial"/>
              <w:sz w:val="24"/>
              <w:szCs w:val="24"/>
            </w:rPr>
          </w:pPr>
        </w:p>
        <w:p w14:paraId="2008399D" w14:textId="74090E95" w:rsidR="00857528" w:rsidRPr="00C24709" w:rsidRDefault="00545E5F" w:rsidP="00212650">
          <w:pPr>
            <w:spacing w:line="480" w:lineRule="auto"/>
            <w:jc w:val="both"/>
            <w:rPr>
              <w:rFonts w:ascii="Arial" w:hAnsi="Arial" w:cs="Arial"/>
              <w:b/>
              <w:bCs/>
              <w:sz w:val="24"/>
              <w:szCs w:val="24"/>
            </w:rPr>
          </w:pPr>
          <w:r w:rsidRPr="00C24709">
            <w:rPr>
              <w:rFonts w:ascii="Arial" w:hAnsi="Arial" w:cs="Arial"/>
              <w:b/>
              <w:bCs/>
              <w:sz w:val="24"/>
              <w:szCs w:val="24"/>
            </w:rPr>
            <w:t>Table of Content</w:t>
          </w:r>
          <w:r w:rsidR="00E3270A">
            <w:rPr>
              <w:rFonts w:ascii="Arial" w:hAnsi="Arial" w:cs="Arial"/>
              <w:b/>
              <w:bCs/>
              <w:sz w:val="24"/>
              <w:szCs w:val="24"/>
            </w:rPr>
            <w:t>s</w:t>
          </w:r>
        </w:p>
        <w:p w14:paraId="4DA150C1" w14:textId="1FE025FD" w:rsidR="00545E5F" w:rsidRDefault="00545E5F" w:rsidP="00C4749D">
          <w:pPr>
            <w:spacing w:line="480" w:lineRule="auto"/>
            <w:rPr>
              <w:rFonts w:ascii="Arial" w:hAnsi="Arial" w:cs="Arial"/>
              <w:sz w:val="24"/>
              <w:szCs w:val="24"/>
            </w:rPr>
          </w:pPr>
          <w:r>
            <w:rPr>
              <w:rFonts w:ascii="Arial" w:hAnsi="Arial" w:cs="Arial"/>
              <w:sz w:val="24"/>
              <w:szCs w:val="24"/>
            </w:rPr>
            <w:t>Executive Summary…………………………………………………………………</w:t>
          </w:r>
          <w:r w:rsidR="00BA05B2">
            <w:rPr>
              <w:rFonts w:ascii="Arial" w:hAnsi="Arial" w:cs="Arial"/>
              <w:sz w:val="24"/>
              <w:szCs w:val="24"/>
            </w:rPr>
            <w:t>…</w:t>
          </w:r>
          <w:r>
            <w:rPr>
              <w:rFonts w:ascii="Arial" w:hAnsi="Arial" w:cs="Arial"/>
              <w:sz w:val="24"/>
              <w:szCs w:val="24"/>
            </w:rPr>
            <w:t>1</w:t>
          </w:r>
        </w:p>
        <w:p w14:paraId="0151EB4E" w14:textId="5EADC8A6" w:rsidR="00545E5F" w:rsidRDefault="00545E5F" w:rsidP="00C4749D">
          <w:pPr>
            <w:spacing w:line="480" w:lineRule="auto"/>
            <w:rPr>
              <w:rFonts w:ascii="Arial" w:hAnsi="Arial" w:cs="Arial"/>
              <w:sz w:val="24"/>
              <w:szCs w:val="24"/>
            </w:rPr>
          </w:pPr>
          <w:r>
            <w:rPr>
              <w:rFonts w:ascii="Arial" w:hAnsi="Arial" w:cs="Arial"/>
              <w:sz w:val="24"/>
              <w:szCs w:val="24"/>
            </w:rPr>
            <w:t>Introduction……………………………………………………………………………</w:t>
          </w:r>
          <w:r w:rsidR="00BA05B2">
            <w:rPr>
              <w:rFonts w:ascii="Arial" w:hAnsi="Arial" w:cs="Arial"/>
              <w:sz w:val="24"/>
              <w:szCs w:val="24"/>
            </w:rPr>
            <w:t>...</w:t>
          </w:r>
          <w:r w:rsidR="00D93A32">
            <w:rPr>
              <w:rFonts w:ascii="Arial" w:hAnsi="Arial" w:cs="Arial"/>
              <w:sz w:val="24"/>
              <w:szCs w:val="24"/>
            </w:rPr>
            <w:t>2</w:t>
          </w:r>
        </w:p>
        <w:p w14:paraId="011A6BF1" w14:textId="7D5D6D77" w:rsidR="00545E5F" w:rsidRDefault="00AA24B0" w:rsidP="00C4749D">
          <w:pPr>
            <w:spacing w:line="480" w:lineRule="auto"/>
            <w:rPr>
              <w:rFonts w:ascii="Arial" w:hAnsi="Arial" w:cs="Arial"/>
              <w:sz w:val="24"/>
              <w:szCs w:val="24"/>
            </w:rPr>
          </w:pPr>
          <w:r>
            <w:rPr>
              <w:rFonts w:ascii="Arial" w:hAnsi="Arial" w:cs="Arial"/>
              <w:sz w:val="24"/>
              <w:szCs w:val="24"/>
            </w:rPr>
            <w:t>The Budget Planner (Cash-Flow forecast) ………………………………………</w:t>
          </w:r>
          <w:r w:rsidR="005040BA">
            <w:rPr>
              <w:rFonts w:ascii="Arial" w:hAnsi="Arial" w:cs="Arial"/>
              <w:sz w:val="24"/>
              <w:szCs w:val="24"/>
            </w:rPr>
            <w:t>….</w:t>
          </w:r>
          <w:r w:rsidR="009331C8">
            <w:rPr>
              <w:rFonts w:ascii="Arial" w:hAnsi="Arial" w:cs="Arial"/>
              <w:sz w:val="24"/>
              <w:szCs w:val="24"/>
            </w:rPr>
            <w:t>2</w:t>
          </w:r>
        </w:p>
        <w:p w14:paraId="22CC2B6E" w14:textId="138C4BD5" w:rsidR="00AA24B0" w:rsidRDefault="00F03871" w:rsidP="00C4749D">
          <w:pPr>
            <w:spacing w:line="480" w:lineRule="auto"/>
            <w:rPr>
              <w:rFonts w:ascii="Arial" w:hAnsi="Arial" w:cs="Arial"/>
              <w:sz w:val="24"/>
              <w:szCs w:val="24"/>
            </w:rPr>
          </w:pPr>
          <w:r>
            <w:rPr>
              <w:rFonts w:ascii="Arial" w:hAnsi="Arial" w:cs="Arial"/>
              <w:sz w:val="24"/>
              <w:szCs w:val="24"/>
            </w:rPr>
            <w:t>Traditional budget and Zero-Base budget…………………………………………</w:t>
          </w:r>
          <w:r w:rsidR="002134A5">
            <w:rPr>
              <w:rFonts w:ascii="Arial" w:hAnsi="Arial" w:cs="Arial"/>
              <w:sz w:val="24"/>
              <w:szCs w:val="24"/>
            </w:rPr>
            <w:t>...</w:t>
          </w:r>
          <w:r w:rsidR="005040BA">
            <w:rPr>
              <w:rFonts w:ascii="Arial" w:hAnsi="Arial" w:cs="Arial"/>
              <w:sz w:val="24"/>
              <w:szCs w:val="24"/>
            </w:rPr>
            <w:t>3</w:t>
          </w:r>
        </w:p>
        <w:p w14:paraId="2CD074C4" w14:textId="23B6BA7C" w:rsidR="00F03871" w:rsidRDefault="00F03871" w:rsidP="00C4749D">
          <w:pPr>
            <w:spacing w:line="480" w:lineRule="auto"/>
            <w:rPr>
              <w:rFonts w:ascii="Arial" w:hAnsi="Arial" w:cs="Arial"/>
              <w:sz w:val="24"/>
              <w:szCs w:val="24"/>
            </w:rPr>
          </w:pPr>
          <w:r>
            <w:rPr>
              <w:rFonts w:ascii="Arial" w:hAnsi="Arial" w:cs="Arial"/>
              <w:sz w:val="24"/>
              <w:szCs w:val="24"/>
            </w:rPr>
            <w:t>The process of zero-base budget…………………………………………………</w:t>
          </w:r>
          <w:r w:rsidR="002134A5">
            <w:rPr>
              <w:rFonts w:ascii="Arial" w:hAnsi="Arial" w:cs="Arial"/>
              <w:sz w:val="24"/>
              <w:szCs w:val="24"/>
            </w:rPr>
            <w:t>….</w:t>
          </w:r>
          <w:r w:rsidR="009B1C47">
            <w:rPr>
              <w:rFonts w:ascii="Arial" w:hAnsi="Arial" w:cs="Arial"/>
              <w:sz w:val="24"/>
              <w:szCs w:val="24"/>
            </w:rPr>
            <w:t>5</w:t>
          </w:r>
        </w:p>
        <w:p w14:paraId="008F8C4F" w14:textId="3D04894C" w:rsidR="00F03871" w:rsidRDefault="00C24709" w:rsidP="00C4749D">
          <w:pPr>
            <w:spacing w:line="480" w:lineRule="auto"/>
            <w:rPr>
              <w:rFonts w:ascii="Arial" w:hAnsi="Arial" w:cs="Arial"/>
              <w:sz w:val="24"/>
              <w:szCs w:val="24"/>
            </w:rPr>
          </w:pPr>
          <w:r>
            <w:rPr>
              <w:rFonts w:ascii="Arial" w:hAnsi="Arial" w:cs="Arial"/>
              <w:sz w:val="24"/>
              <w:szCs w:val="24"/>
            </w:rPr>
            <w:t>Can budgeting control support sustainability?......................................................</w:t>
          </w:r>
          <w:r w:rsidR="002134A5">
            <w:rPr>
              <w:rFonts w:ascii="Arial" w:hAnsi="Arial" w:cs="Arial"/>
              <w:sz w:val="24"/>
              <w:szCs w:val="24"/>
            </w:rPr>
            <w:t>8</w:t>
          </w:r>
        </w:p>
        <w:p w14:paraId="352EE0C0" w14:textId="704744DF" w:rsidR="00C24709" w:rsidRDefault="00C24709" w:rsidP="00C4749D">
          <w:pPr>
            <w:spacing w:line="480" w:lineRule="auto"/>
            <w:rPr>
              <w:rFonts w:ascii="Arial" w:hAnsi="Arial" w:cs="Arial"/>
              <w:sz w:val="24"/>
              <w:szCs w:val="24"/>
            </w:rPr>
          </w:pPr>
          <w:r>
            <w:rPr>
              <w:rFonts w:ascii="Arial" w:hAnsi="Arial" w:cs="Arial"/>
              <w:sz w:val="24"/>
              <w:szCs w:val="24"/>
            </w:rPr>
            <w:t>Conclusion………………………………………………………………………………</w:t>
          </w:r>
          <w:r w:rsidR="00CB199A">
            <w:rPr>
              <w:rFonts w:ascii="Arial" w:hAnsi="Arial" w:cs="Arial"/>
              <w:sz w:val="24"/>
              <w:szCs w:val="24"/>
            </w:rPr>
            <w:t>9</w:t>
          </w:r>
        </w:p>
        <w:p w14:paraId="5D3D61A2" w14:textId="42F40DAA" w:rsidR="00C24709" w:rsidRDefault="00C24709" w:rsidP="00C4749D">
          <w:pPr>
            <w:spacing w:line="480" w:lineRule="auto"/>
            <w:rPr>
              <w:rFonts w:ascii="Arial" w:hAnsi="Arial" w:cs="Arial"/>
              <w:sz w:val="24"/>
              <w:szCs w:val="24"/>
            </w:rPr>
          </w:pPr>
          <w:r>
            <w:rPr>
              <w:rFonts w:ascii="Arial" w:hAnsi="Arial" w:cs="Arial"/>
              <w:sz w:val="24"/>
              <w:szCs w:val="24"/>
            </w:rPr>
            <w:t>Bibliography…………………………………………………………………………….</w:t>
          </w:r>
          <w:r w:rsidR="00C4749D">
            <w:rPr>
              <w:rFonts w:ascii="Arial" w:hAnsi="Arial" w:cs="Arial"/>
              <w:sz w:val="24"/>
              <w:szCs w:val="24"/>
            </w:rPr>
            <w:t>10</w:t>
          </w:r>
        </w:p>
        <w:p w14:paraId="08C40B61" w14:textId="77777777" w:rsidR="004D632C" w:rsidRDefault="004D632C" w:rsidP="00C4749D">
          <w:pPr>
            <w:spacing w:line="480" w:lineRule="auto"/>
            <w:rPr>
              <w:rFonts w:ascii="Arial" w:hAnsi="Arial" w:cs="Arial"/>
              <w:sz w:val="24"/>
              <w:szCs w:val="24"/>
            </w:rPr>
          </w:pPr>
        </w:p>
        <w:p w14:paraId="35A4E4ED" w14:textId="77777777" w:rsidR="00857528" w:rsidRPr="00BE3ACE" w:rsidRDefault="00857528" w:rsidP="00C4749D">
          <w:pPr>
            <w:spacing w:line="480" w:lineRule="auto"/>
            <w:rPr>
              <w:rFonts w:ascii="Arial" w:hAnsi="Arial" w:cs="Arial"/>
              <w:sz w:val="24"/>
              <w:szCs w:val="24"/>
            </w:rPr>
          </w:pPr>
        </w:p>
        <w:p w14:paraId="3A4320CA" w14:textId="2E1EFAC4" w:rsidR="00656CB1" w:rsidRDefault="007D1947" w:rsidP="009331C8">
          <w:pPr>
            <w:pStyle w:val="Heading1"/>
            <w:spacing w:line="360" w:lineRule="auto"/>
            <w:jc w:val="both"/>
            <w:rPr>
              <w:rFonts w:ascii="Arial" w:hAnsi="Arial" w:cs="Arial"/>
              <w:b/>
              <w:color w:val="auto"/>
              <w:sz w:val="24"/>
              <w:szCs w:val="24"/>
            </w:rPr>
          </w:pPr>
          <w:bookmarkStart w:id="1" w:name="_Toc104895807"/>
          <w:r w:rsidRPr="00BE3ACE">
            <w:rPr>
              <w:rFonts w:ascii="Arial" w:hAnsi="Arial" w:cs="Arial"/>
              <w:b/>
              <w:color w:val="auto"/>
              <w:sz w:val="24"/>
              <w:szCs w:val="24"/>
            </w:rPr>
            <w:lastRenderedPageBreak/>
            <w:t>Introduction</w:t>
          </w:r>
          <w:bookmarkEnd w:id="1"/>
        </w:p>
        <w:p w14:paraId="595AAFAF" w14:textId="77777777" w:rsidR="009331C8" w:rsidRPr="009331C8" w:rsidRDefault="009331C8" w:rsidP="00857528">
          <w:pPr>
            <w:spacing w:line="360" w:lineRule="auto"/>
          </w:pPr>
        </w:p>
        <w:p w14:paraId="572710FB" w14:textId="224259A6" w:rsidR="00212650" w:rsidRDefault="00930CD1" w:rsidP="00857528">
          <w:pPr>
            <w:spacing w:line="360" w:lineRule="auto"/>
            <w:jc w:val="both"/>
            <w:rPr>
              <w:rFonts w:ascii="Arial" w:hAnsi="Arial" w:cs="Arial"/>
              <w:sz w:val="24"/>
              <w:szCs w:val="24"/>
            </w:rPr>
          </w:pPr>
          <w:r w:rsidRPr="00AD1C90">
            <w:rPr>
              <w:rFonts w:ascii="Arial" w:hAnsi="Arial" w:cs="Arial"/>
              <w:sz w:val="24"/>
              <w:szCs w:val="24"/>
            </w:rPr>
            <w:t xml:space="preserve">The data analysis </w:t>
          </w:r>
          <w:r w:rsidR="00774DCF">
            <w:rPr>
              <w:rFonts w:ascii="Arial" w:hAnsi="Arial" w:cs="Arial"/>
              <w:sz w:val="24"/>
              <w:szCs w:val="24"/>
            </w:rPr>
            <w:t xml:space="preserve">of budgeting </w:t>
          </w:r>
          <w:r w:rsidR="008329DC">
            <w:rPr>
              <w:rFonts w:ascii="Arial" w:hAnsi="Arial" w:cs="Arial"/>
              <w:sz w:val="24"/>
              <w:szCs w:val="24"/>
            </w:rPr>
            <w:t>is extremely important for</w:t>
          </w:r>
          <w:r w:rsidRPr="00AD1C90">
            <w:rPr>
              <w:rFonts w:ascii="Arial" w:hAnsi="Arial" w:cs="Arial"/>
              <w:sz w:val="24"/>
              <w:szCs w:val="24"/>
            </w:rPr>
            <w:t xml:space="preserve"> all the business units. This exercise will allow the managers to classify every expenditure made by the company in the accurate category. The information is </w:t>
          </w:r>
          <w:r w:rsidR="00711B6D">
            <w:rPr>
              <w:rFonts w:ascii="Arial" w:hAnsi="Arial" w:cs="Arial"/>
              <w:sz w:val="24"/>
              <w:szCs w:val="24"/>
            </w:rPr>
            <w:t xml:space="preserve">crucial </w:t>
          </w:r>
          <w:r w:rsidRPr="00AD1C90">
            <w:rPr>
              <w:rFonts w:ascii="Arial" w:hAnsi="Arial" w:cs="Arial"/>
              <w:sz w:val="24"/>
              <w:szCs w:val="24"/>
            </w:rPr>
            <w:t>for identifying the opportunities to improve the processes and redefining spending levels. It is important for the business leaders to think jointly about the targets and benchmarks. Additionally, they should also assess what a reasonable budget would look like.</w:t>
          </w:r>
        </w:p>
        <w:p w14:paraId="2910D6AA" w14:textId="77777777" w:rsidR="000B219A" w:rsidRPr="00C0294F" w:rsidRDefault="000B219A" w:rsidP="00857528">
          <w:pPr>
            <w:spacing w:line="360" w:lineRule="auto"/>
            <w:jc w:val="both"/>
            <w:rPr>
              <w:rFonts w:ascii="Arial" w:hAnsi="Arial" w:cs="Arial"/>
              <w:sz w:val="24"/>
              <w:szCs w:val="24"/>
            </w:rPr>
          </w:pPr>
        </w:p>
        <w:p w14:paraId="660FF286" w14:textId="1AAF6E4C" w:rsidR="004A11F6" w:rsidRPr="002F5331" w:rsidRDefault="004A2B14" w:rsidP="00C1317A">
          <w:pPr>
            <w:spacing w:line="360" w:lineRule="auto"/>
            <w:jc w:val="center"/>
            <w:rPr>
              <w:rFonts w:ascii="Arial" w:hAnsi="Arial" w:cs="Arial"/>
              <w:b/>
              <w:bCs/>
              <w:sz w:val="24"/>
              <w:szCs w:val="24"/>
            </w:rPr>
          </w:pPr>
          <w:r w:rsidRPr="00BE3ACE">
            <w:rPr>
              <w:rFonts w:ascii="Arial" w:hAnsi="Arial" w:cs="Arial"/>
              <w:b/>
              <w:bCs/>
              <w:sz w:val="24"/>
              <w:szCs w:val="24"/>
            </w:rPr>
            <w:t>T</w:t>
          </w:r>
          <w:r w:rsidR="00112B7C" w:rsidRPr="00BE3ACE">
            <w:rPr>
              <w:rFonts w:ascii="Arial" w:hAnsi="Arial" w:cs="Arial"/>
              <w:b/>
              <w:bCs/>
              <w:sz w:val="24"/>
              <w:szCs w:val="24"/>
            </w:rPr>
            <w:t>he budget planner (cash flow forecast) for the hotel for the forthcoming year</w:t>
          </w:r>
        </w:p>
        <w:p w14:paraId="457F60B1" w14:textId="732CC83D" w:rsidR="00FB1EDA" w:rsidRPr="00BE3ACE" w:rsidRDefault="00FF2B22" w:rsidP="00012647">
          <w:pPr>
            <w:pStyle w:val="TOCHeading"/>
            <w:rPr>
              <w:rFonts w:ascii="Arial" w:hAnsi="Arial" w:cs="Arial"/>
              <w:sz w:val="24"/>
              <w:szCs w:val="24"/>
            </w:rPr>
          </w:pPr>
          <w:r w:rsidRPr="00C1317A">
            <w:rPr>
              <w:rStyle w:val="BookTitle"/>
              <w:noProof/>
            </w:rPr>
            <w:drawing>
              <wp:inline distT="0" distB="0" distL="0" distR="0" wp14:anchorId="54DB398A" wp14:editId="10E3C3B3">
                <wp:extent cx="5638800" cy="5129530"/>
                <wp:effectExtent l="0" t="0" r="0" b="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9017" cy="5129727"/>
                        </a:xfrm>
                        <a:prstGeom prst="rect">
                          <a:avLst/>
                        </a:prstGeom>
                        <a:noFill/>
                        <a:ln>
                          <a:noFill/>
                        </a:ln>
                      </pic:spPr>
                    </pic:pic>
                  </a:graphicData>
                </a:graphic>
              </wp:inline>
            </w:drawing>
          </w:r>
        </w:p>
        <w:p w14:paraId="18BC94FE" w14:textId="18DD332D" w:rsidR="00DB545F" w:rsidRPr="00BE3ACE" w:rsidRDefault="00DB545F" w:rsidP="00C410A9">
          <w:pPr>
            <w:spacing w:line="360" w:lineRule="auto"/>
            <w:jc w:val="both"/>
            <w:rPr>
              <w:rFonts w:ascii="Arial" w:hAnsi="Arial" w:cs="Arial"/>
              <w:b/>
              <w:bCs/>
              <w:sz w:val="24"/>
              <w:szCs w:val="24"/>
            </w:rPr>
          </w:pPr>
          <w:bookmarkStart w:id="2" w:name="_Toc104895809"/>
        </w:p>
        <w:p w14:paraId="1FC9154A" w14:textId="77777777" w:rsidR="000B219A" w:rsidRPr="00212650" w:rsidRDefault="000B219A" w:rsidP="00C410A9">
          <w:pPr>
            <w:spacing w:line="360" w:lineRule="auto"/>
            <w:jc w:val="both"/>
            <w:rPr>
              <w:rFonts w:ascii="Arial" w:hAnsi="Arial" w:cs="Arial"/>
              <w:b/>
              <w:bCs/>
              <w:sz w:val="24"/>
              <w:szCs w:val="24"/>
            </w:rPr>
          </w:pPr>
        </w:p>
        <w:p w14:paraId="733523E4" w14:textId="08E142FA" w:rsidR="005A2D46" w:rsidRPr="00212650" w:rsidRDefault="00D00A9D" w:rsidP="00D00A9D">
          <w:pPr>
            <w:pStyle w:val="ListParagraph"/>
            <w:numPr>
              <w:ilvl w:val="0"/>
              <w:numId w:val="3"/>
            </w:numPr>
            <w:spacing w:line="360" w:lineRule="auto"/>
            <w:jc w:val="both"/>
            <w:rPr>
              <w:rFonts w:ascii="Arial" w:hAnsi="Arial" w:cs="Arial"/>
              <w:b/>
              <w:bCs/>
              <w:sz w:val="24"/>
              <w:szCs w:val="24"/>
            </w:rPr>
          </w:pPr>
          <w:r w:rsidRPr="00212650">
            <w:rPr>
              <w:rFonts w:ascii="Arial" w:hAnsi="Arial" w:cs="Arial"/>
              <w:b/>
              <w:bCs/>
              <w:sz w:val="24"/>
              <w:szCs w:val="24"/>
            </w:rPr>
            <w:lastRenderedPageBreak/>
            <w:t xml:space="preserve">Traditional based budget and </w:t>
          </w:r>
          <w:r w:rsidR="00936419">
            <w:rPr>
              <w:rFonts w:ascii="Arial" w:hAnsi="Arial" w:cs="Arial"/>
              <w:b/>
              <w:bCs/>
              <w:sz w:val="24"/>
              <w:szCs w:val="24"/>
            </w:rPr>
            <w:t>Z</w:t>
          </w:r>
          <w:r w:rsidRPr="00212650">
            <w:rPr>
              <w:rFonts w:ascii="Arial" w:hAnsi="Arial" w:cs="Arial"/>
              <w:b/>
              <w:bCs/>
              <w:sz w:val="24"/>
              <w:szCs w:val="24"/>
            </w:rPr>
            <w:t>ero-</w:t>
          </w:r>
          <w:r w:rsidR="00236CBE">
            <w:rPr>
              <w:rFonts w:ascii="Arial" w:hAnsi="Arial" w:cs="Arial"/>
              <w:b/>
              <w:bCs/>
              <w:sz w:val="24"/>
              <w:szCs w:val="24"/>
            </w:rPr>
            <w:t>B</w:t>
          </w:r>
          <w:r w:rsidRPr="00212650">
            <w:rPr>
              <w:rFonts w:ascii="Arial" w:hAnsi="Arial" w:cs="Arial"/>
              <w:b/>
              <w:bCs/>
              <w:sz w:val="24"/>
              <w:szCs w:val="24"/>
            </w:rPr>
            <w:t>ase budge</w:t>
          </w:r>
        </w:p>
        <w:p w14:paraId="369B5815" w14:textId="77777777" w:rsidR="00D00A9D" w:rsidRDefault="00D00A9D" w:rsidP="00D00A9D">
          <w:pPr>
            <w:pStyle w:val="ListParagraph"/>
            <w:spacing w:line="360" w:lineRule="auto"/>
            <w:jc w:val="both"/>
            <w:rPr>
              <w:rFonts w:ascii="Arial" w:hAnsi="Arial" w:cs="Arial"/>
              <w:sz w:val="24"/>
              <w:szCs w:val="24"/>
            </w:rPr>
          </w:pPr>
        </w:p>
        <w:p w14:paraId="0C456026" w14:textId="77777777" w:rsidR="009E6B75" w:rsidRDefault="009E6B75" w:rsidP="000B219A">
          <w:pPr>
            <w:spacing w:line="360" w:lineRule="auto"/>
            <w:jc w:val="both"/>
            <w:rPr>
              <w:rFonts w:ascii="Arial" w:hAnsi="Arial" w:cs="Arial"/>
              <w:sz w:val="24"/>
              <w:szCs w:val="24"/>
            </w:rPr>
          </w:pPr>
          <w:r w:rsidRPr="00AD1C90">
            <w:rPr>
              <w:rFonts w:ascii="Arial" w:hAnsi="Arial" w:cs="Arial"/>
              <w:sz w:val="24"/>
              <w:szCs w:val="24"/>
            </w:rPr>
            <w:t xml:space="preserve">Zero-based budgeting requires the preparation and analysis of each budget from zero. All the activities in this method </w:t>
          </w:r>
          <w:proofErr w:type="gramStart"/>
          <w:r w:rsidRPr="00AD1C90">
            <w:rPr>
              <w:rFonts w:ascii="Arial" w:hAnsi="Arial" w:cs="Arial"/>
              <w:sz w:val="24"/>
              <w:szCs w:val="24"/>
            </w:rPr>
            <w:t>have to</w:t>
          </w:r>
          <w:proofErr w:type="gramEnd"/>
          <w:r w:rsidRPr="00AD1C90">
            <w:rPr>
              <w:rFonts w:ascii="Arial" w:hAnsi="Arial" w:cs="Arial"/>
              <w:sz w:val="24"/>
              <w:szCs w:val="24"/>
            </w:rPr>
            <w:t xml:space="preserve"> be reassessed at every instance when a budget has to be prepared</w:t>
          </w:r>
          <w:sdt>
            <w:sdtPr>
              <w:rPr>
                <w:rFonts w:ascii="Arial" w:hAnsi="Arial" w:cs="Arial"/>
                <w:sz w:val="24"/>
                <w:szCs w:val="24"/>
              </w:rPr>
              <w:id w:val="445813799"/>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CITATION Shu08 \l 1033 </w:instrText>
              </w:r>
              <w:r w:rsidRPr="00AD1C90">
                <w:rPr>
                  <w:rFonts w:ascii="Arial" w:hAnsi="Arial" w:cs="Arial"/>
                  <w:sz w:val="24"/>
                  <w:szCs w:val="24"/>
                </w:rPr>
                <w:fldChar w:fldCharType="separate"/>
              </w:r>
              <w:r w:rsidRPr="00AD1C90">
                <w:rPr>
                  <w:rFonts w:ascii="Arial" w:hAnsi="Arial" w:cs="Arial"/>
                  <w:noProof/>
                  <w:sz w:val="24"/>
                  <w:szCs w:val="24"/>
                </w:rPr>
                <w:t xml:space="preserve"> (Shukla &amp; Grewal, 2018)</w:t>
              </w:r>
              <w:r w:rsidRPr="00AD1C90">
                <w:rPr>
                  <w:rFonts w:ascii="Arial" w:hAnsi="Arial" w:cs="Arial"/>
                  <w:sz w:val="24"/>
                  <w:szCs w:val="24"/>
                </w:rPr>
                <w:fldChar w:fldCharType="end"/>
              </w:r>
            </w:sdtContent>
          </w:sdt>
          <w:r w:rsidRPr="00AD1C90">
            <w:rPr>
              <w:rFonts w:ascii="Arial" w:hAnsi="Arial" w:cs="Arial"/>
              <w:sz w:val="24"/>
              <w:szCs w:val="24"/>
            </w:rPr>
            <w:t>. In other words, every cost component in this method requires to be justified separately. It is assumed that the budget has been prepared for the first time. The burden of proof of any specific activity will be on the manager for any expense to be incurred</w:t>
          </w:r>
          <w:sdt>
            <w:sdtPr>
              <w:rPr>
                <w:rFonts w:ascii="Arial" w:hAnsi="Arial" w:cs="Arial"/>
                <w:sz w:val="24"/>
                <w:szCs w:val="24"/>
              </w:rPr>
              <w:id w:val="-475225194"/>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Raj11 \l 1033 </w:instrText>
              </w:r>
              <w:r w:rsidRPr="00AD1C90">
                <w:rPr>
                  <w:rFonts w:ascii="Arial" w:hAnsi="Arial" w:cs="Arial"/>
                  <w:sz w:val="24"/>
                  <w:szCs w:val="24"/>
                </w:rPr>
                <w:fldChar w:fldCharType="separate"/>
              </w:r>
              <w:r w:rsidRPr="00AD1C90">
                <w:rPr>
                  <w:rFonts w:ascii="Arial" w:hAnsi="Arial" w:cs="Arial"/>
                  <w:noProof/>
                  <w:sz w:val="24"/>
                  <w:szCs w:val="24"/>
                </w:rPr>
                <w:t xml:space="preserve"> (Rajasekaran, 2011)</w:t>
              </w:r>
              <w:r w:rsidRPr="00AD1C90">
                <w:rPr>
                  <w:rFonts w:ascii="Arial" w:hAnsi="Arial" w:cs="Arial"/>
                  <w:sz w:val="24"/>
                  <w:szCs w:val="24"/>
                </w:rPr>
                <w:fldChar w:fldCharType="end"/>
              </w:r>
            </w:sdtContent>
          </w:sdt>
          <w:r w:rsidRPr="00AD1C90">
            <w:rPr>
              <w:rFonts w:ascii="Arial" w:hAnsi="Arial" w:cs="Arial"/>
              <w:sz w:val="24"/>
              <w:szCs w:val="24"/>
            </w:rPr>
            <w:t>. Additionally, the manager will also explain the consequences of the proposed activity on the overall organization. If the activity is not approved by the concerned authorities, the budget allowance is zero</w:t>
          </w:r>
          <w:sdt>
            <w:sdtPr>
              <w:rPr>
                <w:rFonts w:ascii="Arial" w:hAnsi="Arial" w:cs="Arial"/>
                <w:sz w:val="24"/>
                <w:szCs w:val="24"/>
              </w:rPr>
              <w:id w:val="-1052305472"/>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Atr15 \l 1033 </w:instrText>
              </w:r>
              <w:r w:rsidRPr="00AD1C90">
                <w:rPr>
                  <w:rFonts w:ascii="Arial" w:hAnsi="Arial" w:cs="Arial"/>
                  <w:sz w:val="24"/>
                  <w:szCs w:val="24"/>
                </w:rPr>
                <w:fldChar w:fldCharType="separate"/>
              </w:r>
              <w:r w:rsidRPr="00AD1C90">
                <w:rPr>
                  <w:rFonts w:ascii="Arial" w:hAnsi="Arial" w:cs="Arial"/>
                  <w:noProof/>
                  <w:sz w:val="24"/>
                  <w:szCs w:val="24"/>
                </w:rPr>
                <w:t xml:space="preserve"> (Atrill &amp; McClaney, 2015)</w:t>
              </w:r>
              <w:r w:rsidRPr="00AD1C90">
                <w:rPr>
                  <w:rFonts w:ascii="Arial" w:hAnsi="Arial" w:cs="Arial"/>
                  <w:sz w:val="24"/>
                  <w:szCs w:val="24"/>
                </w:rPr>
                <w:fldChar w:fldCharType="end"/>
              </w:r>
            </w:sdtContent>
          </w:sdt>
          <w:r w:rsidRPr="00AD1C90">
            <w:rPr>
              <w:rFonts w:ascii="Arial" w:hAnsi="Arial" w:cs="Arial"/>
              <w:sz w:val="24"/>
              <w:szCs w:val="24"/>
            </w:rPr>
            <w:t xml:space="preserve">. This kind of budgeting requires an assessment of activities in decision packages, which are measured through systematic analysis and ranked according to their relative significance. </w:t>
          </w:r>
        </w:p>
        <w:p w14:paraId="307BD8FD" w14:textId="77777777" w:rsidR="000B219A" w:rsidRDefault="000B219A" w:rsidP="000B219A">
          <w:pPr>
            <w:spacing w:line="360" w:lineRule="auto"/>
            <w:jc w:val="both"/>
            <w:rPr>
              <w:rFonts w:ascii="Arial" w:hAnsi="Arial" w:cs="Arial"/>
              <w:sz w:val="24"/>
              <w:szCs w:val="24"/>
            </w:rPr>
          </w:pPr>
        </w:p>
        <w:p w14:paraId="291251E0" w14:textId="5016ACE0" w:rsidR="006C2C1C" w:rsidRDefault="006C2C1C" w:rsidP="009E6B75">
          <w:pPr>
            <w:spacing w:line="480" w:lineRule="auto"/>
            <w:jc w:val="both"/>
            <w:rPr>
              <w:rFonts w:ascii="Arial" w:hAnsi="Arial" w:cs="Arial"/>
              <w:sz w:val="24"/>
              <w:szCs w:val="24"/>
            </w:rPr>
          </w:pPr>
          <w:r>
            <w:rPr>
              <w:rFonts w:ascii="Arial" w:hAnsi="Arial" w:cs="Arial"/>
              <w:noProof/>
              <w:sz w:val="24"/>
              <w:szCs w:val="24"/>
            </w:rPr>
            <w:drawing>
              <wp:inline distT="0" distB="0" distL="0" distR="0" wp14:anchorId="10F2DD07" wp14:editId="5481BE4C">
                <wp:extent cx="5486400" cy="3200400"/>
                <wp:effectExtent l="0" t="38100" r="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CE060F1" w14:textId="6D99F523" w:rsidR="006C2C1C" w:rsidRPr="006C2C1C" w:rsidRDefault="006C2C1C" w:rsidP="006C2C1C">
          <w:pPr>
            <w:spacing w:line="480" w:lineRule="auto"/>
            <w:jc w:val="center"/>
            <w:rPr>
              <w:rFonts w:ascii="Arial" w:hAnsi="Arial" w:cs="Arial"/>
              <w:b/>
              <w:bCs/>
              <w:sz w:val="24"/>
              <w:szCs w:val="24"/>
            </w:rPr>
          </w:pPr>
          <w:r w:rsidRPr="00A1695A">
            <w:rPr>
              <w:rFonts w:ascii="Arial" w:hAnsi="Arial" w:cs="Arial"/>
              <w:b/>
              <w:bCs/>
              <w:sz w:val="24"/>
              <w:szCs w:val="24"/>
            </w:rPr>
            <w:t>Figure 1: Different Budgeting Methods (Sharma, 2022)</w:t>
          </w:r>
        </w:p>
        <w:p w14:paraId="5C863ACA" w14:textId="3D031D1E" w:rsidR="009E6B75" w:rsidRDefault="009E6B75" w:rsidP="000B219A">
          <w:pPr>
            <w:spacing w:line="360" w:lineRule="auto"/>
            <w:jc w:val="both"/>
            <w:rPr>
              <w:rFonts w:ascii="Arial" w:hAnsi="Arial" w:cs="Arial"/>
              <w:sz w:val="24"/>
              <w:szCs w:val="24"/>
            </w:rPr>
          </w:pPr>
          <w:r w:rsidRPr="00AD1C90">
            <w:rPr>
              <w:rFonts w:ascii="Arial" w:hAnsi="Arial" w:cs="Arial"/>
              <w:sz w:val="24"/>
              <w:szCs w:val="24"/>
            </w:rPr>
            <w:t>The major difference between traditional and zero-based budgets is the process of planning and budgeting</w:t>
          </w:r>
          <w:sdt>
            <w:sdtPr>
              <w:rPr>
                <w:rFonts w:ascii="Arial" w:hAnsi="Arial" w:cs="Arial"/>
                <w:sz w:val="24"/>
                <w:szCs w:val="24"/>
              </w:rPr>
              <w:id w:val="-682514046"/>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Mar09 \l 1033 </w:instrText>
              </w:r>
              <w:r w:rsidRPr="00AD1C90">
                <w:rPr>
                  <w:rFonts w:ascii="Arial" w:hAnsi="Arial" w:cs="Arial"/>
                  <w:sz w:val="24"/>
                  <w:szCs w:val="24"/>
                </w:rPr>
                <w:fldChar w:fldCharType="separate"/>
              </w:r>
              <w:r w:rsidRPr="00AD1C90">
                <w:rPr>
                  <w:rFonts w:ascii="Arial" w:hAnsi="Arial" w:cs="Arial"/>
                  <w:noProof/>
                  <w:sz w:val="24"/>
                  <w:szCs w:val="24"/>
                </w:rPr>
                <w:t xml:space="preserve"> (Bloom, 2009)</w:t>
              </w:r>
              <w:r w:rsidRPr="00AD1C90">
                <w:rPr>
                  <w:rFonts w:ascii="Arial" w:hAnsi="Arial" w:cs="Arial"/>
                  <w:sz w:val="24"/>
                  <w:szCs w:val="24"/>
                </w:rPr>
                <w:fldChar w:fldCharType="end"/>
              </w:r>
            </w:sdtContent>
          </w:sdt>
          <w:r w:rsidRPr="00AD1C90">
            <w:rPr>
              <w:rFonts w:ascii="Arial" w:hAnsi="Arial" w:cs="Arial"/>
              <w:sz w:val="24"/>
              <w:szCs w:val="24"/>
            </w:rPr>
            <w:t xml:space="preserve">. The traditional budget uses the last year’s budget as a base to prepare the current budget whereas, in the zero-based budget, </w:t>
          </w:r>
          <w:r w:rsidRPr="00AD1C90">
            <w:rPr>
              <w:rFonts w:ascii="Arial" w:hAnsi="Arial" w:cs="Arial"/>
              <w:sz w:val="24"/>
              <w:szCs w:val="24"/>
            </w:rPr>
            <w:lastRenderedPageBreak/>
            <w:t>the budget is started from scratch every time it is created</w:t>
          </w:r>
          <w:sdt>
            <w:sdtPr>
              <w:rPr>
                <w:rFonts w:ascii="Arial" w:hAnsi="Arial" w:cs="Arial"/>
                <w:sz w:val="24"/>
                <w:szCs w:val="24"/>
              </w:rPr>
              <w:id w:val="27380718"/>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Dav05 \l 1033 </w:instrText>
              </w:r>
              <w:r w:rsidRPr="00AD1C90">
                <w:rPr>
                  <w:rFonts w:ascii="Arial" w:hAnsi="Arial" w:cs="Arial"/>
                  <w:sz w:val="24"/>
                  <w:szCs w:val="24"/>
                </w:rPr>
                <w:fldChar w:fldCharType="separate"/>
              </w:r>
              <w:r w:rsidRPr="00AD1C90">
                <w:rPr>
                  <w:rFonts w:ascii="Arial" w:hAnsi="Arial" w:cs="Arial"/>
                  <w:noProof/>
                  <w:sz w:val="24"/>
                  <w:szCs w:val="24"/>
                </w:rPr>
                <w:t xml:space="preserve"> (Flynn &amp; Koornhof, 2005)</w:t>
              </w:r>
              <w:r w:rsidRPr="00AD1C90">
                <w:rPr>
                  <w:rFonts w:ascii="Arial" w:hAnsi="Arial" w:cs="Arial"/>
                  <w:sz w:val="24"/>
                  <w:szCs w:val="24"/>
                </w:rPr>
                <w:fldChar w:fldCharType="end"/>
              </w:r>
            </w:sdtContent>
          </w:sdt>
          <w:r w:rsidRPr="00AD1C90">
            <w:rPr>
              <w:rFonts w:ascii="Arial" w:hAnsi="Arial" w:cs="Arial"/>
              <w:sz w:val="24"/>
              <w:szCs w:val="24"/>
            </w:rPr>
            <w:t xml:space="preserve">. The activities will have to be </w:t>
          </w:r>
          <w:r w:rsidR="00716BEA" w:rsidRPr="00AD1C90">
            <w:rPr>
              <w:rFonts w:ascii="Arial" w:hAnsi="Arial" w:cs="Arial"/>
              <w:sz w:val="24"/>
              <w:szCs w:val="24"/>
            </w:rPr>
            <w:t>re-evaluated</w:t>
          </w:r>
          <w:r w:rsidRPr="00AD1C90">
            <w:rPr>
              <w:rFonts w:ascii="Arial" w:hAnsi="Arial" w:cs="Arial"/>
              <w:sz w:val="24"/>
              <w:szCs w:val="24"/>
            </w:rPr>
            <w:t xml:space="preserve"> and started from zero.</w:t>
          </w:r>
        </w:p>
        <w:p w14:paraId="1C71B9BF" w14:textId="77777777" w:rsidR="000B219A" w:rsidRDefault="000B219A" w:rsidP="000B219A">
          <w:pPr>
            <w:spacing w:line="360" w:lineRule="auto"/>
            <w:jc w:val="both"/>
            <w:rPr>
              <w:rFonts w:ascii="Arial" w:hAnsi="Arial" w:cs="Arial"/>
              <w:sz w:val="24"/>
              <w:szCs w:val="24"/>
            </w:rPr>
          </w:pPr>
        </w:p>
        <w:p w14:paraId="27976BA7" w14:textId="2C1F8299" w:rsidR="00815768" w:rsidRDefault="00104EDE" w:rsidP="00EC3624">
          <w:pPr>
            <w:spacing w:line="480" w:lineRule="auto"/>
            <w:jc w:val="center"/>
            <w:rPr>
              <w:rFonts w:ascii="Arial" w:hAnsi="Arial" w:cs="Arial"/>
              <w:sz w:val="24"/>
              <w:szCs w:val="24"/>
            </w:rPr>
          </w:pPr>
          <w:r>
            <w:rPr>
              <w:noProof/>
            </w:rPr>
            <w:drawing>
              <wp:inline distT="0" distB="0" distL="0" distR="0" wp14:anchorId="4FE1EE50" wp14:editId="3FB36579">
                <wp:extent cx="3925570" cy="3129280"/>
                <wp:effectExtent l="0" t="57150" r="0" b="520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20483DD" w14:textId="0E556831" w:rsidR="000B219A" w:rsidRDefault="00DC069B" w:rsidP="009E6B75">
          <w:pPr>
            <w:spacing w:line="480" w:lineRule="auto"/>
            <w:jc w:val="both"/>
            <w:rPr>
              <w:rFonts w:ascii="Arial" w:hAnsi="Arial" w:cs="Arial"/>
              <w:sz w:val="24"/>
              <w:szCs w:val="24"/>
            </w:rPr>
          </w:pPr>
          <w:r w:rsidRPr="00DC069B">
            <w:rPr>
              <w:rFonts w:ascii="Arial" w:hAnsi="Arial" w:cs="Arial"/>
              <w:b/>
              <w:bCs/>
              <w:sz w:val="24"/>
              <w:szCs w:val="24"/>
            </w:rPr>
            <w:t>Figure 2: Zero-based Budgeting vs. Traditional Budgeting Techniques (</w:t>
          </w:r>
          <w:proofErr w:type="spellStart"/>
          <w:r w:rsidRPr="00DC069B">
            <w:rPr>
              <w:rFonts w:ascii="Arial" w:hAnsi="Arial" w:cs="Arial"/>
              <w:b/>
              <w:bCs/>
              <w:sz w:val="24"/>
              <w:szCs w:val="24"/>
            </w:rPr>
            <w:t>B</w:t>
          </w:r>
          <w:r w:rsidR="00901B4B">
            <w:rPr>
              <w:rFonts w:ascii="Arial" w:hAnsi="Arial" w:cs="Arial"/>
              <w:b/>
              <w:bCs/>
              <w:sz w:val="24"/>
              <w:szCs w:val="24"/>
            </w:rPr>
            <w:t>o</w:t>
          </w:r>
          <w:r w:rsidRPr="00DC069B">
            <w:rPr>
              <w:rFonts w:ascii="Arial" w:hAnsi="Arial" w:cs="Arial"/>
              <w:b/>
              <w:bCs/>
              <w:sz w:val="24"/>
              <w:szCs w:val="24"/>
            </w:rPr>
            <w:t>rad</w:t>
          </w:r>
          <w:proofErr w:type="spellEnd"/>
          <w:r w:rsidRPr="00DC069B">
            <w:rPr>
              <w:rFonts w:ascii="Arial" w:hAnsi="Arial" w:cs="Arial"/>
              <w:b/>
              <w:bCs/>
              <w:sz w:val="24"/>
              <w:szCs w:val="24"/>
            </w:rPr>
            <w:t>, 2022</w:t>
          </w:r>
          <w:r w:rsidRPr="00DC069B">
            <w:rPr>
              <w:rFonts w:ascii="Arial" w:hAnsi="Arial" w:cs="Arial"/>
              <w:sz w:val="24"/>
              <w:szCs w:val="24"/>
            </w:rPr>
            <w:t>)</w:t>
          </w:r>
        </w:p>
        <w:p w14:paraId="248A3EF0" w14:textId="77777777" w:rsidR="009E6B75" w:rsidRDefault="009E6B75" w:rsidP="000B219A">
          <w:pPr>
            <w:spacing w:line="360" w:lineRule="auto"/>
            <w:jc w:val="both"/>
            <w:rPr>
              <w:rFonts w:ascii="Arial" w:hAnsi="Arial" w:cs="Arial"/>
              <w:sz w:val="24"/>
              <w:szCs w:val="24"/>
            </w:rPr>
          </w:pPr>
          <w:r w:rsidRPr="00AD1C90">
            <w:rPr>
              <w:rFonts w:ascii="Arial" w:hAnsi="Arial" w:cs="Arial"/>
              <w:sz w:val="24"/>
              <w:szCs w:val="24"/>
            </w:rPr>
            <w:t xml:space="preserve">The </w:t>
          </w:r>
          <w:proofErr w:type="gramStart"/>
          <w:r w:rsidRPr="00AD1C90">
            <w:rPr>
              <w:rFonts w:ascii="Arial" w:hAnsi="Arial" w:cs="Arial"/>
              <w:sz w:val="24"/>
              <w:szCs w:val="24"/>
            </w:rPr>
            <w:t>main focus</w:t>
          </w:r>
          <w:proofErr w:type="gramEnd"/>
          <w:r w:rsidRPr="00AD1C90">
            <w:rPr>
              <w:rFonts w:ascii="Arial" w:hAnsi="Arial" w:cs="Arial"/>
              <w:sz w:val="24"/>
              <w:szCs w:val="24"/>
            </w:rPr>
            <w:t xml:space="preserve"> of traditional budgeting is the level of previous expenditures, whereas the zero-budget is focused on preparing a new economic proposal whenever a budget is set</w:t>
          </w:r>
          <w:sdt>
            <w:sdtPr>
              <w:rPr>
                <w:rFonts w:ascii="Arial" w:hAnsi="Arial" w:cs="Arial"/>
                <w:sz w:val="24"/>
                <w:szCs w:val="24"/>
              </w:rPr>
              <w:id w:val="578110035"/>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Mit19 \l 1033 </w:instrText>
              </w:r>
              <w:r w:rsidRPr="00AD1C90">
                <w:rPr>
                  <w:rFonts w:ascii="Arial" w:hAnsi="Arial" w:cs="Arial"/>
                  <w:sz w:val="24"/>
                  <w:szCs w:val="24"/>
                </w:rPr>
                <w:fldChar w:fldCharType="separate"/>
              </w:r>
              <w:r w:rsidRPr="00AD1C90">
                <w:rPr>
                  <w:rFonts w:ascii="Arial" w:hAnsi="Arial" w:cs="Arial"/>
                  <w:noProof/>
                  <w:sz w:val="24"/>
                  <w:szCs w:val="24"/>
                </w:rPr>
                <w:t xml:space="preserve"> (Franklyn &amp; Graybeal, 2019)</w:t>
              </w:r>
              <w:r w:rsidRPr="00AD1C90">
                <w:rPr>
                  <w:rFonts w:ascii="Arial" w:hAnsi="Arial" w:cs="Arial"/>
                  <w:sz w:val="24"/>
                  <w:szCs w:val="24"/>
                </w:rPr>
                <w:fldChar w:fldCharType="end"/>
              </w:r>
            </w:sdtContent>
          </w:sdt>
          <w:r w:rsidRPr="00AD1C90">
            <w:rPr>
              <w:rFonts w:ascii="Arial" w:hAnsi="Arial" w:cs="Arial"/>
              <w:sz w:val="24"/>
              <w:szCs w:val="24"/>
            </w:rPr>
            <w:t>. Additionally, a traditional budget is more oriented towards accounting as it works on the basic principles of cost accounting. On the contrary, zero-based budgets are more decision-oriented</w:t>
          </w:r>
          <w:sdt>
            <w:sdtPr>
              <w:rPr>
                <w:rFonts w:ascii="Arial" w:hAnsi="Arial" w:cs="Arial"/>
                <w:sz w:val="24"/>
                <w:szCs w:val="24"/>
              </w:rPr>
              <w:id w:val="811833607"/>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Kur18 \l 1033 </w:instrText>
              </w:r>
              <w:r w:rsidRPr="00AD1C90">
                <w:rPr>
                  <w:rFonts w:ascii="Arial" w:hAnsi="Arial" w:cs="Arial"/>
                  <w:sz w:val="24"/>
                  <w:szCs w:val="24"/>
                </w:rPr>
                <w:fldChar w:fldCharType="separate"/>
              </w:r>
              <w:r w:rsidRPr="00AD1C90">
                <w:rPr>
                  <w:rFonts w:ascii="Arial" w:hAnsi="Arial" w:cs="Arial"/>
                  <w:noProof/>
                  <w:sz w:val="24"/>
                  <w:szCs w:val="24"/>
                </w:rPr>
                <w:t xml:space="preserve"> (Heisinger &amp; Hoyle, 2018)</w:t>
              </w:r>
              <w:r w:rsidRPr="00AD1C90">
                <w:rPr>
                  <w:rFonts w:ascii="Arial" w:hAnsi="Arial" w:cs="Arial"/>
                  <w:sz w:val="24"/>
                  <w:szCs w:val="24"/>
                </w:rPr>
                <w:fldChar w:fldCharType="end"/>
              </w:r>
            </w:sdtContent>
          </w:sdt>
          <w:r w:rsidRPr="00AD1C90">
            <w:rPr>
              <w:rFonts w:ascii="Arial" w:hAnsi="Arial" w:cs="Arial"/>
              <w:sz w:val="24"/>
              <w:szCs w:val="24"/>
            </w:rPr>
            <w:t>. The traditional budget does not require any justification related to the existing project</w:t>
          </w:r>
          <w:sdt>
            <w:sdtPr>
              <w:rPr>
                <w:rFonts w:ascii="Arial" w:hAnsi="Arial" w:cs="Arial"/>
                <w:sz w:val="24"/>
                <w:szCs w:val="24"/>
              </w:rPr>
              <w:id w:val="-1634093548"/>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Mar13 \l 1033 </w:instrText>
              </w:r>
              <w:r w:rsidRPr="00AD1C90">
                <w:rPr>
                  <w:rFonts w:ascii="Arial" w:hAnsi="Arial" w:cs="Arial"/>
                  <w:sz w:val="24"/>
                  <w:szCs w:val="24"/>
                </w:rPr>
                <w:fldChar w:fldCharType="separate"/>
              </w:r>
              <w:r w:rsidRPr="00AD1C90">
                <w:rPr>
                  <w:rFonts w:ascii="Arial" w:hAnsi="Arial" w:cs="Arial"/>
                  <w:noProof/>
                  <w:sz w:val="24"/>
                  <w:szCs w:val="24"/>
                </w:rPr>
                <w:t xml:space="preserve"> (Holtzman, 2013)</w:t>
              </w:r>
              <w:r w:rsidRPr="00AD1C90">
                <w:rPr>
                  <w:rFonts w:ascii="Arial" w:hAnsi="Arial" w:cs="Arial"/>
                  <w:sz w:val="24"/>
                  <w:szCs w:val="24"/>
                </w:rPr>
                <w:fldChar w:fldCharType="end"/>
              </w:r>
            </w:sdtContent>
          </w:sdt>
          <w:r w:rsidRPr="00AD1C90">
            <w:rPr>
              <w:rFonts w:ascii="Arial" w:hAnsi="Arial" w:cs="Arial"/>
              <w:sz w:val="24"/>
              <w:szCs w:val="24"/>
            </w:rPr>
            <w:t xml:space="preserve">. However, in the zero-based budget, a detailed justification is required about the existing project, including the overall cost and benefit analysis of the project. </w:t>
          </w:r>
        </w:p>
        <w:p w14:paraId="37271FEC" w14:textId="77777777" w:rsidR="009B5886" w:rsidRDefault="009B5886" w:rsidP="009E6B75">
          <w:pPr>
            <w:spacing w:line="480" w:lineRule="auto"/>
            <w:jc w:val="both"/>
            <w:rPr>
              <w:rFonts w:ascii="Arial" w:hAnsi="Arial" w:cs="Arial"/>
              <w:sz w:val="24"/>
              <w:szCs w:val="24"/>
            </w:rPr>
          </w:pPr>
        </w:p>
        <w:p w14:paraId="53566D7F" w14:textId="77777777" w:rsidR="000B219A" w:rsidRDefault="000B219A" w:rsidP="009E6B75">
          <w:pPr>
            <w:spacing w:line="480" w:lineRule="auto"/>
            <w:jc w:val="both"/>
            <w:rPr>
              <w:rFonts w:ascii="Arial" w:hAnsi="Arial" w:cs="Arial"/>
              <w:sz w:val="24"/>
              <w:szCs w:val="24"/>
            </w:rPr>
          </w:pPr>
        </w:p>
        <w:p w14:paraId="4022EA45" w14:textId="77777777" w:rsidR="000B219A" w:rsidRPr="00AD1C90" w:rsidRDefault="000B219A" w:rsidP="009E6B75">
          <w:pPr>
            <w:spacing w:line="480" w:lineRule="auto"/>
            <w:jc w:val="both"/>
            <w:rPr>
              <w:rFonts w:ascii="Arial" w:hAnsi="Arial" w:cs="Arial"/>
              <w:sz w:val="24"/>
              <w:szCs w:val="24"/>
            </w:rPr>
          </w:pPr>
        </w:p>
        <w:p w14:paraId="0531DC5F" w14:textId="42056C6A" w:rsidR="00D00A9D" w:rsidRDefault="008D4869" w:rsidP="008D4869">
          <w:pPr>
            <w:pStyle w:val="ListParagraph"/>
            <w:numPr>
              <w:ilvl w:val="0"/>
              <w:numId w:val="3"/>
            </w:numPr>
            <w:spacing w:line="360" w:lineRule="auto"/>
            <w:jc w:val="both"/>
            <w:rPr>
              <w:rFonts w:ascii="Arial" w:hAnsi="Arial" w:cs="Arial"/>
              <w:b/>
              <w:bCs/>
              <w:sz w:val="24"/>
              <w:szCs w:val="24"/>
            </w:rPr>
          </w:pPr>
          <w:r>
            <w:rPr>
              <w:rFonts w:ascii="Arial" w:hAnsi="Arial" w:cs="Arial"/>
              <w:b/>
              <w:bCs/>
              <w:sz w:val="24"/>
              <w:szCs w:val="24"/>
            </w:rPr>
            <w:lastRenderedPageBreak/>
            <w:t>The process of zero-base budget and how can this be implemented</w:t>
          </w:r>
        </w:p>
        <w:p w14:paraId="230BA488" w14:textId="77777777" w:rsidR="008D4869" w:rsidRDefault="008D4869" w:rsidP="008D4869">
          <w:pPr>
            <w:pStyle w:val="ListParagraph"/>
            <w:spacing w:line="360" w:lineRule="auto"/>
            <w:jc w:val="both"/>
            <w:rPr>
              <w:rFonts w:ascii="Arial" w:hAnsi="Arial" w:cs="Arial"/>
              <w:b/>
              <w:bCs/>
              <w:sz w:val="24"/>
              <w:szCs w:val="24"/>
            </w:rPr>
          </w:pPr>
        </w:p>
        <w:p w14:paraId="75FEAE00" w14:textId="5730860F" w:rsidR="00AD1C90" w:rsidRDefault="00AD1C90" w:rsidP="000B219A">
          <w:pPr>
            <w:spacing w:line="360" w:lineRule="auto"/>
            <w:jc w:val="both"/>
            <w:rPr>
              <w:rFonts w:ascii="Arial" w:hAnsi="Arial" w:cs="Arial"/>
              <w:sz w:val="24"/>
              <w:szCs w:val="24"/>
            </w:rPr>
          </w:pPr>
          <w:r w:rsidRPr="00AD1C90">
            <w:rPr>
              <w:rFonts w:ascii="Arial" w:hAnsi="Arial" w:cs="Arial"/>
              <w:sz w:val="24"/>
              <w:szCs w:val="24"/>
            </w:rPr>
            <w:t>The process of zero-based budgeting starts with identifying the decision unit. It can be a single activity that can be identified independently and meaningfully</w:t>
          </w:r>
          <w:sdt>
            <w:sdtPr>
              <w:rPr>
                <w:rFonts w:ascii="Arial" w:hAnsi="Arial" w:cs="Arial"/>
                <w:sz w:val="24"/>
                <w:szCs w:val="24"/>
              </w:rPr>
              <w:id w:val="-1013461298"/>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Kha16 \l 1033 </w:instrText>
              </w:r>
              <w:r w:rsidRPr="00AD1C90">
                <w:rPr>
                  <w:rFonts w:ascii="Arial" w:hAnsi="Arial" w:cs="Arial"/>
                  <w:sz w:val="24"/>
                  <w:szCs w:val="24"/>
                </w:rPr>
                <w:fldChar w:fldCharType="separate"/>
              </w:r>
              <w:r w:rsidRPr="00AD1C90">
                <w:rPr>
                  <w:rFonts w:ascii="Arial" w:hAnsi="Arial" w:cs="Arial"/>
                  <w:noProof/>
                  <w:sz w:val="24"/>
                  <w:szCs w:val="24"/>
                </w:rPr>
                <w:t xml:space="preserve"> (Khan, 2016)</w:t>
              </w:r>
              <w:r w:rsidRPr="00AD1C90">
                <w:rPr>
                  <w:rFonts w:ascii="Arial" w:hAnsi="Arial" w:cs="Arial"/>
                  <w:sz w:val="24"/>
                  <w:szCs w:val="24"/>
                </w:rPr>
                <w:fldChar w:fldCharType="end"/>
              </w:r>
            </w:sdtContent>
          </w:sdt>
          <w:r w:rsidRPr="00AD1C90">
            <w:rPr>
              <w:rFonts w:ascii="Arial" w:hAnsi="Arial" w:cs="Arial"/>
              <w:sz w:val="24"/>
              <w:szCs w:val="24"/>
            </w:rPr>
            <w:t>. The term independent signifies that an activity can be performed separately and there is no overlapping activity with it</w:t>
          </w:r>
          <w:r w:rsidRPr="00AD1C90">
            <w:rPr>
              <w:rFonts w:ascii="Arial" w:hAnsi="Arial" w:cs="Arial"/>
              <w:noProof/>
              <w:sz w:val="24"/>
              <w:szCs w:val="24"/>
            </w:rPr>
            <w:t xml:space="preserve"> (Kieso et, al. 2018)</w:t>
          </w:r>
          <w:r w:rsidRPr="00AD1C90">
            <w:rPr>
              <w:rFonts w:ascii="Arial" w:hAnsi="Arial" w:cs="Arial"/>
              <w:sz w:val="24"/>
              <w:szCs w:val="24"/>
            </w:rPr>
            <w:t xml:space="preserve">. Thus, every decision unit will be handled differently from the others. There are many decision units within an organization, including all the cost </w:t>
          </w:r>
          <w:r w:rsidR="00716BEA" w:rsidRPr="00AD1C90">
            <w:rPr>
              <w:rFonts w:ascii="Arial" w:hAnsi="Arial" w:cs="Arial"/>
              <w:sz w:val="24"/>
              <w:szCs w:val="24"/>
            </w:rPr>
            <w:t>centres</w:t>
          </w:r>
          <w:r w:rsidRPr="00AD1C90">
            <w:rPr>
              <w:rFonts w:ascii="Arial" w:hAnsi="Arial" w:cs="Arial"/>
              <w:sz w:val="24"/>
              <w:szCs w:val="24"/>
            </w:rPr>
            <w:t xml:space="preserve"> like marketing, human resources, and finance. This step has an important role in justifying all the items in a budget. The manager from each unit will be responsible for justifying the amount of every expenditure</w:t>
          </w:r>
          <w:r w:rsidRPr="00AD1C90">
            <w:rPr>
              <w:rFonts w:ascii="Arial" w:hAnsi="Arial" w:cs="Arial"/>
              <w:noProof/>
              <w:sz w:val="24"/>
              <w:szCs w:val="24"/>
            </w:rPr>
            <w:t xml:space="preserve"> (Kimmel et, al. 2019)</w:t>
          </w:r>
          <w:r w:rsidRPr="00AD1C90">
            <w:rPr>
              <w:rFonts w:ascii="Arial" w:hAnsi="Arial" w:cs="Arial"/>
              <w:sz w:val="24"/>
              <w:szCs w:val="24"/>
            </w:rPr>
            <w:t xml:space="preserve">. This justification should not be based on the expenditure made on the item in the previous year </w:t>
          </w:r>
          <w:sdt>
            <w:sdtPr>
              <w:rPr>
                <w:rFonts w:ascii="Arial" w:hAnsi="Arial" w:cs="Arial"/>
                <w:sz w:val="24"/>
                <w:szCs w:val="24"/>
              </w:rPr>
              <w:id w:val="789402163"/>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Zac17 \l 1033 </w:instrText>
              </w:r>
              <w:r w:rsidRPr="00AD1C90">
                <w:rPr>
                  <w:rFonts w:ascii="Arial" w:hAnsi="Arial" w:cs="Arial"/>
                  <w:sz w:val="24"/>
                  <w:szCs w:val="24"/>
                </w:rPr>
                <w:fldChar w:fldCharType="separate"/>
              </w:r>
              <w:r w:rsidRPr="00AD1C90">
                <w:rPr>
                  <w:rFonts w:ascii="Arial" w:hAnsi="Arial" w:cs="Arial"/>
                  <w:noProof/>
                  <w:sz w:val="24"/>
                  <w:szCs w:val="24"/>
                </w:rPr>
                <w:t>(Mohr, 2017)</w:t>
              </w:r>
              <w:r w:rsidRPr="00AD1C90">
                <w:rPr>
                  <w:rFonts w:ascii="Arial" w:hAnsi="Arial" w:cs="Arial"/>
                  <w:sz w:val="24"/>
                  <w:szCs w:val="24"/>
                </w:rPr>
                <w:fldChar w:fldCharType="end"/>
              </w:r>
            </w:sdtContent>
          </w:sdt>
          <w:r w:rsidRPr="00AD1C90">
            <w:rPr>
              <w:rFonts w:ascii="Arial" w:hAnsi="Arial" w:cs="Arial"/>
              <w:sz w:val="24"/>
              <w:szCs w:val="24"/>
            </w:rPr>
            <w:t xml:space="preserve">. Since the budget is prepared from scratch, the justification provided for the budget should also be fresh. At this stage, the management </w:t>
          </w:r>
          <w:proofErr w:type="gramStart"/>
          <w:r w:rsidRPr="00AD1C90">
            <w:rPr>
              <w:rFonts w:ascii="Arial" w:hAnsi="Arial" w:cs="Arial"/>
              <w:sz w:val="24"/>
              <w:szCs w:val="24"/>
            </w:rPr>
            <w:t>has to</w:t>
          </w:r>
          <w:proofErr w:type="gramEnd"/>
          <w:r w:rsidRPr="00AD1C90">
            <w:rPr>
              <w:rFonts w:ascii="Arial" w:hAnsi="Arial" w:cs="Arial"/>
              <w:sz w:val="24"/>
              <w:szCs w:val="24"/>
            </w:rPr>
            <w:t xml:space="preserve"> go through the company’s spending at the smallest level</w:t>
          </w:r>
          <w:sdt>
            <w:sdtPr>
              <w:rPr>
                <w:rFonts w:ascii="Arial" w:hAnsi="Arial" w:cs="Arial"/>
                <w:sz w:val="24"/>
                <w:szCs w:val="24"/>
              </w:rPr>
              <w:id w:val="-119377158"/>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Ali19 \l 1033 </w:instrText>
              </w:r>
              <w:r w:rsidRPr="00AD1C90">
                <w:rPr>
                  <w:rFonts w:ascii="Arial" w:hAnsi="Arial" w:cs="Arial"/>
                  <w:sz w:val="24"/>
                  <w:szCs w:val="24"/>
                </w:rPr>
                <w:fldChar w:fldCharType="separate"/>
              </w:r>
              <w:r w:rsidRPr="00AD1C90">
                <w:rPr>
                  <w:rFonts w:ascii="Arial" w:hAnsi="Arial" w:cs="Arial"/>
                  <w:noProof/>
                  <w:sz w:val="24"/>
                  <w:szCs w:val="24"/>
                </w:rPr>
                <w:t xml:space="preserve"> (Markmann &amp; Ghani, 2019)</w:t>
              </w:r>
              <w:r w:rsidRPr="00AD1C90">
                <w:rPr>
                  <w:rFonts w:ascii="Arial" w:hAnsi="Arial" w:cs="Arial"/>
                  <w:sz w:val="24"/>
                  <w:szCs w:val="24"/>
                </w:rPr>
                <w:fldChar w:fldCharType="end"/>
              </w:r>
            </w:sdtContent>
          </w:sdt>
          <w:r w:rsidRPr="00AD1C90">
            <w:rPr>
              <w:rFonts w:ascii="Arial" w:hAnsi="Arial" w:cs="Arial"/>
              <w:sz w:val="24"/>
              <w:szCs w:val="24"/>
            </w:rPr>
            <w:t xml:space="preserve">. Thus, it is important to look at the individual cost categories across all the business units. </w:t>
          </w:r>
        </w:p>
        <w:p w14:paraId="2FD3DAAC" w14:textId="77777777" w:rsidR="000B219A" w:rsidRDefault="000B219A" w:rsidP="000B219A">
          <w:pPr>
            <w:spacing w:line="360" w:lineRule="auto"/>
            <w:jc w:val="both"/>
            <w:rPr>
              <w:rFonts w:ascii="Arial" w:hAnsi="Arial" w:cs="Arial"/>
              <w:sz w:val="24"/>
              <w:szCs w:val="24"/>
            </w:rPr>
          </w:pPr>
        </w:p>
        <w:p w14:paraId="1367DF3B" w14:textId="2AF9AB3F" w:rsidR="00171E60" w:rsidRDefault="004A185F" w:rsidP="00AD1C90">
          <w:pPr>
            <w:spacing w:line="480" w:lineRule="auto"/>
            <w:jc w:val="both"/>
            <w:rPr>
              <w:rFonts w:ascii="Arial" w:hAnsi="Arial" w:cs="Arial"/>
              <w:sz w:val="24"/>
              <w:szCs w:val="24"/>
            </w:rPr>
          </w:pPr>
          <w:r>
            <w:rPr>
              <w:noProof/>
            </w:rPr>
            <w:drawing>
              <wp:inline distT="0" distB="0" distL="0" distR="0" wp14:anchorId="472B4ADB" wp14:editId="4447123A">
                <wp:extent cx="5524500" cy="3013710"/>
                <wp:effectExtent l="0" t="57150" r="0" b="5334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513CE4F" w14:textId="0DE41544" w:rsidR="00171E60" w:rsidRPr="00D627E1" w:rsidRDefault="000757BA" w:rsidP="00D627E1">
          <w:pPr>
            <w:spacing w:line="480" w:lineRule="auto"/>
            <w:jc w:val="center"/>
            <w:rPr>
              <w:rFonts w:ascii="Arial" w:hAnsi="Arial" w:cs="Arial"/>
              <w:b/>
              <w:bCs/>
              <w:sz w:val="24"/>
              <w:szCs w:val="24"/>
            </w:rPr>
          </w:pPr>
          <w:r w:rsidRPr="000757BA">
            <w:rPr>
              <w:rFonts w:ascii="Arial" w:hAnsi="Arial" w:cs="Arial"/>
              <w:b/>
              <w:bCs/>
              <w:sz w:val="24"/>
              <w:szCs w:val="24"/>
            </w:rPr>
            <w:t>Figure 3. The process of zero-base budgeting (</w:t>
          </w:r>
          <w:proofErr w:type="spellStart"/>
          <w:r w:rsidRPr="000757BA">
            <w:rPr>
              <w:rFonts w:ascii="Arial" w:hAnsi="Arial" w:cs="Arial"/>
              <w:b/>
              <w:bCs/>
              <w:sz w:val="24"/>
              <w:szCs w:val="24"/>
            </w:rPr>
            <w:t>Ueland</w:t>
          </w:r>
          <w:proofErr w:type="spellEnd"/>
          <w:r w:rsidRPr="000757BA">
            <w:rPr>
              <w:rFonts w:ascii="Arial" w:hAnsi="Arial" w:cs="Arial"/>
              <w:b/>
              <w:bCs/>
              <w:sz w:val="24"/>
              <w:szCs w:val="24"/>
            </w:rPr>
            <w:t>, 2020)</w:t>
          </w:r>
        </w:p>
        <w:p w14:paraId="46662FD5" w14:textId="77777777" w:rsidR="00AD1C90" w:rsidRPr="00AD1C90" w:rsidRDefault="00AD1C90" w:rsidP="00D400AC">
          <w:pPr>
            <w:spacing w:line="360" w:lineRule="auto"/>
            <w:jc w:val="both"/>
            <w:rPr>
              <w:rFonts w:ascii="Arial" w:hAnsi="Arial" w:cs="Arial"/>
              <w:sz w:val="24"/>
              <w:szCs w:val="24"/>
            </w:rPr>
          </w:pPr>
          <w:r w:rsidRPr="00AD1C90">
            <w:rPr>
              <w:rFonts w:ascii="Arial" w:hAnsi="Arial" w:cs="Arial"/>
              <w:sz w:val="24"/>
              <w:szCs w:val="24"/>
            </w:rPr>
            <w:lastRenderedPageBreak/>
            <w:t>The next step in the process is to develop the decision packages. A decision package is a smaller unit as compared to the decision units identified in the first step</w:t>
          </w:r>
          <w:sdt>
            <w:sdtPr>
              <w:rPr>
                <w:rFonts w:ascii="Arial" w:hAnsi="Arial" w:cs="Arial"/>
                <w:sz w:val="24"/>
                <w:szCs w:val="24"/>
              </w:rPr>
              <w:id w:val="-736705892"/>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Zac17 \l 1033 </w:instrText>
              </w:r>
              <w:r w:rsidRPr="00AD1C90">
                <w:rPr>
                  <w:rFonts w:ascii="Arial" w:hAnsi="Arial" w:cs="Arial"/>
                  <w:sz w:val="24"/>
                  <w:szCs w:val="24"/>
                </w:rPr>
                <w:fldChar w:fldCharType="separate"/>
              </w:r>
              <w:r w:rsidRPr="00AD1C90">
                <w:rPr>
                  <w:rFonts w:ascii="Arial" w:hAnsi="Arial" w:cs="Arial"/>
                  <w:noProof/>
                  <w:sz w:val="24"/>
                  <w:szCs w:val="24"/>
                </w:rPr>
                <w:t xml:space="preserve"> (Mohr, 2017)</w:t>
              </w:r>
              <w:r w:rsidRPr="00AD1C90">
                <w:rPr>
                  <w:rFonts w:ascii="Arial" w:hAnsi="Arial" w:cs="Arial"/>
                  <w:sz w:val="24"/>
                  <w:szCs w:val="24"/>
                </w:rPr>
                <w:fldChar w:fldCharType="end"/>
              </w:r>
            </w:sdtContent>
          </w:sdt>
          <w:r w:rsidRPr="00AD1C90">
            <w:rPr>
              <w:rFonts w:ascii="Arial" w:hAnsi="Arial" w:cs="Arial"/>
              <w:sz w:val="24"/>
              <w:szCs w:val="24"/>
            </w:rPr>
            <w:t>. The decision packages should be in line with the organizational objectives. These decision packages are separate proposals appealing the funds from investors</w:t>
          </w:r>
          <w:r w:rsidRPr="00AD1C90">
            <w:rPr>
              <w:rFonts w:ascii="Arial" w:hAnsi="Arial" w:cs="Arial"/>
              <w:noProof/>
              <w:sz w:val="24"/>
              <w:szCs w:val="24"/>
            </w:rPr>
            <w:t xml:space="preserve"> (Mowen et, al. 2014)</w:t>
          </w:r>
          <w:r w:rsidRPr="00AD1C90">
            <w:rPr>
              <w:rFonts w:ascii="Arial" w:hAnsi="Arial" w:cs="Arial"/>
              <w:sz w:val="24"/>
              <w:szCs w:val="24"/>
            </w:rPr>
            <w:t>. The functions, activities, and operations of the proposal are identified within the proposal. Additionally, the actual need for the proposal, different benefits associated with it, and the loss of opportunity if adequate funds are not allocated to the proposal. A typical decision package will include the following items:</w:t>
          </w:r>
        </w:p>
        <w:p w14:paraId="5945E5B4" w14:textId="77777777" w:rsidR="00AD1C90" w:rsidRPr="00AD1C90" w:rsidRDefault="00AD1C90"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The task for which a specific decision package is developed</w:t>
          </w:r>
        </w:p>
        <w:p w14:paraId="698A16BC" w14:textId="77777777" w:rsidR="00AD1C90" w:rsidRPr="00AD1C90" w:rsidRDefault="00AD1C90"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The goals and objectives of the bigger unit comprising the decision package</w:t>
          </w:r>
        </w:p>
        <w:p w14:paraId="71971D29" w14:textId="77777777" w:rsidR="00AD1C90" w:rsidRPr="00AD1C90" w:rsidRDefault="00AD1C90"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Objectives and goals of the decision package itself</w:t>
          </w:r>
        </w:p>
        <w:p w14:paraId="4D469931" w14:textId="77777777" w:rsidR="00AD1C90" w:rsidRPr="00AD1C90" w:rsidRDefault="00AD1C90"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A need analysis related to the task</w:t>
          </w:r>
        </w:p>
        <w:p w14:paraId="286FCAD6" w14:textId="77777777" w:rsidR="00AD1C90" w:rsidRPr="00AD1C90" w:rsidRDefault="00AD1C90"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Assessing the viability of the task from different perspectives</w:t>
          </w:r>
        </w:p>
        <w:p w14:paraId="63C54C01" w14:textId="722B52B4" w:rsidR="00AD1C90" w:rsidRPr="00AD1C90" w:rsidRDefault="00716BEA" w:rsidP="00D400AC">
          <w:pPr>
            <w:pStyle w:val="ListParagraph"/>
            <w:numPr>
              <w:ilvl w:val="0"/>
              <w:numId w:val="4"/>
            </w:numPr>
            <w:spacing w:after="160" w:line="360" w:lineRule="auto"/>
            <w:jc w:val="both"/>
            <w:rPr>
              <w:rFonts w:ascii="Arial" w:hAnsi="Arial" w:cs="Arial"/>
              <w:sz w:val="24"/>
              <w:szCs w:val="24"/>
            </w:rPr>
          </w:pPr>
          <w:r w:rsidRPr="00AD1C90">
            <w:rPr>
              <w:rFonts w:ascii="Arial" w:hAnsi="Arial" w:cs="Arial"/>
              <w:sz w:val="24"/>
              <w:szCs w:val="24"/>
            </w:rPr>
            <w:t>Analysing</w:t>
          </w:r>
          <w:r w:rsidR="00AD1C90" w:rsidRPr="00AD1C90">
            <w:rPr>
              <w:rFonts w:ascii="Arial" w:hAnsi="Arial" w:cs="Arial"/>
              <w:sz w:val="24"/>
              <w:szCs w:val="24"/>
            </w:rPr>
            <w:t xml:space="preserve"> the other possible courses of action</w:t>
          </w:r>
        </w:p>
        <w:p w14:paraId="2301C185" w14:textId="7B7E9BC9" w:rsidR="00AD1C90" w:rsidRPr="00AD1C90" w:rsidRDefault="00286EFA" w:rsidP="00D400AC">
          <w:pPr>
            <w:spacing w:line="360" w:lineRule="auto"/>
            <w:jc w:val="both"/>
            <w:rPr>
              <w:rFonts w:ascii="Arial" w:hAnsi="Arial" w:cs="Arial"/>
              <w:sz w:val="24"/>
              <w:szCs w:val="24"/>
            </w:rPr>
          </w:pPr>
          <w:r>
            <w:rPr>
              <w:rFonts w:ascii="Arial" w:hAnsi="Arial" w:cs="Arial"/>
              <w:sz w:val="24"/>
              <w:szCs w:val="24"/>
            </w:rPr>
            <w:t xml:space="preserve">Another </w:t>
          </w:r>
          <w:r w:rsidR="00AD1C90" w:rsidRPr="00AD1C90">
            <w:rPr>
              <w:rFonts w:ascii="Arial" w:hAnsi="Arial" w:cs="Arial"/>
              <w:sz w:val="24"/>
              <w:szCs w:val="24"/>
            </w:rPr>
            <w:t>step in the process is to rank all the decision packages in a single decision unit and within different decision units within the organization</w:t>
          </w:r>
          <w:sdt>
            <w:sdtPr>
              <w:rPr>
                <w:rFonts w:ascii="Arial" w:hAnsi="Arial" w:cs="Arial"/>
                <w:sz w:val="24"/>
                <w:szCs w:val="24"/>
              </w:rPr>
              <w:id w:val="972947170"/>
              <w:citation/>
            </w:sdtPr>
            <w:sdtEndPr/>
            <w:sdtContent>
              <w:r w:rsidR="00AD1C90" w:rsidRPr="00AD1C90">
                <w:rPr>
                  <w:rFonts w:ascii="Arial" w:hAnsi="Arial" w:cs="Arial"/>
                  <w:sz w:val="24"/>
                  <w:szCs w:val="24"/>
                </w:rPr>
                <w:fldChar w:fldCharType="begin"/>
              </w:r>
              <w:r w:rsidR="00AD1C90" w:rsidRPr="00AD1C90">
                <w:rPr>
                  <w:rFonts w:ascii="Arial" w:hAnsi="Arial" w:cs="Arial"/>
                  <w:sz w:val="24"/>
                  <w:szCs w:val="24"/>
                </w:rPr>
                <w:instrText xml:space="preserve"> CITATION Ste10 \l 1033 </w:instrText>
              </w:r>
              <w:r w:rsidR="00AD1C90" w:rsidRPr="00AD1C90">
                <w:rPr>
                  <w:rFonts w:ascii="Arial" w:hAnsi="Arial" w:cs="Arial"/>
                  <w:sz w:val="24"/>
                  <w:szCs w:val="24"/>
                </w:rPr>
                <w:fldChar w:fldCharType="separate"/>
              </w:r>
              <w:r w:rsidR="00AD1C90" w:rsidRPr="00AD1C90">
                <w:rPr>
                  <w:rFonts w:ascii="Arial" w:hAnsi="Arial" w:cs="Arial"/>
                  <w:noProof/>
                  <w:sz w:val="24"/>
                  <w:szCs w:val="24"/>
                </w:rPr>
                <w:t xml:space="preserve"> (Powell, 2010)</w:t>
              </w:r>
              <w:r w:rsidR="00AD1C90" w:rsidRPr="00AD1C90">
                <w:rPr>
                  <w:rFonts w:ascii="Arial" w:hAnsi="Arial" w:cs="Arial"/>
                  <w:sz w:val="24"/>
                  <w:szCs w:val="24"/>
                </w:rPr>
                <w:fldChar w:fldCharType="end"/>
              </w:r>
            </w:sdtContent>
          </w:sdt>
          <w:r w:rsidR="00AD1C90" w:rsidRPr="00AD1C90">
            <w:rPr>
              <w:rFonts w:ascii="Arial" w:hAnsi="Arial" w:cs="Arial"/>
              <w:sz w:val="24"/>
              <w:szCs w:val="24"/>
            </w:rPr>
            <w:t xml:space="preserve">. The major reason to rank the decision packages is to ensure that resources are allocated efficiently among these packages. The criterion to rank the decision packages is the cost-benefit analysis. While conducting such an analysis, all the alternative options are </w:t>
          </w:r>
          <w:r w:rsidR="00716BEA" w:rsidRPr="00AD1C90">
            <w:rPr>
              <w:rFonts w:ascii="Arial" w:hAnsi="Arial" w:cs="Arial"/>
              <w:sz w:val="24"/>
              <w:szCs w:val="24"/>
            </w:rPr>
            <w:t>analysed</w:t>
          </w:r>
          <w:r w:rsidR="00AD1C90" w:rsidRPr="00AD1C90">
            <w:rPr>
              <w:rFonts w:ascii="Arial" w:hAnsi="Arial" w:cs="Arial"/>
              <w:sz w:val="24"/>
              <w:szCs w:val="24"/>
            </w:rPr>
            <w:t xml:space="preserve"> so that all the cost-effective options are selected</w:t>
          </w:r>
          <w:sdt>
            <w:sdtPr>
              <w:rPr>
                <w:rFonts w:ascii="Arial" w:hAnsi="Arial" w:cs="Arial"/>
                <w:sz w:val="24"/>
                <w:szCs w:val="24"/>
              </w:rPr>
              <w:id w:val="-630163663"/>
              <w:citation/>
            </w:sdtPr>
            <w:sdtEndPr/>
            <w:sdtContent>
              <w:r w:rsidR="00AD1C90" w:rsidRPr="00AD1C90">
                <w:rPr>
                  <w:rFonts w:ascii="Arial" w:hAnsi="Arial" w:cs="Arial"/>
                  <w:sz w:val="24"/>
                  <w:szCs w:val="24"/>
                </w:rPr>
                <w:fldChar w:fldCharType="begin"/>
              </w:r>
              <w:r w:rsidR="00AD1C90" w:rsidRPr="00AD1C90">
                <w:rPr>
                  <w:rFonts w:ascii="Arial" w:hAnsi="Arial" w:cs="Arial"/>
                  <w:sz w:val="24"/>
                  <w:szCs w:val="24"/>
                </w:rPr>
                <w:instrText xml:space="preserve"> CITATION Raj11 \l 1033 </w:instrText>
              </w:r>
              <w:r w:rsidR="00AD1C90" w:rsidRPr="00AD1C90">
                <w:rPr>
                  <w:rFonts w:ascii="Arial" w:hAnsi="Arial" w:cs="Arial"/>
                  <w:sz w:val="24"/>
                  <w:szCs w:val="24"/>
                </w:rPr>
                <w:fldChar w:fldCharType="separate"/>
              </w:r>
              <w:r w:rsidR="00AD1C90" w:rsidRPr="00AD1C90">
                <w:rPr>
                  <w:rFonts w:ascii="Arial" w:hAnsi="Arial" w:cs="Arial"/>
                  <w:noProof/>
                  <w:sz w:val="24"/>
                  <w:szCs w:val="24"/>
                </w:rPr>
                <w:t xml:space="preserve"> (Rajasekaran, 2011)</w:t>
              </w:r>
              <w:r w:rsidR="00AD1C90" w:rsidRPr="00AD1C90">
                <w:rPr>
                  <w:rFonts w:ascii="Arial" w:hAnsi="Arial" w:cs="Arial"/>
                  <w:sz w:val="24"/>
                  <w:szCs w:val="24"/>
                </w:rPr>
                <w:fldChar w:fldCharType="end"/>
              </w:r>
            </w:sdtContent>
          </w:sdt>
          <w:r w:rsidR="00AD1C90" w:rsidRPr="00AD1C90">
            <w:rPr>
              <w:rFonts w:ascii="Arial" w:hAnsi="Arial" w:cs="Arial"/>
              <w:sz w:val="24"/>
              <w:szCs w:val="24"/>
            </w:rPr>
            <w:t xml:space="preserve">. The decision packages are only approved if they help the organizations in achieving their </w:t>
          </w:r>
          <w:r w:rsidR="00E00872" w:rsidRPr="00AD1C90">
            <w:rPr>
              <w:rFonts w:ascii="Arial" w:hAnsi="Arial" w:cs="Arial"/>
              <w:sz w:val="24"/>
              <w:szCs w:val="24"/>
            </w:rPr>
            <w:t>pre-set</w:t>
          </w:r>
          <w:r w:rsidR="00AD1C90" w:rsidRPr="00AD1C90">
            <w:rPr>
              <w:rFonts w:ascii="Arial" w:hAnsi="Arial" w:cs="Arial"/>
              <w:sz w:val="24"/>
              <w:szCs w:val="24"/>
            </w:rPr>
            <w:t xml:space="preserve"> objectives. Accurate and realistic costing is also ensured in all the decision packages by the management. </w:t>
          </w:r>
        </w:p>
        <w:p w14:paraId="1569C829" w14:textId="3E91DDBF" w:rsidR="00AD1C90" w:rsidRPr="00AD1C90" w:rsidRDefault="00AD1C90" w:rsidP="00D400AC">
          <w:pPr>
            <w:spacing w:line="360" w:lineRule="auto"/>
            <w:jc w:val="both"/>
            <w:rPr>
              <w:rFonts w:ascii="Arial" w:hAnsi="Arial" w:cs="Arial"/>
              <w:sz w:val="24"/>
              <w:szCs w:val="24"/>
            </w:rPr>
          </w:pPr>
          <w:r w:rsidRPr="00AD1C90">
            <w:rPr>
              <w:rFonts w:ascii="Arial" w:hAnsi="Arial" w:cs="Arial"/>
              <w:sz w:val="24"/>
              <w:szCs w:val="24"/>
            </w:rPr>
            <w:t xml:space="preserve">The </w:t>
          </w:r>
          <w:r w:rsidR="00AF4AA8">
            <w:rPr>
              <w:rFonts w:ascii="Arial" w:hAnsi="Arial" w:cs="Arial"/>
              <w:sz w:val="24"/>
              <w:szCs w:val="24"/>
            </w:rPr>
            <w:t>final</w:t>
          </w:r>
          <w:r w:rsidRPr="00AD1C90">
            <w:rPr>
              <w:rFonts w:ascii="Arial" w:hAnsi="Arial" w:cs="Arial"/>
              <w:sz w:val="24"/>
              <w:szCs w:val="24"/>
            </w:rPr>
            <w:t xml:space="preserve"> step of the process is an extension of the previous step. The ranked decision packages are given the funds in this step</w:t>
          </w:r>
          <w:sdt>
            <w:sdtPr>
              <w:rPr>
                <w:rFonts w:ascii="Arial" w:hAnsi="Arial" w:cs="Arial"/>
                <w:sz w:val="24"/>
                <w:szCs w:val="24"/>
              </w:rPr>
              <w:id w:val="-1500119132"/>
              <w:citation/>
            </w:sdtPr>
            <w:sdtEndPr/>
            <w:sdtContent>
              <w:r w:rsidRPr="00AD1C90">
                <w:rPr>
                  <w:rFonts w:ascii="Arial" w:hAnsi="Arial" w:cs="Arial"/>
                  <w:sz w:val="24"/>
                  <w:szCs w:val="24"/>
                </w:rPr>
                <w:fldChar w:fldCharType="begin"/>
              </w:r>
              <w:r w:rsidRPr="00AD1C90">
                <w:rPr>
                  <w:rFonts w:ascii="Arial" w:hAnsi="Arial" w:cs="Arial"/>
                  <w:sz w:val="24"/>
                  <w:szCs w:val="24"/>
                </w:rPr>
                <w:instrText xml:space="preserve"> CITATION Win17 \l 1033 </w:instrText>
              </w:r>
              <w:r w:rsidRPr="00AD1C90">
                <w:rPr>
                  <w:rFonts w:ascii="Arial" w:hAnsi="Arial" w:cs="Arial"/>
                  <w:sz w:val="24"/>
                  <w:szCs w:val="24"/>
                </w:rPr>
                <w:fldChar w:fldCharType="separate"/>
              </w:r>
              <w:r w:rsidRPr="00AD1C90">
                <w:rPr>
                  <w:rFonts w:ascii="Arial" w:hAnsi="Arial" w:cs="Arial"/>
                  <w:noProof/>
                  <w:sz w:val="24"/>
                  <w:szCs w:val="24"/>
                </w:rPr>
                <w:t xml:space="preserve"> (Li, 2017)</w:t>
              </w:r>
              <w:r w:rsidRPr="00AD1C90">
                <w:rPr>
                  <w:rFonts w:ascii="Arial" w:hAnsi="Arial" w:cs="Arial"/>
                  <w:sz w:val="24"/>
                  <w:szCs w:val="24"/>
                </w:rPr>
                <w:fldChar w:fldCharType="end"/>
              </w:r>
            </w:sdtContent>
          </w:sdt>
          <w:r w:rsidRPr="00AD1C90">
            <w:rPr>
              <w:rFonts w:ascii="Arial" w:hAnsi="Arial" w:cs="Arial"/>
              <w:color w:val="FF0000"/>
              <w:sz w:val="24"/>
              <w:szCs w:val="24"/>
            </w:rPr>
            <w:t xml:space="preserve">. </w:t>
          </w:r>
          <w:r w:rsidRPr="00AD1C90">
            <w:rPr>
              <w:rFonts w:ascii="Arial" w:hAnsi="Arial" w:cs="Arial"/>
              <w:sz w:val="24"/>
              <w:szCs w:val="24"/>
            </w:rPr>
            <w:t xml:space="preserve">Thus, a funding decision takes place in this step. The higher-ranked packages will be given priority during the allocation of resources. Thus, optimum allocation of resources will be possible. </w:t>
          </w:r>
        </w:p>
        <w:p w14:paraId="16309341" w14:textId="1853E0D4" w:rsidR="00AD1C90" w:rsidRDefault="00AD1C90" w:rsidP="00D400AC">
          <w:pPr>
            <w:spacing w:line="360" w:lineRule="auto"/>
            <w:jc w:val="both"/>
            <w:rPr>
              <w:rFonts w:ascii="Arial" w:hAnsi="Arial" w:cs="Arial"/>
              <w:sz w:val="24"/>
              <w:szCs w:val="24"/>
            </w:rPr>
          </w:pPr>
          <w:r w:rsidRPr="00AD1C90">
            <w:rPr>
              <w:rFonts w:ascii="Arial" w:hAnsi="Arial" w:cs="Arial"/>
              <w:sz w:val="24"/>
              <w:szCs w:val="24"/>
            </w:rPr>
            <w:t xml:space="preserve">Furthermore, there should be a sense of transparency within the whole </w:t>
          </w:r>
          <w:r w:rsidR="00E00872" w:rsidRPr="00AD1C90">
            <w:rPr>
              <w:rFonts w:ascii="Arial" w:hAnsi="Arial" w:cs="Arial"/>
              <w:sz w:val="24"/>
              <w:szCs w:val="24"/>
            </w:rPr>
            <w:t>process,</w:t>
          </w:r>
          <w:r w:rsidRPr="00AD1C90">
            <w:rPr>
              <w:rFonts w:ascii="Arial" w:hAnsi="Arial" w:cs="Arial"/>
              <w:sz w:val="24"/>
              <w:szCs w:val="24"/>
            </w:rPr>
            <w:t xml:space="preserve"> and it can be increased by using the digital tools to </w:t>
          </w:r>
          <w:r w:rsidR="00E00872" w:rsidRPr="00AD1C90">
            <w:rPr>
              <w:rFonts w:ascii="Arial" w:hAnsi="Arial" w:cs="Arial"/>
              <w:sz w:val="24"/>
              <w:szCs w:val="24"/>
            </w:rPr>
            <w:t>analyse</w:t>
          </w:r>
          <w:r w:rsidRPr="00AD1C90">
            <w:rPr>
              <w:rFonts w:ascii="Arial" w:hAnsi="Arial" w:cs="Arial"/>
              <w:sz w:val="24"/>
              <w:szCs w:val="24"/>
            </w:rPr>
            <w:t xml:space="preserve"> the spending data.</w:t>
          </w:r>
        </w:p>
        <w:p w14:paraId="3D28D1B4" w14:textId="0297BBA9" w:rsidR="00754A2B" w:rsidRDefault="004249BF" w:rsidP="00AD1C90">
          <w:pPr>
            <w:spacing w:line="480" w:lineRule="auto"/>
            <w:jc w:val="both"/>
            <w:rPr>
              <w:rFonts w:ascii="Arial" w:hAnsi="Arial" w:cs="Arial"/>
              <w:sz w:val="24"/>
              <w:szCs w:val="24"/>
            </w:rPr>
          </w:pPr>
          <w:r>
            <w:rPr>
              <w:rFonts w:ascii="Open Sans" w:hAnsi="Open Sans" w:cs="Open Sans"/>
              <w:noProof/>
              <w:color w:val="1C1D1E"/>
              <w:shd w:val="clear" w:color="auto" w:fill="FFFFFF"/>
            </w:rPr>
            <w:lastRenderedPageBreak/>
            <w:drawing>
              <wp:inline distT="0" distB="0" distL="0" distR="0" wp14:anchorId="48E672C5" wp14:editId="6638DEFE">
                <wp:extent cx="4244340" cy="249936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F7524CD" w14:textId="71B4E143" w:rsidR="00811398" w:rsidRPr="0097577E" w:rsidRDefault="00754A2B" w:rsidP="00AD1C90">
          <w:pPr>
            <w:spacing w:line="480" w:lineRule="auto"/>
            <w:jc w:val="both"/>
            <w:rPr>
              <w:rFonts w:ascii="Arial" w:hAnsi="Arial" w:cs="Arial"/>
              <w:b/>
              <w:bCs/>
              <w:sz w:val="24"/>
              <w:szCs w:val="24"/>
            </w:rPr>
          </w:pPr>
          <w:r w:rsidRPr="00754A2B">
            <w:rPr>
              <w:rFonts w:ascii="Arial" w:hAnsi="Arial" w:cs="Arial"/>
              <w:b/>
              <w:bCs/>
              <w:sz w:val="24"/>
              <w:szCs w:val="24"/>
            </w:rPr>
            <w:t>Figure 4. Benefits and Drawbacks of a Zero-Based Budget (Thakur et al., 2022)</w:t>
          </w:r>
        </w:p>
        <w:p w14:paraId="608DED97" w14:textId="5F3B71F0" w:rsidR="00AD1C90" w:rsidRPr="00AD1C90" w:rsidRDefault="00AD1C90" w:rsidP="006533DA">
          <w:pPr>
            <w:spacing w:line="360" w:lineRule="auto"/>
            <w:jc w:val="both"/>
            <w:rPr>
              <w:rFonts w:ascii="Arial" w:hAnsi="Arial" w:cs="Arial"/>
              <w:sz w:val="24"/>
              <w:szCs w:val="24"/>
            </w:rPr>
          </w:pPr>
          <w:r w:rsidRPr="00AD1C90">
            <w:rPr>
              <w:rFonts w:ascii="Arial" w:hAnsi="Arial" w:cs="Arial"/>
              <w:sz w:val="24"/>
              <w:szCs w:val="24"/>
            </w:rPr>
            <w:t xml:space="preserve">The digital economy provides an even better opportunity to implement Zero-Based Budgeting. Most companies have a centralized system of collecting, </w:t>
          </w:r>
          <w:r w:rsidR="00E00872" w:rsidRPr="00AD1C90">
            <w:rPr>
              <w:rFonts w:ascii="Arial" w:hAnsi="Arial" w:cs="Arial"/>
              <w:sz w:val="24"/>
              <w:szCs w:val="24"/>
            </w:rPr>
            <w:t>analysing</w:t>
          </w:r>
          <w:r w:rsidRPr="00AD1C90">
            <w:rPr>
              <w:rFonts w:ascii="Arial" w:hAnsi="Arial" w:cs="Arial"/>
              <w:sz w:val="24"/>
              <w:szCs w:val="24"/>
            </w:rPr>
            <w:t>, and using financial data</w:t>
          </w:r>
          <w:r w:rsidRPr="00AD1C90">
            <w:rPr>
              <w:rFonts w:ascii="Arial" w:hAnsi="Arial" w:cs="Arial"/>
              <w:noProof/>
              <w:sz w:val="24"/>
              <w:szCs w:val="24"/>
            </w:rPr>
            <w:t xml:space="preserve"> (Stenka et al. 2008)</w:t>
          </w:r>
          <w:r w:rsidRPr="00AD1C90">
            <w:rPr>
              <w:rFonts w:ascii="Arial" w:hAnsi="Arial" w:cs="Arial"/>
              <w:sz w:val="24"/>
              <w:szCs w:val="24"/>
            </w:rPr>
            <w:t xml:space="preserve">. This increases the level of transparency across all the departments. Management of different departments keeps their independent financial data cheat sheets to break down the projects within their portfolios. A common digital budgeting tool will allow all the managers to input their data. Based on this data, the organization will be able to make informed decisions. </w:t>
          </w:r>
        </w:p>
        <w:p w14:paraId="3877C06D" w14:textId="77777777" w:rsidR="00C410A9" w:rsidRPr="007D6386" w:rsidRDefault="00C410A9" w:rsidP="006533DA">
          <w:pPr>
            <w:spacing w:line="360" w:lineRule="auto"/>
            <w:jc w:val="both"/>
            <w:rPr>
              <w:rFonts w:ascii="Arial" w:hAnsi="Arial" w:cs="Arial"/>
              <w:sz w:val="24"/>
              <w:szCs w:val="24"/>
            </w:rPr>
          </w:pPr>
        </w:p>
        <w:p w14:paraId="4923E599" w14:textId="030A2ACC" w:rsidR="00C410A9" w:rsidRPr="00984E7E" w:rsidRDefault="00984E7E" w:rsidP="00984E7E">
          <w:pPr>
            <w:pStyle w:val="ListParagraph"/>
            <w:numPr>
              <w:ilvl w:val="0"/>
              <w:numId w:val="3"/>
            </w:numPr>
            <w:spacing w:line="360" w:lineRule="auto"/>
            <w:jc w:val="both"/>
            <w:rPr>
              <w:rFonts w:ascii="Arial" w:hAnsi="Arial" w:cs="Arial"/>
              <w:b/>
              <w:bCs/>
              <w:sz w:val="24"/>
              <w:szCs w:val="24"/>
            </w:rPr>
          </w:pPr>
          <w:r w:rsidRPr="00984E7E">
            <w:rPr>
              <w:rFonts w:ascii="Arial" w:hAnsi="Arial" w:cs="Arial"/>
              <w:b/>
              <w:bCs/>
              <w:sz w:val="24"/>
              <w:szCs w:val="24"/>
            </w:rPr>
            <w:t>Can Budgeting control support sustainability</w:t>
          </w:r>
        </w:p>
        <w:p w14:paraId="442A7F0A" w14:textId="77777777" w:rsidR="00984E7E" w:rsidRDefault="00984E7E" w:rsidP="00984E7E">
          <w:pPr>
            <w:pStyle w:val="ListParagraph"/>
            <w:spacing w:line="360" w:lineRule="auto"/>
            <w:jc w:val="both"/>
            <w:rPr>
              <w:rFonts w:ascii="Arial" w:hAnsi="Arial" w:cs="Arial"/>
              <w:b/>
              <w:bCs/>
              <w:sz w:val="24"/>
              <w:szCs w:val="24"/>
            </w:rPr>
          </w:pPr>
        </w:p>
        <w:p w14:paraId="0F39E52F" w14:textId="77777777" w:rsidR="00DF2DAF" w:rsidRPr="00DF2DAF" w:rsidRDefault="00DF2DAF" w:rsidP="006533DA">
          <w:pPr>
            <w:spacing w:line="360" w:lineRule="auto"/>
            <w:jc w:val="both"/>
            <w:rPr>
              <w:rFonts w:ascii="Arial" w:hAnsi="Arial" w:cs="Arial"/>
              <w:sz w:val="24"/>
              <w:szCs w:val="24"/>
            </w:rPr>
          </w:pPr>
          <w:r w:rsidRPr="00DF2DAF">
            <w:rPr>
              <w:rFonts w:ascii="Arial" w:hAnsi="Arial" w:cs="Arial"/>
              <w:sz w:val="24"/>
              <w:szCs w:val="24"/>
            </w:rPr>
            <w:t>Sustainability is an ideal situation in which the business operations of the organizations allow them to operate over a long time</w:t>
          </w:r>
          <w:sdt>
            <w:sdtPr>
              <w:rPr>
                <w:rFonts w:ascii="Arial" w:hAnsi="Arial" w:cs="Arial"/>
                <w:sz w:val="24"/>
                <w:szCs w:val="24"/>
              </w:rPr>
              <w:id w:val="2100207072"/>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 CITATION Kri19 \l 1033 </w:instrText>
              </w:r>
              <w:r w:rsidRPr="00DF2DAF">
                <w:rPr>
                  <w:rFonts w:ascii="Arial" w:hAnsi="Arial" w:cs="Arial"/>
                  <w:sz w:val="24"/>
                  <w:szCs w:val="24"/>
                </w:rPr>
                <w:fldChar w:fldCharType="separate"/>
              </w:r>
              <w:r w:rsidRPr="00DF2DAF">
                <w:rPr>
                  <w:rFonts w:ascii="Arial" w:hAnsi="Arial" w:cs="Arial"/>
                  <w:noProof/>
                  <w:sz w:val="24"/>
                  <w:szCs w:val="24"/>
                </w:rPr>
                <w:t xml:space="preserve"> (Timmermans &amp; Roark, 2019)</w:t>
              </w:r>
              <w:r w:rsidRPr="00DF2DAF">
                <w:rPr>
                  <w:rFonts w:ascii="Arial" w:hAnsi="Arial" w:cs="Arial"/>
                  <w:sz w:val="24"/>
                  <w:szCs w:val="24"/>
                </w:rPr>
                <w:fldChar w:fldCharType="end"/>
              </w:r>
            </w:sdtContent>
          </w:sdt>
          <w:r w:rsidRPr="00DF2DAF">
            <w:rPr>
              <w:rFonts w:ascii="Arial" w:hAnsi="Arial" w:cs="Arial"/>
              <w:sz w:val="24"/>
              <w:szCs w:val="24"/>
            </w:rPr>
            <w:t>. The budget control can help organizations in attaining sustainable development. The major reason for budgeting is to benefit from scarce financial resources and assure that these scarce resources are put to their best usage</w:t>
          </w:r>
          <w:sdt>
            <w:sdtPr>
              <w:rPr>
                <w:rFonts w:ascii="Arial" w:hAnsi="Arial" w:cs="Arial"/>
                <w:sz w:val="24"/>
                <w:szCs w:val="24"/>
              </w:rPr>
              <w:id w:val="-1636869818"/>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CITATION Ste08 \l 1033 </w:instrText>
              </w:r>
              <w:r w:rsidRPr="00DF2DAF">
                <w:rPr>
                  <w:rFonts w:ascii="Arial" w:hAnsi="Arial" w:cs="Arial"/>
                  <w:sz w:val="24"/>
                  <w:szCs w:val="24"/>
                </w:rPr>
                <w:fldChar w:fldCharType="separate"/>
              </w:r>
              <w:r w:rsidRPr="00DF2DAF">
                <w:rPr>
                  <w:rFonts w:ascii="Arial" w:hAnsi="Arial" w:cs="Arial"/>
                  <w:noProof/>
                  <w:sz w:val="24"/>
                  <w:szCs w:val="24"/>
                </w:rPr>
                <w:t xml:space="preserve"> (Stenka, et al., 2018)</w:t>
              </w:r>
              <w:r w:rsidRPr="00DF2DAF">
                <w:rPr>
                  <w:rFonts w:ascii="Arial" w:hAnsi="Arial" w:cs="Arial"/>
                  <w:sz w:val="24"/>
                  <w:szCs w:val="24"/>
                </w:rPr>
                <w:fldChar w:fldCharType="end"/>
              </w:r>
            </w:sdtContent>
          </w:sdt>
          <w:r w:rsidRPr="00DF2DAF">
            <w:rPr>
              <w:rFonts w:ascii="Arial" w:hAnsi="Arial" w:cs="Arial"/>
              <w:sz w:val="24"/>
              <w:szCs w:val="24"/>
            </w:rPr>
            <w:t>. The concept of budgeting and sustainability is more closely related in the public sector because it uses much more resources as compared to the private sector. Additionally, the budgeting process allows the organizations to prioritize some projects over others. Sustainability considerations will allow the organizations to prioritize the options that eat up minimum resources</w:t>
          </w:r>
          <w:sdt>
            <w:sdtPr>
              <w:rPr>
                <w:rFonts w:ascii="Arial" w:hAnsi="Arial" w:cs="Arial"/>
                <w:sz w:val="24"/>
                <w:szCs w:val="24"/>
              </w:rPr>
              <w:id w:val="-372233532"/>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 CITATION Kim19 \l 1033 </w:instrText>
              </w:r>
              <w:r w:rsidRPr="00DF2DAF">
                <w:rPr>
                  <w:rFonts w:ascii="Arial" w:hAnsi="Arial" w:cs="Arial"/>
                  <w:sz w:val="24"/>
                  <w:szCs w:val="24"/>
                </w:rPr>
                <w:fldChar w:fldCharType="separate"/>
              </w:r>
              <w:r w:rsidRPr="00DF2DAF">
                <w:rPr>
                  <w:rFonts w:ascii="Arial" w:hAnsi="Arial" w:cs="Arial"/>
                  <w:noProof/>
                  <w:sz w:val="24"/>
                  <w:szCs w:val="24"/>
                </w:rPr>
                <w:t xml:space="preserve"> (Kimmel, et al., 2019)</w:t>
              </w:r>
              <w:r w:rsidRPr="00DF2DAF">
                <w:rPr>
                  <w:rFonts w:ascii="Arial" w:hAnsi="Arial" w:cs="Arial"/>
                  <w:sz w:val="24"/>
                  <w:szCs w:val="24"/>
                </w:rPr>
                <w:fldChar w:fldCharType="end"/>
              </w:r>
            </w:sdtContent>
          </w:sdt>
          <w:r w:rsidRPr="00DF2DAF">
            <w:rPr>
              <w:rFonts w:ascii="Arial" w:hAnsi="Arial" w:cs="Arial"/>
              <w:sz w:val="24"/>
              <w:szCs w:val="24"/>
            </w:rPr>
            <w:t xml:space="preserve">. </w:t>
          </w:r>
        </w:p>
        <w:p w14:paraId="3B19F731" w14:textId="241EB19B" w:rsidR="00DF2DAF" w:rsidRPr="00DF2DAF" w:rsidRDefault="00DF2DAF" w:rsidP="00FB58BB">
          <w:pPr>
            <w:spacing w:line="360" w:lineRule="auto"/>
            <w:jc w:val="both"/>
            <w:rPr>
              <w:rFonts w:ascii="Arial" w:hAnsi="Arial" w:cs="Arial"/>
              <w:sz w:val="24"/>
              <w:szCs w:val="24"/>
            </w:rPr>
          </w:pPr>
          <w:r w:rsidRPr="00DF2DAF">
            <w:rPr>
              <w:rFonts w:ascii="Arial" w:hAnsi="Arial" w:cs="Arial"/>
              <w:sz w:val="24"/>
              <w:szCs w:val="24"/>
            </w:rPr>
            <w:lastRenderedPageBreak/>
            <w:t>The traditional budget can help the organization in achieving sustainable development because all the figures are based on the previous budget values. This is especially true in the case of budgets made and implemented by the cities and other similar authorities</w:t>
          </w:r>
          <w:sdt>
            <w:sdtPr>
              <w:rPr>
                <w:rFonts w:ascii="Arial" w:hAnsi="Arial" w:cs="Arial"/>
                <w:sz w:val="24"/>
                <w:szCs w:val="24"/>
              </w:rPr>
              <w:id w:val="-124383007"/>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 CITATION Mow14 \l 1033 </w:instrText>
              </w:r>
              <w:r w:rsidRPr="00DF2DAF">
                <w:rPr>
                  <w:rFonts w:ascii="Arial" w:hAnsi="Arial" w:cs="Arial"/>
                  <w:sz w:val="24"/>
                  <w:szCs w:val="24"/>
                </w:rPr>
                <w:fldChar w:fldCharType="separate"/>
              </w:r>
              <w:r w:rsidRPr="00DF2DAF">
                <w:rPr>
                  <w:rFonts w:ascii="Arial" w:hAnsi="Arial" w:cs="Arial"/>
                  <w:noProof/>
                  <w:sz w:val="24"/>
                  <w:szCs w:val="24"/>
                </w:rPr>
                <w:t xml:space="preserve"> (Mowen, et al., 2014)</w:t>
              </w:r>
              <w:r w:rsidRPr="00DF2DAF">
                <w:rPr>
                  <w:rFonts w:ascii="Arial" w:hAnsi="Arial" w:cs="Arial"/>
                  <w:sz w:val="24"/>
                  <w:szCs w:val="24"/>
                </w:rPr>
                <w:fldChar w:fldCharType="end"/>
              </w:r>
            </w:sdtContent>
          </w:sdt>
          <w:r w:rsidRPr="00DF2DAF">
            <w:rPr>
              <w:rFonts w:ascii="Arial" w:hAnsi="Arial" w:cs="Arial"/>
              <w:sz w:val="24"/>
              <w:szCs w:val="24"/>
            </w:rPr>
            <w:t>. They can assess the patterns in the different expenditures to see whether they are increasing or decreasing</w:t>
          </w:r>
          <w:sdt>
            <w:sdtPr>
              <w:rPr>
                <w:rFonts w:ascii="Arial" w:hAnsi="Arial" w:cs="Arial"/>
                <w:sz w:val="24"/>
                <w:szCs w:val="24"/>
              </w:rPr>
              <w:id w:val="1241212738"/>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CITATION Placeholder1 \l 1033 </w:instrText>
              </w:r>
              <w:r w:rsidRPr="00DF2DAF">
                <w:rPr>
                  <w:rFonts w:ascii="Arial" w:hAnsi="Arial" w:cs="Arial"/>
                  <w:sz w:val="24"/>
                  <w:szCs w:val="24"/>
                </w:rPr>
                <w:fldChar w:fldCharType="separate"/>
              </w:r>
              <w:r w:rsidRPr="00DF2DAF">
                <w:rPr>
                  <w:rFonts w:ascii="Arial" w:hAnsi="Arial" w:cs="Arial"/>
                  <w:noProof/>
                  <w:sz w:val="24"/>
                  <w:szCs w:val="24"/>
                </w:rPr>
                <w:t xml:space="preserve"> (Walter, et al., 2015)</w:t>
              </w:r>
              <w:r w:rsidRPr="00DF2DAF">
                <w:rPr>
                  <w:rFonts w:ascii="Arial" w:hAnsi="Arial" w:cs="Arial"/>
                  <w:sz w:val="24"/>
                  <w:szCs w:val="24"/>
                </w:rPr>
                <w:fldChar w:fldCharType="end"/>
              </w:r>
            </w:sdtContent>
          </w:sdt>
          <w:r w:rsidRPr="00DF2DAF">
            <w:rPr>
              <w:rFonts w:ascii="Arial" w:hAnsi="Arial" w:cs="Arial"/>
              <w:sz w:val="24"/>
              <w:szCs w:val="24"/>
            </w:rPr>
            <w:t xml:space="preserve">. The organization will also have to assess whether some expenses are more closely related to sustainability or not. The expenses including the usage of non-renewable resources should be inspected more carefully and reduced. </w:t>
          </w:r>
        </w:p>
        <w:p w14:paraId="1F0AE6F1" w14:textId="7B5FB238" w:rsidR="00984E7E" w:rsidRDefault="00DF2DAF" w:rsidP="00FB58BB">
          <w:pPr>
            <w:spacing w:line="360" w:lineRule="auto"/>
            <w:jc w:val="both"/>
            <w:rPr>
              <w:rFonts w:ascii="Arial" w:hAnsi="Arial" w:cs="Arial"/>
              <w:sz w:val="24"/>
              <w:szCs w:val="24"/>
            </w:rPr>
          </w:pPr>
          <w:r w:rsidRPr="00DF2DAF">
            <w:rPr>
              <w:rFonts w:ascii="Arial" w:hAnsi="Arial" w:cs="Arial"/>
              <w:sz w:val="24"/>
              <w:szCs w:val="24"/>
            </w:rPr>
            <w:t>A Zero-Based Budget may not be used to assure sustainability for the organization because it starts from scratch every time. It is not possible for the organization to compare the current expenditures to the previous ones</w:t>
          </w:r>
          <w:sdt>
            <w:sdtPr>
              <w:rPr>
                <w:rFonts w:ascii="Arial" w:hAnsi="Arial" w:cs="Arial"/>
                <w:sz w:val="24"/>
                <w:szCs w:val="24"/>
              </w:rPr>
              <w:id w:val="1397703796"/>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 CITATION Wil19 \l 1033 </w:instrText>
              </w:r>
              <w:r w:rsidRPr="00DF2DAF">
                <w:rPr>
                  <w:rFonts w:ascii="Arial" w:hAnsi="Arial" w:cs="Arial"/>
                  <w:sz w:val="24"/>
                  <w:szCs w:val="24"/>
                </w:rPr>
                <w:fldChar w:fldCharType="separate"/>
              </w:r>
              <w:r w:rsidRPr="00DF2DAF">
                <w:rPr>
                  <w:rFonts w:ascii="Arial" w:hAnsi="Arial" w:cs="Arial"/>
                  <w:noProof/>
                  <w:sz w:val="24"/>
                  <w:szCs w:val="24"/>
                </w:rPr>
                <w:t xml:space="preserve"> (Lalli, 2019)</w:t>
              </w:r>
              <w:r w:rsidRPr="00DF2DAF">
                <w:rPr>
                  <w:rFonts w:ascii="Arial" w:hAnsi="Arial" w:cs="Arial"/>
                  <w:sz w:val="24"/>
                  <w:szCs w:val="24"/>
                </w:rPr>
                <w:fldChar w:fldCharType="end"/>
              </w:r>
            </w:sdtContent>
          </w:sdt>
          <w:r w:rsidRPr="00DF2DAF">
            <w:rPr>
              <w:rFonts w:ascii="Arial" w:hAnsi="Arial" w:cs="Arial"/>
              <w:sz w:val="24"/>
              <w:szCs w:val="24"/>
            </w:rPr>
            <w:t>. Thus, there is a lower possibility of improvement with this kind of budget. On the other hand, a traditional budget allows the decision-makers to compare the present expenses to the past ones. The management should also assess the variability among the expenses</w:t>
          </w:r>
          <w:sdt>
            <w:sdtPr>
              <w:rPr>
                <w:rFonts w:ascii="Arial" w:hAnsi="Arial" w:cs="Arial"/>
                <w:sz w:val="24"/>
                <w:szCs w:val="24"/>
              </w:rPr>
              <w:id w:val="1939483630"/>
              <w:citation/>
            </w:sdtPr>
            <w:sdtEndPr/>
            <w:sdtContent>
              <w:r w:rsidRPr="00DF2DAF">
                <w:rPr>
                  <w:rFonts w:ascii="Arial" w:hAnsi="Arial" w:cs="Arial"/>
                  <w:sz w:val="24"/>
                  <w:szCs w:val="24"/>
                </w:rPr>
                <w:fldChar w:fldCharType="begin"/>
              </w:r>
              <w:r w:rsidRPr="00DF2DAF">
                <w:rPr>
                  <w:rFonts w:ascii="Arial" w:hAnsi="Arial" w:cs="Arial"/>
                  <w:sz w:val="24"/>
                  <w:szCs w:val="24"/>
                </w:rPr>
                <w:instrText xml:space="preserve"> CITATION Rol05 \l 1033 </w:instrText>
              </w:r>
              <w:r w:rsidRPr="00DF2DAF">
                <w:rPr>
                  <w:rFonts w:ascii="Arial" w:hAnsi="Arial" w:cs="Arial"/>
                  <w:sz w:val="24"/>
                  <w:szCs w:val="24"/>
                </w:rPr>
                <w:fldChar w:fldCharType="separate"/>
              </w:r>
              <w:r w:rsidRPr="00DF2DAF">
                <w:rPr>
                  <w:rFonts w:ascii="Arial" w:hAnsi="Arial" w:cs="Arial"/>
                  <w:noProof/>
                  <w:sz w:val="24"/>
                  <w:szCs w:val="24"/>
                </w:rPr>
                <w:t xml:space="preserve"> (Holl &amp; Bohm, 2005)</w:t>
              </w:r>
              <w:r w:rsidRPr="00DF2DAF">
                <w:rPr>
                  <w:rFonts w:ascii="Arial" w:hAnsi="Arial" w:cs="Arial"/>
                  <w:sz w:val="24"/>
                  <w:szCs w:val="24"/>
                </w:rPr>
                <w:fldChar w:fldCharType="end"/>
              </w:r>
            </w:sdtContent>
          </w:sdt>
          <w:r w:rsidRPr="00DF2DAF">
            <w:rPr>
              <w:rFonts w:ascii="Arial" w:hAnsi="Arial" w:cs="Arial"/>
              <w:sz w:val="24"/>
              <w:szCs w:val="24"/>
            </w:rPr>
            <w:t>. The expenses with higher variability should be analysed in detail to see the reason for the variability. The major reason for this assessment is that variability among expenses does not allow the company to plan successfully for sustainable development. This is especially true if there is higher variability in the operational expenses incurred by the organization.</w:t>
          </w:r>
        </w:p>
        <w:p w14:paraId="7F6C153B" w14:textId="77777777" w:rsidR="00FB58BB" w:rsidRPr="003B082C" w:rsidRDefault="00FB58BB" w:rsidP="00FB58BB">
          <w:pPr>
            <w:spacing w:line="360" w:lineRule="auto"/>
            <w:jc w:val="both"/>
            <w:rPr>
              <w:rFonts w:ascii="Arial" w:hAnsi="Arial" w:cs="Arial"/>
              <w:sz w:val="24"/>
              <w:szCs w:val="24"/>
            </w:rPr>
          </w:pPr>
        </w:p>
        <w:p w14:paraId="3DB1E6EF" w14:textId="7B59FBCA" w:rsidR="00AA2A91" w:rsidRPr="00BE3ACE" w:rsidRDefault="00AA2A91" w:rsidP="00CA4710">
          <w:pPr>
            <w:pStyle w:val="Heading1"/>
            <w:spacing w:line="360" w:lineRule="auto"/>
            <w:jc w:val="both"/>
            <w:rPr>
              <w:rFonts w:ascii="Arial" w:hAnsi="Arial" w:cs="Arial"/>
              <w:color w:val="auto"/>
              <w:sz w:val="24"/>
              <w:szCs w:val="24"/>
            </w:rPr>
          </w:pPr>
          <w:bookmarkStart w:id="3" w:name="_Toc104895812"/>
          <w:bookmarkEnd w:id="2"/>
          <w:r w:rsidRPr="00BE3ACE">
            <w:rPr>
              <w:rFonts w:ascii="Arial" w:hAnsi="Arial" w:cs="Arial"/>
              <w:b/>
              <w:bCs/>
              <w:color w:val="auto"/>
              <w:sz w:val="24"/>
              <w:szCs w:val="24"/>
            </w:rPr>
            <w:t>Conclusion</w:t>
          </w:r>
          <w:bookmarkEnd w:id="3"/>
          <w:r w:rsidR="00D854A5" w:rsidRPr="00BE3ACE">
            <w:rPr>
              <w:rFonts w:ascii="Arial" w:hAnsi="Arial" w:cs="Arial"/>
              <w:color w:val="auto"/>
              <w:sz w:val="24"/>
              <w:szCs w:val="24"/>
            </w:rPr>
            <w:t xml:space="preserve"> </w:t>
          </w:r>
        </w:p>
        <w:p w14:paraId="752B022F" w14:textId="28A6D917" w:rsidR="00DE60B9" w:rsidRPr="00647D08" w:rsidRDefault="00DE60B9" w:rsidP="00CA4710">
          <w:pPr>
            <w:spacing w:line="360" w:lineRule="auto"/>
            <w:jc w:val="both"/>
            <w:rPr>
              <w:rFonts w:ascii="Arial" w:hAnsi="Arial" w:cs="Arial"/>
              <w:sz w:val="24"/>
              <w:szCs w:val="24"/>
            </w:rPr>
          </w:pPr>
        </w:p>
        <w:p w14:paraId="1B283589" w14:textId="77777777" w:rsidR="00647D08" w:rsidRPr="00647D08" w:rsidRDefault="00647D08" w:rsidP="00FB58BB">
          <w:pPr>
            <w:spacing w:line="360" w:lineRule="auto"/>
            <w:jc w:val="both"/>
            <w:rPr>
              <w:rFonts w:ascii="Arial" w:hAnsi="Arial" w:cs="Arial"/>
              <w:sz w:val="24"/>
              <w:szCs w:val="24"/>
            </w:rPr>
          </w:pPr>
          <w:r w:rsidRPr="00647D08">
            <w:rPr>
              <w:rFonts w:ascii="Arial" w:hAnsi="Arial" w:cs="Arial"/>
              <w:sz w:val="24"/>
              <w:szCs w:val="24"/>
            </w:rPr>
            <w:t xml:space="preserve">The above analysis has been undertaken to see whether the company can use zero-based budget or not. Since the exact nature of the company operations has not been mentioned in the details, it is very difficult to comment on the effectiveness of any type of budgeting. A major issue related to zero-based budgeting is that it cannot be used in the future to predict any expenses. Additionally, the sustainability aspect is also more closely related to traditional budgeting as compared to zero-based budgeting. </w:t>
          </w:r>
        </w:p>
        <w:p w14:paraId="7183E8CD" w14:textId="77777777" w:rsidR="00D73270" w:rsidRPr="00BE3ACE" w:rsidRDefault="00D73270" w:rsidP="00FB58BB">
          <w:pPr>
            <w:spacing w:line="360" w:lineRule="auto"/>
            <w:jc w:val="both"/>
            <w:rPr>
              <w:rFonts w:ascii="Arial" w:hAnsi="Arial" w:cs="Arial"/>
              <w:sz w:val="24"/>
              <w:szCs w:val="24"/>
            </w:rPr>
          </w:pPr>
        </w:p>
        <w:p w14:paraId="7956E2D7" w14:textId="6B9BC915" w:rsidR="0097577E" w:rsidRPr="00BE3ACE" w:rsidRDefault="00E42C5F" w:rsidP="00CA4710">
          <w:pPr>
            <w:spacing w:line="360" w:lineRule="auto"/>
            <w:jc w:val="both"/>
            <w:rPr>
              <w:rFonts w:ascii="Arial" w:hAnsi="Arial" w:cs="Arial"/>
              <w:b/>
              <w:bCs/>
              <w:sz w:val="24"/>
              <w:szCs w:val="24"/>
            </w:rPr>
          </w:pPr>
          <w:r w:rsidRPr="00BE3ACE">
            <w:rPr>
              <w:rFonts w:ascii="Arial" w:hAnsi="Arial" w:cs="Arial"/>
              <w:b/>
              <w:bCs/>
              <w:sz w:val="24"/>
              <w:szCs w:val="24"/>
            </w:rPr>
            <w:t>Word count:</w:t>
          </w:r>
          <w:r w:rsidR="00945AF7" w:rsidRPr="00BE3ACE">
            <w:rPr>
              <w:rFonts w:ascii="Arial" w:hAnsi="Arial" w:cs="Arial"/>
              <w:b/>
              <w:bCs/>
              <w:sz w:val="24"/>
              <w:szCs w:val="24"/>
            </w:rPr>
            <w:t xml:space="preserve"> </w:t>
          </w:r>
          <w:r w:rsidR="001D5665">
            <w:rPr>
              <w:rFonts w:ascii="Arial" w:hAnsi="Arial" w:cs="Arial"/>
              <w:b/>
              <w:bCs/>
              <w:sz w:val="24"/>
              <w:szCs w:val="24"/>
            </w:rPr>
            <w:t>1.</w:t>
          </w:r>
          <w:r w:rsidR="00647D37">
            <w:rPr>
              <w:rFonts w:ascii="Arial" w:hAnsi="Arial" w:cs="Arial"/>
              <w:b/>
              <w:bCs/>
              <w:sz w:val="24"/>
              <w:szCs w:val="24"/>
            </w:rPr>
            <w:t>558</w:t>
          </w:r>
        </w:p>
        <w:bookmarkStart w:id="4" w:name="_Toc104895813" w:displacedByCustomXml="next"/>
        <w:sdt>
          <w:sdtPr>
            <w:rPr>
              <w:rFonts w:ascii="Arial" w:eastAsiaTheme="minorHAnsi" w:hAnsi="Arial" w:cs="Arial"/>
              <w:color w:val="auto"/>
              <w:sz w:val="24"/>
              <w:szCs w:val="24"/>
            </w:rPr>
            <w:id w:val="107166889"/>
            <w:docPartObj>
              <w:docPartGallery w:val="Bibliographies"/>
              <w:docPartUnique/>
            </w:docPartObj>
          </w:sdtPr>
          <w:sdtEndPr/>
          <w:sdtContent>
            <w:bookmarkEnd w:id="4" w:displacedByCustomXml="next"/>
            <w:sdt>
              <w:sdtPr>
                <w:rPr>
                  <w:rFonts w:asciiTheme="minorHAnsi" w:eastAsiaTheme="minorHAnsi" w:hAnsiTheme="minorHAnsi" w:cstheme="minorBidi"/>
                  <w:color w:val="auto"/>
                  <w:sz w:val="22"/>
                  <w:szCs w:val="22"/>
                </w:rPr>
                <w:id w:val="-1537109816"/>
                <w:docPartObj>
                  <w:docPartGallery w:val="Bibliographies"/>
                  <w:docPartUnique/>
                </w:docPartObj>
              </w:sdtPr>
              <w:sdtEndPr>
                <w:rPr>
                  <w:rFonts w:ascii="Arial" w:hAnsi="Arial" w:cs="Arial"/>
                </w:rPr>
              </w:sdtEndPr>
              <w:sdtContent>
                <w:p w14:paraId="0A4B1679" w14:textId="35497693" w:rsidR="00F479EA" w:rsidRPr="00F479EA" w:rsidRDefault="00326F3A" w:rsidP="00F479EA">
                  <w:pPr>
                    <w:pStyle w:val="Heading1"/>
                    <w:spacing w:line="480" w:lineRule="auto"/>
                    <w:jc w:val="both"/>
                    <w:rPr>
                      <w:rFonts w:ascii="Arial" w:hAnsi="Arial" w:cs="Arial"/>
                      <w:b/>
                      <w:bCs/>
                      <w:color w:val="auto"/>
                      <w:sz w:val="24"/>
                      <w:szCs w:val="24"/>
                    </w:rPr>
                  </w:pPr>
                  <w:r w:rsidRPr="00326F3A">
                    <w:rPr>
                      <w:rFonts w:ascii="Arial" w:hAnsi="Arial" w:cs="Arial"/>
                      <w:b/>
                      <w:bCs/>
                      <w:color w:val="auto"/>
                      <w:sz w:val="24"/>
                      <w:szCs w:val="24"/>
                    </w:rPr>
                    <w:t>Bibliography</w:t>
                  </w:r>
                </w:p>
                <w:sdt>
                  <w:sdtPr>
                    <w:rPr>
                      <w:rFonts w:ascii="Arial" w:hAnsi="Arial" w:cs="Arial"/>
                      <w:sz w:val="24"/>
                      <w:szCs w:val="24"/>
                    </w:rPr>
                    <w:id w:val="1945562401"/>
                    <w:bibliography/>
                  </w:sdtPr>
                  <w:sdtEndPr>
                    <w:rPr>
                      <w:sz w:val="22"/>
                      <w:szCs w:val="22"/>
                    </w:rPr>
                  </w:sdtEndPr>
                  <w:sdtContent>
                    <w:p w14:paraId="20C3F2FC"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sz w:val="24"/>
                          <w:szCs w:val="24"/>
                        </w:rPr>
                        <w:fldChar w:fldCharType="begin"/>
                      </w:r>
                      <w:r w:rsidRPr="00326F3A">
                        <w:rPr>
                          <w:rFonts w:ascii="Arial" w:hAnsi="Arial" w:cs="Arial"/>
                          <w:sz w:val="24"/>
                          <w:szCs w:val="24"/>
                        </w:rPr>
                        <w:instrText xml:space="preserve"> BIBLIOGRAPHY </w:instrText>
                      </w:r>
                      <w:r w:rsidRPr="00326F3A">
                        <w:rPr>
                          <w:rFonts w:ascii="Arial" w:hAnsi="Arial" w:cs="Arial"/>
                          <w:sz w:val="24"/>
                          <w:szCs w:val="24"/>
                        </w:rPr>
                        <w:fldChar w:fldCharType="separate"/>
                      </w:r>
                      <w:r w:rsidRPr="00326F3A">
                        <w:rPr>
                          <w:rFonts w:ascii="Arial" w:hAnsi="Arial" w:cs="Arial"/>
                          <w:noProof/>
                          <w:sz w:val="24"/>
                          <w:szCs w:val="24"/>
                        </w:rPr>
                        <w:t xml:space="preserve">Atrill &amp; McClaney, 2015. </w:t>
                      </w:r>
                      <w:r w:rsidRPr="00326F3A">
                        <w:rPr>
                          <w:rFonts w:ascii="Arial" w:hAnsi="Arial" w:cs="Arial"/>
                          <w:i/>
                          <w:iCs/>
                          <w:noProof/>
                          <w:sz w:val="24"/>
                          <w:szCs w:val="24"/>
                        </w:rPr>
                        <w:t xml:space="preserve">Accounting: an introduction. </w:t>
                      </w:r>
                      <w:r w:rsidRPr="00326F3A">
                        <w:rPr>
                          <w:rFonts w:ascii="Arial" w:hAnsi="Arial" w:cs="Arial"/>
                          <w:noProof/>
                          <w:sz w:val="24"/>
                          <w:szCs w:val="24"/>
                        </w:rPr>
                        <w:t>s.l.:Pearson Australia.</w:t>
                      </w:r>
                    </w:p>
                    <w:p w14:paraId="5C0EE351" w14:textId="77777777" w:rsidR="004762C7" w:rsidRDefault="00326F3A" w:rsidP="00FB58BB">
                      <w:pPr>
                        <w:pStyle w:val="Bibliography"/>
                        <w:numPr>
                          <w:ilvl w:val="0"/>
                          <w:numId w:val="5"/>
                        </w:numPr>
                        <w:spacing w:line="360" w:lineRule="auto"/>
                        <w:jc w:val="both"/>
                        <w:rPr>
                          <w:rFonts w:ascii="Arial" w:hAnsi="Arial" w:cs="Arial"/>
                          <w:i/>
                          <w:iCs/>
                          <w:noProof/>
                          <w:sz w:val="24"/>
                          <w:szCs w:val="24"/>
                        </w:rPr>
                      </w:pPr>
                      <w:r w:rsidRPr="00326F3A">
                        <w:rPr>
                          <w:rFonts w:ascii="Arial" w:hAnsi="Arial" w:cs="Arial"/>
                          <w:noProof/>
                          <w:sz w:val="24"/>
                          <w:szCs w:val="24"/>
                        </w:rPr>
                        <w:t xml:space="preserve">Bloom, M., 2009. Accounting for Goodwill. </w:t>
                      </w:r>
                      <w:r w:rsidRPr="00326F3A">
                        <w:rPr>
                          <w:rFonts w:ascii="Arial" w:hAnsi="Arial" w:cs="Arial"/>
                          <w:i/>
                          <w:iCs/>
                          <w:noProof/>
                          <w:sz w:val="24"/>
                          <w:szCs w:val="24"/>
                        </w:rPr>
                        <w:t>ABACUS.</w:t>
                      </w:r>
                    </w:p>
                    <w:p w14:paraId="24538A7D" w14:textId="0EF2BCFD" w:rsidR="004762C7" w:rsidRPr="00110FF5" w:rsidRDefault="004762C7" w:rsidP="00FB58BB">
                      <w:pPr>
                        <w:pStyle w:val="Bibliography"/>
                        <w:numPr>
                          <w:ilvl w:val="0"/>
                          <w:numId w:val="5"/>
                        </w:numPr>
                        <w:spacing w:line="360" w:lineRule="auto"/>
                        <w:jc w:val="both"/>
                        <w:rPr>
                          <w:rFonts w:ascii="Arial" w:hAnsi="Arial" w:cs="Arial"/>
                          <w:i/>
                          <w:iCs/>
                          <w:noProof/>
                          <w:sz w:val="24"/>
                          <w:szCs w:val="24"/>
                        </w:rPr>
                      </w:pPr>
                      <w:r w:rsidRPr="004762C7">
                        <w:rPr>
                          <w:rFonts w:ascii="Arial" w:hAnsi="Arial" w:cs="Arial"/>
                          <w:sz w:val="24"/>
                          <w:szCs w:val="24"/>
                        </w:rPr>
                        <w:t xml:space="preserve">Borad, S., 2022. Zero based vs. incremental budgeting. </w:t>
                      </w:r>
                      <w:r w:rsidRPr="004762C7">
                        <w:rPr>
                          <w:rFonts w:ascii="Arial" w:hAnsi="Arial" w:cs="Arial"/>
                          <w:i/>
                          <w:sz w:val="24"/>
                          <w:szCs w:val="24"/>
                        </w:rPr>
                        <w:t>eFinanceManagement</w:t>
                      </w:r>
                      <w:r w:rsidRPr="004762C7">
                        <w:rPr>
                          <w:rFonts w:ascii="Arial" w:hAnsi="Arial" w:cs="Arial"/>
                          <w:sz w:val="24"/>
                          <w:szCs w:val="24"/>
                        </w:rPr>
                        <w:t xml:space="preserve">. Available at: https://efinancemanagement.com/budgeting/zero-based/zero-based-vs-incremental-budgeting [Accessed July </w:t>
                      </w:r>
                      <w:r w:rsidR="002E2F1A">
                        <w:rPr>
                          <w:rFonts w:ascii="Arial" w:hAnsi="Arial" w:cs="Arial"/>
                          <w:sz w:val="24"/>
                          <w:szCs w:val="24"/>
                        </w:rPr>
                        <w:t>1st</w:t>
                      </w:r>
                      <w:r w:rsidRPr="004762C7">
                        <w:rPr>
                          <w:rFonts w:ascii="Arial" w:hAnsi="Arial" w:cs="Arial"/>
                          <w:sz w:val="24"/>
                          <w:szCs w:val="24"/>
                        </w:rPr>
                        <w:t xml:space="preserve">, 2022]. </w:t>
                      </w:r>
                    </w:p>
                    <w:p w14:paraId="1EA7645D"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Flynn, D. &amp; Koornhof, C., 2005. </w:t>
                      </w:r>
                      <w:r w:rsidRPr="00326F3A">
                        <w:rPr>
                          <w:rFonts w:ascii="Arial" w:hAnsi="Arial" w:cs="Arial"/>
                          <w:i/>
                          <w:iCs/>
                          <w:noProof/>
                          <w:sz w:val="24"/>
                          <w:szCs w:val="24"/>
                        </w:rPr>
                        <w:t xml:space="preserve">Fundamental Accounting. </w:t>
                      </w:r>
                      <w:r w:rsidRPr="00326F3A">
                        <w:rPr>
                          <w:rFonts w:ascii="Arial" w:hAnsi="Arial" w:cs="Arial"/>
                          <w:noProof/>
                          <w:sz w:val="24"/>
                          <w:szCs w:val="24"/>
                        </w:rPr>
                        <w:t>s.l.:Juta Limited.</w:t>
                      </w:r>
                    </w:p>
                    <w:p w14:paraId="554B5C3E"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Franklyn, M. &amp; Graybeal, P., 2019. </w:t>
                      </w:r>
                      <w:r w:rsidRPr="00326F3A">
                        <w:rPr>
                          <w:rFonts w:ascii="Arial" w:hAnsi="Arial" w:cs="Arial"/>
                          <w:i/>
                          <w:iCs/>
                          <w:noProof/>
                          <w:sz w:val="24"/>
                          <w:szCs w:val="24"/>
                        </w:rPr>
                        <w:t xml:space="preserve">Principles of Accounting Volume 1 - Financial Accounting. </w:t>
                      </w:r>
                      <w:r w:rsidRPr="00326F3A">
                        <w:rPr>
                          <w:rFonts w:ascii="Arial" w:hAnsi="Arial" w:cs="Arial"/>
                          <w:noProof/>
                          <w:sz w:val="24"/>
                          <w:szCs w:val="24"/>
                        </w:rPr>
                        <w:t>s.l.:12th Media Services.</w:t>
                      </w:r>
                    </w:p>
                    <w:p w14:paraId="34FD61D2"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Heisinger, K. &amp; Hoyle, J., 2018. </w:t>
                      </w:r>
                      <w:r w:rsidRPr="00326F3A">
                        <w:rPr>
                          <w:rFonts w:ascii="Arial" w:hAnsi="Arial" w:cs="Arial"/>
                          <w:i/>
                          <w:iCs/>
                          <w:noProof/>
                          <w:sz w:val="24"/>
                          <w:szCs w:val="24"/>
                        </w:rPr>
                        <w:t xml:space="preserve">Managerial Accounting. </w:t>
                      </w:r>
                      <w:r w:rsidRPr="00326F3A">
                        <w:rPr>
                          <w:rFonts w:ascii="Arial" w:hAnsi="Arial" w:cs="Arial"/>
                          <w:noProof/>
                          <w:sz w:val="24"/>
                          <w:szCs w:val="24"/>
                        </w:rPr>
                        <w:t>s.l.:Flatworld Knowledge.</w:t>
                      </w:r>
                    </w:p>
                    <w:p w14:paraId="4A2AE4A7"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Holl, R. &amp; Bohm, s., 2005. </w:t>
                      </w:r>
                      <w:r w:rsidRPr="00326F3A">
                        <w:rPr>
                          <w:rFonts w:ascii="Arial" w:hAnsi="Arial" w:cs="Arial"/>
                          <w:i/>
                          <w:iCs/>
                          <w:noProof/>
                          <w:sz w:val="24"/>
                          <w:szCs w:val="24"/>
                        </w:rPr>
                        <w:t xml:space="preserve">Zero Based Budgeting using the Balanced Scorecard. </w:t>
                      </w:r>
                      <w:r w:rsidRPr="00326F3A">
                        <w:rPr>
                          <w:rFonts w:ascii="Arial" w:hAnsi="Arial" w:cs="Arial"/>
                          <w:noProof/>
                          <w:sz w:val="24"/>
                          <w:szCs w:val="24"/>
                        </w:rPr>
                        <w:t>s.l.:GRIN.</w:t>
                      </w:r>
                    </w:p>
                    <w:p w14:paraId="3565F1BD"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Holtzman, M., 2013. </w:t>
                      </w:r>
                      <w:r w:rsidRPr="00326F3A">
                        <w:rPr>
                          <w:rFonts w:ascii="Arial" w:hAnsi="Arial" w:cs="Arial"/>
                          <w:i/>
                          <w:iCs/>
                          <w:noProof/>
                          <w:sz w:val="24"/>
                          <w:szCs w:val="24"/>
                        </w:rPr>
                        <w:t xml:space="preserve">Managerial Accounting for Dummies. </w:t>
                      </w:r>
                      <w:r w:rsidRPr="00326F3A">
                        <w:rPr>
                          <w:rFonts w:ascii="Arial" w:hAnsi="Arial" w:cs="Arial"/>
                          <w:noProof/>
                          <w:sz w:val="24"/>
                          <w:szCs w:val="24"/>
                        </w:rPr>
                        <w:t>s.l.:Wiley.</w:t>
                      </w:r>
                    </w:p>
                    <w:p w14:paraId="4808B29E"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Khan, M., 2016. Corporate Sustainability: First Evidence on Materiality. </w:t>
                      </w:r>
                      <w:r w:rsidRPr="00326F3A">
                        <w:rPr>
                          <w:rFonts w:ascii="Arial" w:hAnsi="Arial" w:cs="Arial"/>
                          <w:i/>
                          <w:iCs/>
                          <w:noProof/>
                          <w:sz w:val="24"/>
                          <w:szCs w:val="24"/>
                        </w:rPr>
                        <w:t>American Accounting Association.</w:t>
                      </w:r>
                    </w:p>
                    <w:p w14:paraId="5C7C3887"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Kieso, Weygandt &amp; Warfield, 2018. </w:t>
                      </w:r>
                      <w:r w:rsidRPr="00326F3A">
                        <w:rPr>
                          <w:rFonts w:ascii="Arial" w:hAnsi="Arial" w:cs="Arial"/>
                          <w:i/>
                          <w:iCs/>
                          <w:noProof/>
                          <w:sz w:val="24"/>
                          <w:szCs w:val="24"/>
                        </w:rPr>
                        <w:t xml:space="preserve">Intermediate Accounting: IFRS Edition. </w:t>
                      </w:r>
                      <w:r w:rsidRPr="00326F3A">
                        <w:rPr>
                          <w:rFonts w:ascii="Arial" w:hAnsi="Arial" w:cs="Arial"/>
                          <w:noProof/>
                          <w:sz w:val="24"/>
                          <w:szCs w:val="24"/>
                        </w:rPr>
                        <w:t>s.l.:John Wiley &amp; Sons.</w:t>
                      </w:r>
                    </w:p>
                    <w:p w14:paraId="75C162BF"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Kimmel, P., Weygandt, J. &amp; Kieso, D., 2019. </w:t>
                      </w:r>
                      <w:r w:rsidRPr="00326F3A">
                        <w:rPr>
                          <w:rFonts w:ascii="Arial" w:hAnsi="Arial" w:cs="Arial"/>
                          <w:i/>
                          <w:iCs/>
                          <w:noProof/>
                          <w:sz w:val="24"/>
                          <w:szCs w:val="24"/>
                        </w:rPr>
                        <w:t xml:space="preserve">Accounting: Tools for Business Decision Making. </w:t>
                      </w:r>
                      <w:r w:rsidRPr="00326F3A">
                        <w:rPr>
                          <w:rFonts w:ascii="Arial" w:hAnsi="Arial" w:cs="Arial"/>
                          <w:noProof/>
                          <w:sz w:val="24"/>
                          <w:szCs w:val="24"/>
                        </w:rPr>
                        <w:t>7 ed. s.l.:Wiley.</w:t>
                      </w:r>
                    </w:p>
                    <w:p w14:paraId="205BCE07"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Lalli, W., 2019. </w:t>
                      </w:r>
                      <w:r w:rsidRPr="00326F3A">
                        <w:rPr>
                          <w:rFonts w:ascii="Arial" w:hAnsi="Arial" w:cs="Arial"/>
                          <w:i/>
                          <w:iCs/>
                          <w:noProof/>
                          <w:sz w:val="24"/>
                          <w:szCs w:val="24"/>
                        </w:rPr>
                        <w:t xml:space="preserve">Handbook of Budgeting. </w:t>
                      </w:r>
                      <w:r w:rsidRPr="00326F3A">
                        <w:rPr>
                          <w:rFonts w:ascii="Arial" w:hAnsi="Arial" w:cs="Arial"/>
                          <w:noProof/>
                          <w:sz w:val="24"/>
                          <w:szCs w:val="24"/>
                        </w:rPr>
                        <w:t>s.l.:Wiley.</w:t>
                      </w:r>
                    </w:p>
                    <w:p w14:paraId="44DABFDA" w14:textId="77777777" w:rsidR="00326F3A"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Li, W. s., 2017. </w:t>
                      </w:r>
                      <w:r w:rsidRPr="00326F3A">
                        <w:rPr>
                          <w:rFonts w:ascii="Arial" w:hAnsi="Arial" w:cs="Arial"/>
                          <w:i/>
                          <w:iCs/>
                          <w:noProof/>
                          <w:sz w:val="24"/>
                          <w:szCs w:val="24"/>
                        </w:rPr>
                        <w:t xml:space="preserve">Strategic Management Accounting. </w:t>
                      </w:r>
                      <w:r w:rsidRPr="00326F3A">
                        <w:rPr>
                          <w:rFonts w:ascii="Arial" w:hAnsi="Arial" w:cs="Arial"/>
                          <w:noProof/>
                          <w:sz w:val="24"/>
                          <w:szCs w:val="24"/>
                        </w:rPr>
                        <w:t>s.l.:Springer.</w:t>
                      </w:r>
                    </w:p>
                    <w:p w14:paraId="3126BC11"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326F3A">
                        <w:rPr>
                          <w:rFonts w:ascii="Arial" w:hAnsi="Arial" w:cs="Arial"/>
                          <w:noProof/>
                          <w:sz w:val="24"/>
                          <w:szCs w:val="24"/>
                        </w:rPr>
                        <w:t xml:space="preserve">Markmann, A. &amp; Ghani, W., 2019. Business Ethics and Financial Reporting: Earnings Management During Periods of Economic Recessions. </w:t>
                      </w:r>
                      <w:r w:rsidRPr="00326F3A">
                        <w:rPr>
                          <w:rFonts w:ascii="Arial" w:hAnsi="Arial" w:cs="Arial"/>
                          <w:i/>
                          <w:iCs/>
                          <w:noProof/>
                          <w:sz w:val="24"/>
                          <w:szCs w:val="24"/>
                        </w:rPr>
                        <w:t xml:space="preserve">Journal of Forensic and Investigative Accounting, </w:t>
                      </w:r>
                      <w:r w:rsidRPr="00326F3A">
                        <w:rPr>
                          <w:rFonts w:ascii="Arial" w:hAnsi="Arial" w:cs="Arial"/>
                          <w:noProof/>
                          <w:sz w:val="24"/>
                          <w:szCs w:val="24"/>
                        </w:rPr>
                        <w:t>pp. 64-81.</w:t>
                      </w:r>
                    </w:p>
                    <w:p w14:paraId="1C5A90A1"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Menifield, C., 2021. </w:t>
                      </w:r>
                      <w:r w:rsidRPr="002A15AD">
                        <w:rPr>
                          <w:rFonts w:ascii="Arial" w:hAnsi="Arial" w:cs="Arial"/>
                          <w:i/>
                          <w:iCs/>
                          <w:noProof/>
                          <w:sz w:val="24"/>
                          <w:szCs w:val="24"/>
                        </w:rPr>
                        <w:t xml:space="preserve">The basics of Public Budgeting and Financial Management. </w:t>
                      </w:r>
                      <w:r w:rsidRPr="002A15AD">
                        <w:rPr>
                          <w:rFonts w:ascii="Arial" w:hAnsi="Arial" w:cs="Arial"/>
                          <w:noProof/>
                          <w:sz w:val="24"/>
                          <w:szCs w:val="24"/>
                        </w:rPr>
                        <w:t>s.l.:Hamilton Books.</w:t>
                      </w:r>
                    </w:p>
                    <w:p w14:paraId="13F37112"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lastRenderedPageBreak/>
                        <w:t xml:space="preserve">Mohr, Z., 2017. </w:t>
                      </w:r>
                      <w:r w:rsidRPr="002A15AD">
                        <w:rPr>
                          <w:rFonts w:ascii="Arial" w:hAnsi="Arial" w:cs="Arial"/>
                          <w:i/>
                          <w:iCs/>
                          <w:noProof/>
                          <w:sz w:val="24"/>
                          <w:szCs w:val="24"/>
                        </w:rPr>
                        <w:t xml:space="preserve">Cost Accounting in Government. </w:t>
                      </w:r>
                      <w:r w:rsidRPr="002A15AD">
                        <w:rPr>
                          <w:rFonts w:ascii="Arial" w:hAnsi="Arial" w:cs="Arial"/>
                          <w:noProof/>
                          <w:sz w:val="24"/>
                          <w:szCs w:val="24"/>
                        </w:rPr>
                        <w:t>s.l.:Routledge.</w:t>
                      </w:r>
                    </w:p>
                    <w:p w14:paraId="1690276A"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Mowen, Hansen &amp; Heitger, 2014. </w:t>
                      </w:r>
                      <w:r w:rsidRPr="002A15AD">
                        <w:rPr>
                          <w:rFonts w:ascii="Arial" w:hAnsi="Arial" w:cs="Arial"/>
                          <w:i/>
                          <w:iCs/>
                          <w:noProof/>
                          <w:sz w:val="24"/>
                          <w:szCs w:val="24"/>
                        </w:rPr>
                        <w:t xml:space="preserve">Cornerstones of Managerial Accounting. </w:t>
                      </w:r>
                      <w:r w:rsidRPr="002A15AD">
                        <w:rPr>
                          <w:rFonts w:ascii="Arial" w:hAnsi="Arial" w:cs="Arial"/>
                          <w:noProof/>
                          <w:sz w:val="24"/>
                          <w:szCs w:val="24"/>
                        </w:rPr>
                        <w:t>s.l.:Cengage Learning.</w:t>
                      </w:r>
                    </w:p>
                    <w:p w14:paraId="563B9136"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Needles, B. E., Powers, M. &amp; Crosson, S. V., 2011. </w:t>
                      </w:r>
                      <w:r w:rsidRPr="002A15AD">
                        <w:rPr>
                          <w:rFonts w:ascii="Arial" w:hAnsi="Arial" w:cs="Arial"/>
                          <w:i/>
                          <w:iCs/>
                          <w:noProof/>
                          <w:sz w:val="24"/>
                          <w:szCs w:val="24"/>
                        </w:rPr>
                        <w:t xml:space="preserve">Principles of Accounting. </w:t>
                      </w:r>
                      <w:r w:rsidRPr="002A15AD">
                        <w:rPr>
                          <w:rFonts w:ascii="Arial" w:hAnsi="Arial" w:cs="Arial"/>
                          <w:noProof/>
                          <w:sz w:val="24"/>
                          <w:szCs w:val="24"/>
                        </w:rPr>
                        <w:t>s.l.:Cengage Learning.</w:t>
                      </w:r>
                    </w:p>
                    <w:p w14:paraId="10B93B1C"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Powell, S., 2010. Accounting for intangible assets: current requirements, key players and future directions. </w:t>
                      </w:r>
                      <w:r w:rsidRPr="002A15AD">
                        <w:rPr>
                          <w:rFonts w:ascii="Arial" w:hAnsi="Arial" w:cs="Arial"/>
                          <w:i/>
                          <w:iCs/>
                          <w:noProof/>
                          <w:sz w:val="24"/>
                          <w:szCs w:val="24"/>
                        </w:rPr>
                        <w:t xml:space="preserve">European accounting Review, </w:t>
                      </w:r>
                      <w:r w:rsidRPr="002A15AD">
                        <w:rPr>
                          <w:rFonts w:ascii="Arial" w:hAnsi="Arial" w:cs="Arial"/>
                          <w:noProof/>
                          <w:sz w:val="24"/>
                          <w:szCs w:val="24"/>
                        </w:rPr>
                        <w:t>12(4), pp. 797-811.</w:t>
                      </w:r>
                    </w:p>
                    <w:p w14:paraId="1B3396CB"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Rajasekaran, 2011. </w:t>
                      </w:r>
                      <w:r w:rsidRPr="002A15AD">
                        <w:rPr>
                          <w:rFonts w:ascii="Arial" w:hAnsi="Arial" w:cs="Arial"/>
                          <w:i/>
                          <w:iCs/>
                          <w:noProof/>
                          <w:sz w:val="24"/>
                          <w:szCs w:val="24"/>
                        </w:rPr>
                        <w:t xml:space="preserve">Cost Accounting. </w:t>
                      </w:r>
                      <w:r w:rsidRPr="002A15AD">
                        <w:rPr>
                          <w:rFonts w:ascii="Arial" w:hAnsi="Arial" w:cs="Arial"/>
                          <w:noProof/>
                          <w:sz w:val="24"/>
                          <w:szCs w:val="24"/>
                        </w:rPr>
                        <w:t>s.l.:Pearson.</w:t>
                      </w:r>
                    </w:p>
                    <w:p w14:paraId="65675574"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Schreim, S., 2019. </w:t>
                      </w:r>
                      <w:r w:rsidRPr="002A15AD">
                        <w:rPr>
                          <w:rFonts w:ascii="Arial" w:hAnsi="Arial" w:cs="Arial"/>
                          <w:i/>
                          <w:iCs/>
                          <w:noProof/>
                          <w:sz w:val="24"/>
                          <w:szCs w:val="24"/>
                        </w:rPr>
                        <w:t xml:space="preserve">Zero-Based Budgeting (ZBB) To Zero-Based Everything. </w:t>
                      </w:r>
                      <w:r w:rsidRPr="002A15AD">
                        <w:rPr>
                          <w:rFonts w:ascii="Arial" w:hAnsi="Arial" w:cs="Arial"/>
                          <w:noProof/>
                          <w:sz w:val="24"/>
                          <w:szCs w:val="24"/>
                        </w:rPr>
                        <w:t>s.l.:s.n.</w:t>
                      </w:r>
                    </w:p>
                    <w:p w14:paraId="13F41454" w14:textId="77777777" w:rsidR="00764EA6" w:rsidRDefault="00385DF6" w:rsidP="00FB58BB">
                      <w:pPr>
                        <w:pStyle w:val="ListParagraph"/>
                        <w:numPr>
                          <w:ilvl w:val="0"/>
                          <w:numId w:val="5"/>
                        </w:numPr>
                        <w:spacing w:before="100" w:beforeAutospacing="1" w:after="100" w:afterAutospacing="1" w:line="360" w:lineRule="auto"/>
                        <w:jc w:val="both"/>
                        <w:rPr>
                          <w:rFonts w:ascii="Arial" w:hAnsi="Arial" w:cs="Arial"/>
                          <w:sz w:val="24"/>
                          <w:szCs w:val="24"/>
                        </w:rPr>
                      </w:pPr>
                      <w:r w:rsidRPr="00A7712B">
                        <w:rPr>
                          <w:rFonts w:ascii="Arial" w:hAnsi="Arial" w:cs="Arial"/>
                          <w:sz w:val="24"/>
                          <w:szCs w:val="24"/>
                        </w:rPr>
                        <w:t xml:space="preserve">Sharma, R., 2022. What is budgeting? Types and importance of budgeting. </w:t>
                      </w:r>
                      <w:r w:rsidRPr="00A7712B">
                        <w:rPr>
                          <w:rFonts w:ascii="Arial" w:hAnsi="Arial" w:cs="Arial"/>
                          <w:i/>
                          <w:sz w:val="24"/>
                          <w:szCs w:val="24"/>
                        </w:rPr>
                        <w:t>EDUCBA</w:t>
                      </w:r>
                      <w:r w:rsidRPr="00A7712B">
                        <w:rPr>
                          <w:rFonts w:ascii="Arial" w:hAnsi="Arial" w:cs="Arial"/>
                          <w:sz w:val="24"/>
                          <w:szCs w:val="24"/>
                        </w:rPr>
                        <w:t xml:space="preserve">. Available at: https://www.educba.com/what-is-budgeting/ [Accessed July </w:t>
                      </w:r>
                      <w:r w:rsidR="002E2F1A">
                        <w:rPr>
                          <w:rFonts w:ascii="Arial" w:hAnsi="Arial" w:cs="Arial"/>
                          <w:sz w:val="24"/>
                          <w:szCs w:val="24"/>
                        </w:rPr>
                        <w:t>1st</w:t>
                      </w:r>
                      <w:r w:rsidRPr="00A7712B">
                        <w:rPr>
                          <w:rFonts w:ascii="Arial" w:hAnsi="Arial" w:cs="Arial"/>
                          <w:sz w:val="24"/>
                          <w:szCs w:val="24"/>
                        </w:rPr>
                        <w:t xml:space="preserve">, 2022]. </w:t>
                      </w:r>
                    </w:p>
                    <w:p w14:paraId="4D02AC9C" w14:textId="15BC85FA" w:rsidR="002A15AD" w:rsidRPr="00764EA6" w:rsidRDefault="00326F3A" w:rsidP="00FB58BB">
                      <w:pPr>
                        <w:pStyle w:val="ListParagraph"/>
                        <w:numPr>
                          <w:ilvl w:val="0"/>
                          <w:numId w:val="5"/>
                        </w:numPr>
                        <w:spacing w:before="100" w:beforeAutospacing="1" w:after="100" w:afterAutospacing="1" w:line="360" w:lineRule="auto"/>
                        <w:jc w:val="both"/>
                        <w:rPr>
                          <w:rFonts w:ascii="Arial" w:hAnsi="Arial" w:cs="Arial"/>
                          <w:sz w:val="24"/>
                          <w:szCs w:val="24"/>
                        </w:rPr>
                      </w:pPr>
                      <w:r w:rsidRPr="00764EA6">
                        <w:rPr>
                          <w:rFonts w:ascii="Arial" w:hAnsi="Arial" w:cs="Arial"/>
                          <w:noProof/>
                          <w:sz w:val="24"/>
                          <w:szCs w:val="24"/>
                        </w:rPr>
                        <w:t xml:space="preserve">Shukla &amp; Grewal, 2018. </w:t>
                      </w:r>
                      <w:r w:rsidRPr="00764EA6">
                        <w:rPr>
                          <w:rFonts w:ascii="Arial" w:hAnsi="Arial" w:cs="Arial"/>
                          <w:i/>
                          <w:iCs/>
                          <w:noProof/>
                          <w:sz w:val="24"/>
                          <w:szCs w:val="24"/>
                        </w:rPr>
                        <w:t xml:space="preserve">Cost Accounting. </w:t>
                      </w:r>
                      <w:r w:rsidRPr="00764EA6">
                        <w:rPr>
                          <w:rFonts w:ascii="Arial" w:hAnsi="Arial" w:cs="Arial"/>
                          <w:noProof/>
                          <w:sz w:val="24"/>
                          <w:szCs w:val="24"/>
                        </w:rPr>
                        <w:t>s.l.:Chand and Company.</w:t>
                      </w:r>
                    </w:p>
                    <w:p w14:paraId="5158AA9B"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Stenka, R., Ormrod, P. &amp; Chan, A., 2018. </w:t>
                      </w:r>
                      <w:r w:rsidRPr="002A15AD">
                        <w:rPr>
                          <w:rFonts w:ascii="Arial" w:hAnsi="Arial" w:cs="Arial"/>
                          <w:i/>
                          <w:iCs/>
                          <w:noProof/>
                          <w:sz w:val="24"/>
                          <w:szCs w:val="24"/>
                        </w:rPr>
                        <w:t xml:space="preserve">Accounting for Business Combinations - The Consequences of IFRS Adoption for UK Listed Companies, </w:t>
                      </w:r>
                      <w:r w:rsidRPr="002A15AD">
                        <w:rPr>
                          <w:rFonts w:ascii="Arial" w:hAnsi="Arial" w:cs="Arial"/>
                          <w:noProof/>
                          <w:sz w:val="24"/>
                          <w:szCs w:val="24"/>
                        </w:rPr>
                        <w:t>s.l.: SSRN.</w:t>
                      </w:r>
                    </w:p>
                    <w:p w14:paraId="18F2F2CC" w14:textId="77777777" w:rsidR="001201FB" w:rsidRDefault="001201FB" w:rsidP="00FB58BB">
                      <w:pPr>
                        <w:pStyle w:val="ListParagraph"/>
                        <w:numPr>
                          <w:ilvl w:val="0"/>
                          <w:numId w:val="5"/>
                        </w:numPr>
                        <w:spacing w:before="100" w:beforeAutospacing="1" w:after="100" w:afterAutospacing="1" w:line="360" w:lineRule="auto"/>
                        <w:jc w:val="both"/>
                        <w:rPr>
                          <w:rFonts w:ascii="Arial" w:hAnsi="Arial" w:cs="Arial"/>
                          <w:sz w:val="24"/>
                          <w:szCs w:val="24"/>
                        </w:rPr>
                      </w:pPr>
                      <w:r w:rsidRPr="00A7712B">
                        <w:rPr>
                          <w:rFonts w:ascii="Arial" w:hAnsi="Arial" w:cs="Arial"/>
                          <w:sz w:val="24"/>
                          <w:szCs w:val="24"/>
                        </w:rPr>
                        <w:t xml:space="preserve">Thakur, M. et al., 2022. Zero-based budgeting. </w:t>
                      </w:r>
                      <w:r w:rsidRPr="00A7712B">
                        <w:rPr>
                          <w:rFonts w:ascii="Arial" w:hAnsi="Arial" w:cs="Arial"/>
                          <w:i/>
                          <w:sz w:val="24"/>
                          <w:szCs w:val="24"/>
                        </w:rPr>
                        <w:t>WallStreetMojo</w:t>
                      </w:r>
                      <w:r w:rsidRPr="00A7712B">
                        <w:rPr>
                          <w:rFonts w:ascii="Arial" w:hAnsi="Arial" w:cs="Arial"/>
                          <w:sz w:val="24"/>
                          <w:szCs w:val="24"/>
                        </w:rPr>
                        <w:t xml:space="preserve">. </w:t>
                      </w:r>
                    </w:p>
                    <w:p w14:paraId="7F91CF63" w14:textId="6D28D03A" w:rsidR="007C1099" w:rsidRPr="001201FB" w:rsidRDefault="001201FB" w:rsidP="00FB58BB">
                      <w:pPr>
                        <w:pStyle w:val="ListParagraph"/>
                        <w:spacing w:before="100" w:beforeAutospacing="1" w:after="100" w:afterAutospacing="1" w:line="360" w:lineRule="auto"/>
                        <w:jc w:val="both"/>
                        <w:rPr>
                          <w:rFonts w:ascii="Arial" w:hAnsi="Arial" w:cs="Arial"/>
                          <w:sz w:val="24"/>
                          <w:szCs w:val="24"/>
                        </w:rPr>
                      </w:pPr>
                      <w:r w:rsidRPr="00A7712B">
                        <w:rPr>
                          <w:rFonts w:ascii="Arial" w:hAnsi="Arial" w:cs="Arial"/>
                          <w:sz w:val="24"/>
                          <w:szCs w:val="24"/>
                        </w:rPr>
                        <w:t xml:space="preserve">Available at: https://www.wallstreetmojo.com/zero-based-budgeting/ [Accessed July </w:t>
                      </w:r>
                      <w:r>
                        <w:rPr>
                          <w:rFonts w:ascii="Arial" w:hAnsi="Arial" w:cs="Arial"/>
                          <w:sz w:val="24"/>
                          <w:szCs w:val="24"/>
                        </w:rPr>
                        <w:t>1st</w:t>
                      </w:r>
                      <w:r w:rsidRPr="00A7712B">
                        <w:rPr>
                          <w:rFonts w:ascii="Arial" w:hAnsi="Arial" w:cs="Arial"/>
                          <w:sz w:val="24"/>
                          <w:szCs w:val="24"/>
                        </w:rPr>
                        <w:t xml:space="preserve">, 2022]. </w:t>
                      </w:r>
                    </w:p>
                    <w:p w14:paraId="5213A099" w14:textId="77777777" w:rsidR="002A15AD" w:rsidRDefault="00326F3A" w:rsidP="00FB58BB">
                      <w:pPr>
                        <w:pStyle w:val="Bibliography"/>
                        <w:numPr>
                          <w:ilvl w:val="0"/>
                          <w:numId w:val="5"/>
                        </w:numPr>
                        <w:spacing w:line="360" w:lineRule="auto"/>
                        <w:jc w:val="both"/>
                        <w:rPr>
                          <w:rFonts w:ascii="Arial" w:hAnsi="Arial" w:cs="Arial"/>
                          <w:noProof/>
                          <w:sz w:val="24"/>
                          <w:szCs w:val="24"/>
                        </w:rPr>
                      </w:pPr>
                      <w:r w:rsidRPr="002A15AD">
                        <w:rPr>
                          <w:rFonts w:ascii="Arial" w:hAnsi="Arial" w:cs="Arial"/>
                          <w:noProof/>
                          <w:sz w:val="24"/>
                          <w:szCs w:val="24"/>
                        </w:rPr>
                        <w:t xml:space="preserve">Timmermans, K. &amp; Roark, C., 2019. </w:t>
                      </w:r>
                      <w:r w:rsidRPr="002A15AD">
                        <w:rPr>
                          <w:rFonts w:ascii="Arial" w:hAnsi="Arial" w:cs="Arial"/>
                          <w:i/>
                          <w:iCs/>
                          <w:noProof/>
                          <w:sz w:val="24"/>
                          <w:szCs w:val="24"/>
                        </w:rPr>
                        <w:t xml:space="preserve">The Big Zero: The Transformation of ZBB into a Force for Growth, Innovation and Competitive Advantage. </w:t>
                      </w:r>
                      <w:r w:rsidRPr="002A15AD">
                        <w:rPr>
                          <w:rFonts w:ascii="Arial" w:hAnsi="Arial" w:cs="Arial"/>
                          <w:noProof/>
                          <w:sz w:val="24"/>
                          <w:szCs w:val="24"/>
                        </w:rPr>
                        <w:t>s.l.:s.n.</w:t>
                      </w:r>
                    </w:p>
                    <w:p w14:paraId="571ECB99" w14:textId="77777777" w:rsidR="00F400AD" w:rsidRDefault="00DF5499" w:rsidP="00FB58BB">
                      <w:pPr>
                        <w:pStyle w:val="ListParagraph"/>
                        <w:numPr>
                          <w:ilvl w:val="0"/>
                          <w:numId w:val="5"/>
                        </w:numPr>
                        <w:spacing w:before="100" w:beforeAutospacing="1" w:after="100" w:afterAutospacing="1" w:line="360" w:lineRule="auto"/>
                        <w:jc w:val="both"/>
                        <w:rPr>
                          <w:rFonts w:ascii="Arial" w:hAnsi="Arial" w:cs="Arial"/>
                          <w:sz w:val="24"/>
                          <w:szCs w:val="24"/>
                        </w:rPr>
                      </w:pPr>
                      <w:r w:rsidRPr="00A7712B">
                        <w:rPr>
                          <w:rFonts w:ascii="Arial" w:hAnsi="Arial" w:cs="Arial"/>
                          <w:sz w:val="24"/>
                          <w:szCs w:val="24"/>
                        </w:rPr>
                        <w:t xml:space="preserve">Ueland, J., 2020. Zero-based budgeting implementation - an overview. </w:t>
                      </w:r>
                      <w:r w:rsidRPr="00A7712B">
                        <w:rPr>
                          <w:rFonts w:ascii="Arial" w:hAnsi="Arial" w:cs="Arial"/>
                          <w:i/>
                          <w:sz w:val="24"/>
                          <w:szCs w:val="24"/>
                        </w:rPr>
                        <w:t>Zero-Based Budgeting Implementation - an Overview | FP&amp;A Trends</w:t>
                      </w:r>
                      <w:r w:rsidRPr="00A7712B">
                        <w:rPr>
                          <w:rFonts w:ascii="Arial" w:hAnsi="Arial" w:cs="Arial"/>
                          <w:sz w:val="24"/>
                          <w:szCs w:val="24"/>
                        </w:rPr>
                        <w:t xml:space="preserve">. </w:t>
                      </w:r>
                      <w:r w:rsidRPr="00CC1A46">
                        <w:rPr>
                          <w:rFonts w:ascii="Arial" w:hAnsi="Arial" w:cs="Arial"/>
                          <w:sz w:val="24"/>
                          <w:szCs w:val="24"/>
                        </w:rPr>
                        <w:t xml:space="preserve">Available at: https://fpa-trends.com/article/zero-based-budgeting-implementation-overview [Accessed July </w:t>
                      </w:r>
                      <w:r w:rsidR="00036B81">
                        <w:rPr>
                          <w:rFonts w:ascii="Arial" w:hAnsi="Arial" w:cs="Arial"/>
                          <w:sz w:val="24"/>
                          <w:szCs w:val="24"/>
                        </w:rPr>
                        <w:t>3</w:t>
                      </w:r>
                      <w:r w:rsidRPr="00CC1A46">
                        <w:rPr>
                          <w:rFonts w:ascii="Arial" w:hAnsi="Arial" w:cs="Arial"/>
                          <w:sz w:val="24"/>
                          <w:szCs w:val="24"/>
                        </w:rPr>
                        <w:t xml:space="preserve">, 2022].  </w:t>
                      </w:r>
                    </w:p>
                    <w:p w14:paraId="41684A15" w14:textId="26DF1469" w:rsidR="00326F3A" w:rsidRPr="00F400AD" w:rsidRDefault="00326F3A" w:rsidP="00FB58BB">
                      <w:pPr>
                        <w:pStyle w:val="ListParagraph"/>
                        <w:numPr>
                          <w:ilvl w:val="0"/>
                          <w:numId w:val="5"/>
                        </w:numPr>
                        <w:spacing w:before="100" w:beforeAutospacing="1" w:after="100" w:afterAutospacing="1" w:line="360" w:lineRule="auto"/>
                        <w:jc w:val="both"/>
                        <w:rPr>
                          <w:rFonts w:ascii="Arial" w:hAnsi="Arial" w:cs="Arial"/>
                          <w:sz w:val="24"/>
                          <w:szCs w:val="24"/>
                        </w:rPr>
                      </w:pPr>
                      <w:r w:rsidRPr="00F400AD">
                        <w:rPr>
                          <w:rFonts w:ascii="Arial" w:hAnsi="Arial" w:cs="Arial"/>
                          <w:noProof/>
                          <w:sz w:val="24"/>
                          <w:szCs w:val="24"/>
                        </w:rPr>
                        <w:t xml:space="preserve">Walter, Robert &amp; Mary, 2015. </w:t>
                      </w:r>
                      <w:r w:rsidRPr="00F400AD">
                        <w:rPr>
                          <w:rFonts w:ascii="Arial" w:hAnsi="Arial" w:cs="Arial"/>
                          <w:i/>
                          <w:iCs/>
                          <w:noProof/>
                          <w:sz w:val="24"/>
                          <w:szCs w:val="24"/>
                        </w:rPr>
                        <w:t xml:space="preserve">Financial Accounting. </w:t>
                      </w:r>
                      <w:r w:rsidRPr="00F400AD">
                        <w:rPr>
                          <w:rFonts w:ascii="Arial" w:hAnsi="Arial" w:cs="Arial"/>
                          <w:noProof/>
                          <w:sz w:val="24"/>
                          <w:szCs w:val="24"/>
                        </w:rPr>
                        <w:t>s.l.:McGraw-Hill.</w:t>
                      </w:r>
                    </w:p>
                    <w:p w14:paraId="72A6A1C2" w14:textId="72AF5ECD" w:rsidR="00B91651" w:rsidRPr="002A15AD" w:rsidRDefault="00326F3A" w:rsidP="00FB58BB">
                      <w:pPr>
                        <w:spacing w:line="360" w:lineRule="auto"/>
                        <w:jc w:val="both"/>
                        <w:rPr>
                          <w:rFonts w:ascii="Arial" w:hAnsi="Arial" w:cs="Arial"/>
                        </w:rPr>
                      </w:pPr>
                      <w:r w:rsidRPr="00326F3A">
                        <w:rPr>
                          <w:rFonts w:ascii="Arial" w:hAnsi="Arial" w:cs="Arial"/>
                          <w:b/>
                          <w:bCs/>
                          <w:noProof/>
                          <w:sz w:val="24"/>
                          <w:szCs w:val="24"/>
                        </w:rPr>
                        <w:fldChar w:fldCharType="end"/>
                      </w:r>
                    </w:p>
                  </w:sdtContent>
                </w:sdt>
              </w:sdtContent>
            </w:sdt>
          </w:sdtContent>
        </w:sdt>
        <w:p w14:paraId="08F07262" w14:textId="77777777" w:rsidR="004A11F6" w:rsidRPr="00BE3ACE" w:rsidRDefault="004A11F6" w:rsidP="00FB58BB">
          <w:pPr>
            <w:spacing w:line="360" w:lineRule="auto"/>
            <w:jc w:val="both"/>
            <w:rPr>
              <w:rFonts w:ascii="Arial" w:hAnsi="Arial" w:cs="Arial"/>
              <w:sz w:val="24"/>
              <w:szCs w:val="24"/>
            </w:rPr>
          </w:pPr>
        </w:p>
        <w:p w14:paraId="0B60BCAC" w14:textId="77777777" w:rsidR="00CA09F3" w:rsidRPr="00BE3ACE" w:rsidRDefault="00566386" w:rsidP="00FB58BB">
          <w:pPr>
            <w:spacing w:line="360" w:lineRule="auto"/>
            <w:jc w:val="both"/>
            <w:rPr>
              <w:rFonts w:ascii="Arial" w:hAnsi="Arial" w:cs="Arial"/>
              <w:sz w:val="24"/>
              <w:szCs w:val="24"/>
            </w:rPr>
          </w:pPr>
        </w:p>
      </w:sdtContent>
    </w:sdt>
    <w:sectPr w:rsidR="00CA09F3" w:rsidRPr="00BE3ACE" w:rsidSect="007D1947">
      <w:footerReference w:type="default" r:id="rId34"/>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06985" w14:textId="77777777" w:rsidR="00566386" w:rsidRDefault="00566386" w:rsidP="0097287F">
      <w:pPr>
        <w:spacing w:after="0" w:line="240" w:lineRule="auto"/>
      </w:pPr>
      <w:r>
        <w:separator/>
      </w:r>
    </w:p>
  </w:endnote>
  <w:endnote w:type="continuationSeparator" w:id="0">
    <w:p w14:paraId="66D7D14B" w14:textId="77777777" w:rsidR="00566386" w:rsidRDefault="00566386" w:rsidP="00972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419317"/>
      <w:docPartObj>
        <w:docPartGallery w:val="Page Numbers (Bottom of Page)"/>
        <w:docPartUnique/>
      </w:docPartObj>
    </w:sdtPr>
    <w:sdtEndPr>
      <w:rPr>
        <w:noProof/>
      </w:rPr>
    </w:sdtEndPr>
    <w:sdtContent>
      <w:p w14:paraId="235C9D01" w14:textId="271FD9E4" w:rsidR="00945AF7" w:rsidRDefault="00945A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AFD1B" w14:textId="77777777" w:rsidR="0097287F" w:rsidRDefault="00972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0B769" w14:textId="77777777" w:rsidR="00566386" w:rsidRDefault="00566386" w:rsidP="0097287F">
      <w:pPr>
        <w:spacing w:after="0" w:line="240" w:lineRule="auto"/>
      </w:pPr>
      <w:r>
        <w:separator/>
      </w:r>
    </w:p>
  </w:footnote>
  <w:footnote w:type="continuationSeparator" w:id="0">
    <w:p w14:paraId="5E6EBF66" w14:textId="77777777" w:rsidR="00566386" w:rsidRDefault="00566386" w:rsidP="00972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E3788" w14:textId="3DDC1529" w:rsidR="006466B8" w:rsidRDefault="006466B8">
    <w:pPr>
      <w:pStyle w:val="Header"/>
    </w:pPr>
    <w:r w:rsidRPr="00104A9D">
      <w:rPr>
        <w:rFonts w:ascii="Arial" w:hAnsi="Arial" w:cs="Arial"/>
        <w:noProof/>
        <w:sz w:val="24"/>
        <w:szCs w:val="24"/>
      </w:rPr>
      <w:drawing>
        <wp:inline distT="0" distB="0" distL="0" distR="0" wp14:anchorId="3F2493AC" wp14:editId="7941F5C9">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1DE6"/>
    <w:multiLevelType w:val="hybridMultilevel"/>
    <w:tmpl w:val="668A4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294331"/>
    <w:multiLevelType w:val="hybridMultilevel"/>
    <w:tmpl w:val="7DDA8B20"/>
    <w:lvl w:ilvl="0" w:tplc="9A16D7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46D18"/>
    <w:multiLevelType w:val="hybridMultilevel"/>
    <w:tmpl w:val="C0D67AA8"/>
    <w:lvl w:ilvl="0" w:tplc="DD6ADD0C">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FE55A6"/>
    <w:multiLevelType w:val="hybridMultilevel"/>
    <w:tmpl w:val="0C2C4E1E"/>
    <w:lvl w:ilvl="0" w:tplc="9502F0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DF5926"/>
    <w:multiLevelType w:val="hybridMultilevel"/>
    <w:tmpl w:val="831A23F0"/>
    <w:lvl w:ilvl="0" w:tplc="DD50D1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7208584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5715897">
    <w:abstractNumId w:val="1"/>
  </w:num>
  <w:num w:numId="3" w16cid:durableId="759181047">
    <w:abstractNumId w:val="2"/>
  </w:num>
  <w:num w:numId="4" w16cid:durableId="1640187353">
    <w:abstractNumId w:val="0"/>
  </w:num>
  <w:num w:numId="5" w16cid:durableId="1901281396">
    <w:abstractNumId w:val="4"/>
  </w:num>
  <w:num w:numId="6" w16cid:durableId="527572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C0NDY3MrI0N7IwNTNR0lEKTi0uzszPAykwrgUAT80+MSwAAAA="/>
  </w:docVars>
  <w:rsids>
    <w:rsidRoot w:val="007D1947"/>
    <w:rsid w:val="0000106A"/>
    <w:rsid w:val="000022CA"/>
    <w:rsid w:val="00012647"/>
    <w:rsid w:val="00020419"/>
    <w:rsid w:val="0002284B"/>
    <w:rsid w:val="00036B81"/>
    <w:rsid w:val="00061EF5"/>
    <w:rsid w:val="000746BD"/>
    <w:rsid w:val="000757BA"/>
    <w:rsid w:val="00082930"/>
    <w:rsid w:val="00092DB5"/>
    <w:rsid w:val="00094E7D"/>
    <w:rsid w:val="00096009"/>
    <w:rsid w:val="000B1AE1"/>
    <w:rsid w:val="000B219A"/>
    <w:rsid w:val="000C1E64"/>
    <w:rsid w:val="00104EDE"/>
    <w:rsid w:val="00110FF5"/>
    <w:rsid w:val="0011143A"/>
    <w:rsid w:val="00112B7C"/>
    <w:rsid w:val="00115522"/>
    <w:rsid w:val="00115B96"/>
    <w:rsid w:val="001201FB"/>
    <w:rsid w:val="0012278B"/>
    <w:rsid w:val="0015219E"/>
    <w:rsid w:val="00156614"/>
    <w:rsid w:val="00161E87"/>
    <w:rsid w:val="00166052"/>
    <w:rsid w:val="00171E60"/>
    <w:rsid w:val="00196F5B"/>
    <w:rsid w:val="001A080B"/>
    <w:rsid w:val="001A11D8"/>
    <w:rsid w:val="001B2E40"/>
    <w:rsid w:val="001C0B14"/>
    <w:rsid w:val="001C3233"/>
    <w:rsid w:val="001C5306"/>
    <w:rsid w:val="001D3CDC"/>
    <w:rsid w:val="001D413E"/>
    <w:rsid w:val="001D5665"/>
    <w:rsid w:val="001E633D"/>
    <w:rsid w:val="00200C67"/>
    <w:rsid w:val="00203775"/>
    <w:rsid w:val="00204FC8"/>
    <w:rsid w:val="00210FB3"/>
    <w:rsid w:val="00212650"/>
    <w:rsid w:val="00213238"/>
    <w:rsid w:val="002134A5"/>
    <w:rsid w:val="00215D8C"/>
    <w:rsid w:val="0022620F"/>
    <w:rsid w:val="00236CBE"/>
    <w:rsid w:val="00261EFD"/>
    <w:rsid w:val="00275179"/>
    <w:rsid w:val="00286098"/>
    <w:rsid w:val="00286EFA"/>
    <w:rsid w:val="00290A72"/>
    <w:rsid w:val="00291715"/>
    <w:rsid w:val="002A15AD"/>
    <w:rsid w:val="002B7506"/>
    <w:rsid w:val="002C198E"/>
    <w:rsid w:val="002D0534"/>
    <w:rsid w:val="002E2F1A"/>
    <w:rsid w:val="002F5331"/>
    <w:rsid w:val="002F645C"/>
    <w:rsid w:val="002F76E9"/>
    <w:rsid w:val="003013F2"/>
    <w:rsid w:val="0030290C"/>
    <w:rsid w:val="00306A11"/>
    <w:rsid w:val="003232BF"/>
    <w:rsid w:val="00324CCD"/>
    <w:rsid w:val="00325810"/>
    <w:rsid w:val="00326F3A"/>
    <w:rsid w:val="00327514"/>
    <w:rsid w:val="00330B0F"/>
    <w:rsid w:val="00332A48"/>
    <w:rsid w:val="0033452D"/>
    <w:rsid w:val="003357A6"/>
    <w:rsid w:val="00337123"/>
    <w:rsid w:val="0035064A"/>
    <w:rsid w:val="00354095"/>
    <w:rsid w:val="003636F6"/>
    <w:rsid w:val="00364A2B"/>
    <w:rsid w:val="003731F3"/>
    <w:rsid w:val="0037492F"/>
    <w:rsid w:val="00377A14"/>
    <w:rsid w:val="003800A1"/>
    <w:rsid w:val="0038261E"/>
    <w:rsid w:val="00382FE5"/>
    <w:rsid w:val="003850BA"/>
    <w:rsid w:val="00385DF6"/>
    <w:rsid w:val="003A1189"/>
    <w:rsid w:val="003B082C"/>
    <w:rsid w:val="003C077D"/>
    <w:rsid w:val="003C663D"/>
    <w:rsid w:val="003D6774"/>
    <w:rsid w:val="003E3DAC"/>
    <w:rsid w:val="0041288A"/>
    <w:rsid w:val="00421998"/>
    <w:rsid w:val="00423233"/>
    <w:rsid w:val="004249BF"/>
    <w:rsid w:val="00432CCF"/>
    <w:rsid w:val="0045523E"/>
    <w:rsid w:val="004575B0"/>
    <w:rsid w:val="00463EA6"/>
    <w:rsid w:val="00465AAD"/>
    <w:rsid w:val="004703C3"/>
    <w:rsid w:val="0047627E"/>
    <w:rsid w:val="004762C7"/>
    <w:rsid w:val="00481C1D"/>
    <w:rsid w:val="00483CFC"/>
    <w:rsid w:val="004A11F6"/>
    <w:rsid w:val="004A185F"/>
    <w:rsid w:val="004A2B14"/>
    <w:rsid w:val="004C1B59"/>
    <w:rsid w:val="004C6444"/>
    <w:rsid w:val="004D519C"/>
    <w:rsid w:val="004D632C"/>
    <w:rsid w:val="004F62F2"/>
    <w:rsid w:val="004F6489"/>
    <w:rsid w:val="005040BA"/>
    <w:rsid w:val="00534E9A"/>
    <w:rsid w:val="00545E5F"/>
    <w:rsid w:val="00566386"/>
    <w:rsid w:val="00570679"/>
    <w:rsid w:val="00572F98"/>
    <w:rsid w:val="0057690B"/>
    <w:rsid w:val="005A2D46"/>
    <w:rsid w:val="005A5062"/>
    <w:rsid w:val="005A64DC"/>
    <w:rsid w:val="005A7D49"/>
    <w:rsid w:val="005B77AE"/>
    <w:rsid w:val="005D1D88"/>
    <w:rsid w:val="005D4EDA"/>
    <w:rsid w:val="005F362E"/>
    <w:rsid w:val="005F3643"/>
    <w:rsid w:val="005F6604"/>
    <w:rsid w:val="00604C34"/>
    <w:rsid w:val="0060644E"/>
    <w:rsid w:val="00627B07"/>
    <w:rsid w:val="00640787"/>
    <w:rsid w:val="006429DF"/>
    <w:rsid w:val="00642B66"/>
    <w:rsid w:val="006465A8"/>
    <w:rsid w:val="006466B8"/>
    <w:rsid w:val="00647D08"/>
    <w:rsid w:val="00647D37"/>
    <w:rsid w:val="006533DA"/>
    <w:rsid w:val="00654997"/>
    <w:rsid w:val="00655709"/>
    <w:rsid w:val="00656CB1"/>
    <w:rsid w:val="00657F17"/>
    <w:rsid w:val="00671661"/>
    <w:rsid w:val="006730B6"/>
    <w:rsid w:val="00681961"/>
    <w:rsid w:val="00693CE7"/>
    <w:rsid w:val="0069549B"/>
    <w:rsid w:val="00695D4E"/>
    <w:rsid w:val="006B45C8"/>
    <w:rsid w:val="006B57F5"/>
    <w:rsid w:val="006B7A99"/>
    <w:rsid w:val="006C2C1C"/>
    <w:rsid w:val="006C5A67"/>
    <w:rsid w:val="006D31A4"/>
    <w:rsid w:val="006D6615"/>
    <w:rsid w:val="006E2B65"/>
    <w:rsid w:val="006E33AF"/>
    <w:rsid w:val="00706ABA"/>
    <w:rsid w:val="0071102D"/>
    <w:rsid w:val="00711B6D"/>
    <w:rsid w:val="00712D41"/>
    <w:rsid w:val="00713442"/>
    <w:rsid w:val="0071372C"/>
    <w:rsid w:val="00714A8D"/>
    <w:rsid w:val="00716BEA"/>
    <w:rsid w:val="00733680"/>
    <w:rsid w:val="00734C61"/>
    <w:rsid w:val="00735F87"/>
    <w:rsid w:val="007514BE"/>
    <w:rsid w:val="00754A2B"/>
    <w:rsid w:val="00764EA6"/>
    <w:rsid w:val="00773A2D"/>
    <w:rsid w:val="00774DCF"/>
    <w:rsid w:val="0078391D"/>
    <w:rsid w:val="00785EC3"/>
    <w:rsid w:val="00794023"/>
    <w:rsid w:val="00797451"/>
    <w:rsid w:val="00797525"/>
    <w:rsid w:val="00797C24"/>
    <w:rsid w:val="007A1D5C"/>
    <w:rsid w:val="007A248E"/>
    <w:rsid w:val="007B1155"/>
    <w:rsid w:val="007C0924"/>
    <w:rsid w:val="007C1099"/>
    <w:rsid w:val="007C4E7B"/>
    <w:rsid w:val="007D17D4"/>
    <w:rsid w:val="007D1947"/>
    <w:rsid w:val="007D6386"/>
    <w:rsid w:val="007F558B"/>
    <w:rsid w:val="007F7235"/>
    <w:rsid w:val="00801E4D"/>
    <w:rsid w:val="00806176"/>
    <w:rsid w:val="00806E0D"/>
    <w:rsid w:val="00811398"/>
    <w:rsid w:val="00815768"/>
    <w:rsid w:val="00816559"/>
    <w:rsid w:val="00822203"/>
    <w:rsid w:val="0082718F"/>
    <w:rsid w:val="0083246D"/>
    <w:rsid w:val="008329DC"/>
    <w:rsid w:val="00845C84"/>
    <w:rsid w:val="0084724A"/>
    <w:rsid w:val="00850972"/>
    <w:rsid w:val="00857528"/>
    <w:rsid w:val="008725B7"/>
    <w:rsid w:val="008727EC"/>
    <w:rsid w:val="008852CE"/>
    <w:rsid w:val="00885C5A"/>
    <w:rsid w:val="00886964"/>
    <w:rsid w:val="00895390"/>
    <w:rsid w:val="008A13E4"/>
    <w:rsid w:val="008A24BD"/>
    <w:rsid w:val="008A5D14"/>
    <w:rsid w:val="008B4948"/>
    <w:rsid w:val="008C006D"/>
    <w:rsid w:val="008C7B7B"/>
    <w:rsid w:val="008D4869"/>
    <w:rsid w:val="008D55D0"/>
    <w:rsid w:val="008E7240"/>
    <w:rsid w:val="008F0228"/>
    <w:rsid w:val="008F217B"/>
    <w:rsid w:val="00901B4B"/>
    <w:rsid w:val="00907531"/>
    <w:rsid w:val="00910A38"/>
    <w:rsid w:val="00913526"/>
    <w:rsid w:val="009155FC"/>
    <w:rsid w:val="0092143A"/>
    <w:rsid w:val="00925769"/>
    <w:rsid w:val="00930CD1"/>
    <w:rsid w:val="009331C8"/>
    <w:rsid w:val="00936419"/>
    <w:rsid w:val="009425D5"/>
    <w:rsid w:val="00945AF7"/>
    <w:rsid w:val="00951420"/>
    <w:rsid w:val="009574D9"/>
    <w:rsid w:val="0097287F"/>
    <w:rsid w:val="0097577E"/>
    <w:rsid w:val="00982ED5"/>
    <w:rsid w:val="009832B4"/>
    <w:rsid w:val="00984E7E"/>
    <w:rsid w:val="009921D5"/>
    <w:rsid w:val="00992FEC"/>
    <w:rsid w:val="009949D1"/>
    <w:rsid w:val="009A5170"/>
    <w:rsid w:val="009A7B10"/>
    <w:rsid w:val="009B1C47"/>
    <w:rsid w:val="009B26B1"/>
    <w:rsid w:val="009B4D0F"/>
    <w:rsid w:val="009B5886"/>
    <w:rsid w:val="009C1CE2"/>
    <w:rsid w:val="009C3C8D"/>
    <w:rsid w:val="009D5C09"/>
    <w:rsid w:val="009D636D"/>
    <w:rsid w:val="009E3637"/>
    <w:rsid w:val="009E6B75"/>
    <w:rsid w:val="009F22E8"/>
    <w:rsid w:val="00A03ADE"/>
    <w:rsid w:val="00A05D91"/>
    <w:rsid w:val="00A10001"/>
    <w:rsid w:val="00A1695A"/>
    <w:rsid w:val="00A20636"/>
    <w:rsid w:val="00A300D2"/>
    <w:rsid w:val="00A302B5"/>
    <w:rsid w:val="00A302DC"/>
    <w:rsid w:val="00A46B72"/>
    <w:rsid w:val="00A51311"/>
    <w:rsid w:val="00A55CBB"/>
    <w:rsid w:val="00A55E99"/>
    <w:rsid w:val="00A7030F"/>
    <w:rsid w:val="00A72CD2"/>
    <w:rsid w:val="00A8216A"/>
    <w:rsid w:val="00AA1093"/>
    <w:rsid w:val="00AA24B0"/>
    <w:rsid w:val="00AA2A91"/>
    <w:rsid w:val="00AA4E7A"/>
    <w:rsid w:val="00AB533C"/>
    <w:rsid w:val="00AC0C7B"/>
    <w:rsid w:val="00AC74DE"/>
    <w:rsid w:val="00AD1C90"/>
    <w:rsid w:val="00AE215F"/>
    <w:rsid w:val="00AF4AA8"/>
    <w:rsid w:val="00B00728"/>
    <w:rsid w:val="00B03D2F"/>
    <w:rsid w:val="00B2082C"/>
    <w:rsid w:val="00B2237E"/>
    <w:rsid w:val="00B271CE"/>
    <w:rsid w:val="00B35F8E"/>
    <w:rsid w:val="00B639CB"/>
    <w:rsid w:val="00B66583"/>
    <w:rsid w:val="00B77F3A"/>
    <w:rsid w:val="00B91651"/>
    <w:rsid w:val="00B929A9"/>
    <w:rsid w:val="00BA05B2"/>
    <w:rsid w:val="00BA10B4"/>
    <w:rsid w:val="00BB187B"/>
    <w:rsid w:val="00BB4267"/>
    <w:rsid w:val="00BD08A7"/>
    <w:rsid w:val="00BE08FA"/>
    <w:rsid w:val="00BE1532"/>
    <w:rsid w:val="00BE3ACE"/>
    <w:rsid w:val="00BE3CAB"/>
    <w:rsid w:val="00BE4F1B"/>
    <w:rsid w:val="00BF58DF"/>
    <w:rsid w:val="00C0292A"/>
    <w:rsid w:val="00C0294F"/>
    <w:rsid w:val="00C1317A"/>
    <w:rsid w:val="00C24709"/>
    <w:rsid w:val="00C32E56"/>
    <w:rsid w:val="00C3662C"/>
    <w:rsid w:val="00C368D1"/>
    <w:rsid w:val="00C410A9"/>
    <w:rsid w:val="00C4278B"/>
    <w:rsid w:val="00C4749D"/>
    <w:rsid w:val="00C708A0"/>
    <w:rsid w:val="00C71FB5"/>
    <w:rsid w:val="00C75615"/>
    <w:rsid w:val="00C77359"/>
    <w:rsid w:val="00C80359"/>
    <w:rsid w:val="00C80E58"/>
    <w:rsid w:val="00C83719"/>
    <w:rsid w:val="00C96A15"/>
    <w:rsid w:val="00CA09F3"/>
    <w:rsid w:val="00CA4710"/>
    <w:rsid w:val="00CB199A"/>
    <w:rsid w:val="00CC5C01"/>
    <w:rsid w:val="00CF70FD"/>
    <w:rsid w:val="00D00A83"/>
    <w:rsid w:val="00D00A9D"/>
    <w:rsid w:val="00D00FAC"/>
    <w:rsid w:val="00D06D93"/>
    <w:rsid w:val="00D13D50"/>
    <w:rsid w:val="00D2714E"/>
    <w:rsid w:val="00D366E8"/>
    <w:rsid w:val="00D370DA"/>
    <w:rsid w:val="00D400AC"/>
    <w:rsid w:val="00D44BD4"/>
    <w:rsid w:val="00D60148"/>
    <w:rsid w:val="00D627E1"/>
    <w:rsid w:val="00D73270"/>
    <w:rsid w:val="00D75ABF"/>
    <w:rsid w:val="00D80135"/>
    <w:rsid w:val="00D80A6A"/>
    <w:rsid w:val="00D83903"/>
    <w:rsid w:val="00D854A5"/>
    <w:rsid w:val="00D86CBB"/>
    <w:rsid w:val="00D93A32"/>
    <w:rsid w:val="00DA5C6A"/>
    <w:rsid w:val="00DA7B10"/>
    <w:rsid w:val="00DB4541"/>
    <w:rsid w:val="00DB545F"/>
    <w:rsid w:val="00DB6A70"/>
    <w:rsid w:val="00DB7723"/>
    <w:rsid w:val="00DC069B"/>
    <w:rsid w:val="00DC19A7"/>
    <w:rsid w:val="00DD31EF"/>
    <w:rsid w:val="00DE60B9"/>
    <w:rsid w:val="00DF2DAF"/>
    <w:rsid w:val="00DF5499"/>
    <w:rsid w:val="00DF5536"/>
    <w:rsid w:val="00E00872"/>
    <w:rsid w:val="00E132D8"/>
    <w:rsid w:val="00E20F4C"/>
    <w:rsid w:val="00E2486D"/>
    <w:rsid w:val="00E3270A"/>
    <w:rsid w:val="00E40566"/>
    <w:rsid w:val="00E42C5F"/>
    <w:rsid w:val="00E51C9E"/>
    <w:rsid w:val="00E51FD0"/>
    <w:rsid w:val="00E7173F"/>
    <w:rsid w:val="00E8381F"/>
    <w:rsid w:val="00E8511A"/>
    <w:rsid w:val="00E91A53"/>
    <w:rsid w:val="00E92041"/>
    <w:rsid w:val="00EA016C"/>
    <w:rsid w:val="00EA2FCC"/>
    <w:rsid w:val="00EC3624"/>
    <w:rsid w:val="00EE5738"/>
    <w:rsid w:val="00EF1C49"/>
    <w:rsid w:val="00F027CA"/>
    <w:rsid w:val="00F0345B"/>
    <w:rsid w:val="00F03871"/>
    <w:rsid w:val="00F10AB0"/>
    <w:rsid w:val="00F11E73"/>
    <w:rsid w:val="00F25027"/>
    <w:rsid w:val="00F25852"/>
    <w:rsid w:val="00F33140"/>
    <w:rsid w:val="00F400AD"/>
    <w:rsid w:val="00F479EA"/>
    <w:rsid w:val="00F51349"/>
    <w:rsid w:val="00F521A6"/>
    <w:rsid w:val="00F957F8"/>
    <w:rsid w:val="00F97019"/>
    <w:rsid w:val="00FA119D"/>
    <w:rsid w:val="00FB0DC0"/>
    <w:rsid w:val="00FB1EDA"/>
    <w:rsid w:val="00FB2366"/>
    <w:rsid w:val="00FB3766"/>
    <w:rsid w:val="00FB58BB"/>
    <w:rsid w:val="00FC253B"/>
    <w:rsid w:val="00FE41BF"/>
    <w:rsid w:val="00FF2B22"/>
    <w:rsid w:val="00FF4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6D6615"/>
    <w:pPr>
      <w:tabs>
        <w:tab w:val="right" w:leader="dot" w:pos="9016"/>
      </w:tabs>
      <w:spacing w:after="100" w:line="360" w:lineRule="auto"/>
      <w:jc w:val="both"/>
    </w:pPr>
    <w:rPr>
      <w:rFonts w:ascii="Times New Roman" w:hAnsi="Times New Roman" w:cs="Times New Roman"/>
      <w:b/>
      <w:i/>
      <w:iCs/>
      <w:noProof/>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885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91651"/>
  </w:style>
  <w:style w:type="character" w:styleId="CommentReference">
    <w:name w:val="annotation reference"/>
    <w:basedOn w:val="DefaultParagraphFont"/>
    <w:uiPriority w:val="99"/>
    <w:semiHidden/>
    <w:unhideWhenUsed/>
    <w:rsid w:val="00204FC8"/>
    <w:rPr>
      <w:sz w:val="16"/>
      <w:szCs w:val="16"/>
    </w:rPr>
  </w:style>
  <w:style w:type="paragraph" w:styleId="CommentText">
    <w:name w:val="annotation text"/>
    <w:basedOn w:val="Normal"/>
    <w:link w:val="CommentTextChar"/>
    <w:uiPriority w:val="99"/>
    <w:semiHidden/>
    <w:unhideWhenUsed/>
    <w:rsid w:val="00204FC8"/>
    <w:pPr>
      <w:spacing w:line="240" w:lineRule="auto"/>
    </w:pPr>
    <w:rPr>
      <w:sz w:val="20"/>
      <w:szCs w:val="20"/>
    </w:rPr>
  </w:style>
  <w:style w:type="character" w:customStyle="1" w:styleId="CommentTextChar">
    <w:name w:val="Comment Text Char"/>
    <w:basedOn w:val="DefaultParagraphFont"/>
    <w:link w:val="CommentText"/>
    <w:uiPriority w:val="99"/>
    <w:semiHidden/>
    <w:rsid w:val="00204FC8"/>
    <w:rPr>
      <w:sz w:val="20"/>
      <w:szCs w:val="20"/>
    </w:rPr>
  </w:style>
  <w:style w:type="paragraph" w:styleId="CommentSubject">
    <w:name w:val="annotation subject"/>
    <w:basedOn w:val="CommentText"/>
    <w:next w:val="CommentText"/>
    <w:link w:val="CommentSubjectChar"/>
    <w:uiPriority w:val="99"/>
    <w:semiHidden/>
    <w:unhideWhenUsed/>
    <w:rsid w:val="00204FC8"/>
    <w:rPr>
      <w:b/>
      <w:bCs/>
    </w:rPr>
  </w:style>
  <w:style w:type="character" w:customStyle="1" w:styleId="CommentSubjectChar">
    <w:name w:val="Comment Subject Char"/>
    <w:basedOn w:val="CommentTextChar"/>
    <w:link w:val="CommentSubject"/>
    <w:uiPriority w:val="99"/>
    <w:semiHidden/>
    <w:rsid w:val="00204FC8"/>
    <w:rPr>
      <w:b/>
      <w:bCs/>
      <w:sz w:val="20"/>
      <w:szCs w:val="20"/>
    </w:rPr>
  </w:style>
  <w:style w:type="paragraph" w:styleId="Header">
    <w:name w:val="header"/>
    <w:basedOn w:val="Normal"/>
    <w:link w:val="HeaderChar"/>
    <w:uiPriority w:val="99"/>
    <w:unhideWhenUsed/>
    <w:rsid w:val="00972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87F"/>
  </w:style>
  <w:style w:type="paragraph" w:styleId="Footer">
    <w:name w:val="footer"/>
    <w:basedOn w:val="Normal"/>
    <w:link w:val="FooterChar"/>
    <w:uiPriority w:val="99"/>
    <w:unhideWhenUsed/>
    <w:rsid w:val="00972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87F"/>
  </w:style>
  <w:style w:type="paragraph" w:styleId="BalloonText">
    <w:name w:val="Balloon Text"/>
    <w:basedOn w:val="Normal"/>
    <w:link w:val="BalloonTextChar"/>
    <w:uiPriority w:val="99"/>
    <w:semiHidden/>
    <w:unhideWhenUsed/>
    <w:rsid w:val="00C32E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2E56"/>
    <w:rPr>
      <w:rFonts w:ascii="Segoe UI" w:hAnsi="Segoe UI" w:cs="Segoe UI"/>
      <w:sz w:val="18"/>
      <w:szCs w:val="18"/>
    </w:rPr>
  </w:style>
  <w:style w:type="paragraph" w:customStyle="1" w:styleId="css-1s4g723">
    <w:name w:val="css-1s4g723"/>
    <w:basedOn w:val="Normal"/>
    <w:rsid w:val="006730B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BookTitle">
    <w:name w:val="Book Title"/>
    <w:basedOn w:val="DefaultParagraphFont"/>
    <w:uiPriority w:val="33"/>
    <w:qFormat/>
    <w:rsid w:val="00E8511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2523">
      <w:bodyDiv w:val="1"/>
      <w:marLeft w:val="0"/>
      <w:marRight w:val="0"/>
      <w:marTop w:val="0"/>
      <w:marBottom w:val="0"/>
      <w:divBdr>
        <w:top w:val="none" w:sz="0" w:space="0" w:color="auto"/>
        <w:left w:val="none" w:sz="0" w:space="0" w:color="auto"/>
        <w:bottom w:val="none" w:sz="0" w:space="0" w:color="auto"/>
        <w:right w:val="none" w:sz="0" w:space="0" w:color="auto"/>
      </w:divBdr>
    </w:div>
    <w:div w:id="92287800">
      <w:bodyDiv w:val="1"/>
      <w:marLeft w:val="0"/>
      <w:marRight w:val="0"/>
      <w:marTop w:val="0"/>
      <w:marBottom w:val="0"/>
      <w:divBdr>
        <w:top w:val="none" w:sz="0" w:space="0" w:color="auto"/>
        <w:left w:val="none" w:sz="0" w:space="0" w:color="auto"/>
        <w:bottom w:val="none" w:sz="0" w:space="0" w:color="auto"/>
        <w:right w:val="none" w:sz="0" w:space="0" w:color="auto"/>
      </w:divBdr>
    </w:div>
    <w:div w:id="128480271">
      <w:bodyDiv w:val="1"/>
      <w:marLeft w:val="0"/>
      <w:marRight w:val="0"/>
      <w:marTop w:val="0"/>
      <w:marBottom w:val="0"/>
      <w:divBdr>
        <w:top w:val="none" w:sz="0" w:space="0" w:color="auto"/>
        <w:left w:val="none" w:sz="0" w:space="0" w:color="auto"/>
        <w:bottom w:val="none" w:sz="0" w:space="0" w:color="auto"/>
        <w:right w:val="none" w:sz="0" w:space="0" w:color="auto"/>
      </w:divBdr>
    </w:div>
    <w:div w:id="331228441">
      <w:bodyDiv w:val="1"/>
      <w:marLeft w:val="0"/>
      <w:marRight w:val="0"/>
      <w:marTop w:val="0"/>
      <w:marBottom w:val="0"/>
      <w:divBdr>
        <w:top w:val="none" w:sz="0" w:space="0" w:color="auto"/>
        <w:left w:val="none" w:sz="0" w:space="0" w:color="auto"/>
        <w:bottom w:val="none" w:sz="0" w:space="0" w:color="auto"/>
        <w:right w:val="none" w:sz="0" w:space="0" w:color="auto"/>
      </w:divBdr>
    </w:div>
    <w:div w:id="360479329">
      <w:bodyDiv w:val="1"/>
      <w:marLeft w:val="0"/>
      <w:marRight w:val="0"/>
      <w:marTop w:val="0"/>
      <w:marBottom w:val="0"/>
      <w:divBdr>
        <w:top w:val="none" w:sz="0" w:space="0" w:color="auto"/>
        <w:left w:val="none" w:sz="0" w:space="0" w:color="auto"/>
        <w:bottom w:val="none" w:sz="0" w:space="0" w:color="auto"/>
        <w:right w:val="none" w:sz="0" w:space="0" w:color="auto"/>
      </w:divBdr>
    </w:div>
    <w:div w:id="446122597">
      <w:bodyDiv w:val="1"/>
      <w:marLeft w:val="0"/>
      <w:marRight w:val="0"/>
      <w:marTop w:val="0"/>
      <w:marBottom w:val="0"/>
      <w:divBdr>
        <w:top w:val="none" w:sz="0" w:space="0" w:color="auto"/>
        <w:left w:val="none" w:sz="0" w:space="0" w:color="auto"/>
        <w:bottom w:val="none" w:sz="0" w:space="0" w:color="auto"/>
        <w:right w:val="none" w:sz="0" w:space="0" w:color="auto"/>
      </w:divBdr>
    </w:div>
    <w:div w:id="576979809">
      <w:bodyDiv w:val="1"/>
      <w:marLeft w:val="0"/>
      <w:marRight w:val="0"/>
      <w:marTop w:val="0"/>
      <w:marBottom w:val="0"/>
      <w:divBdr>
        <w:top w:val="none" w:sz="0" w:space="0" w:color="auto"/>
        <w:left w:val="none" w:sz="0" w:space="0" w:color="auto"/>
        <w:bottom w:val="none" w:sz="0" w:space="0" w:color="auto"/>
        <w:right w:val="none" w:sz="0" w:space="0" w:color="auto"/>
      </w:divBdr>
    </w:div>
    <w:div w:id="634457378">
      <w:bodyDiv w:val="1"/>
      <w:marLeft w:val="0"/>
      <w:marRight w:val="0"/>
      <w:marTop w:val="0"/>
      <w:marBottom w:val="0"/>
      <w:divBdr>
        <w:top w:val="none" w:sz="0" w:space="0" w:color="auto"/>
        <w:left w:val="none" w:sz="0" w:space="0" w:color="auto"/>
        <w:bottom w:val="none" w:sz="0" w:space="0" w:color="auto"/>
        <w:right w:val="none" w:sz="0" w:space="0" w:color="auto"/>
      </w:divBdr>
    </w:div>
    <w:div w:id="655652312">
      <w:bodyDiv w:val="1"/>
      <w:marLeft w:val="0"/>
      <w:marRight w:val="0"/>
      <w:marTop w:val="0"/>
      <w:marBottom w:val="0"/>
      <w:divBdr>
        <w:top w:val="none" w:sz="0" w:space="0" w:color="auto"/>
        <w:left w:val="none" w:sz="0" w:space="0" w:color="auto"/>
        <w:bottom w:val="none" w:sz="0" w:space="0" w:color="auto"/>
        <w:right w:val="none" w:sz="0" w:space="0" w:color="auto"/>
      </w:divBdr>
    </w:div>
    <w:div w:id="678434021">
      <w:bodyDiv w:val="1"/>
      <w:marLeft w:val="0"/>
      <w:marRight w:val="0"/>
      <w:marTop w:val="0"/>
      <w:marBottom w:val="0"/>
      <w:divBdr>
        <w:top w:val="none" w:sz="0" w:space="0" w:color="auto"/>
        <w:left w:val="none" w:sz="0" w:space="0" w:color="auto"/>
        <w:bottom w:val="none" w:sz="0" w:space="0" w:color="auto"/>
        <w:right w:val="none" w:sz="0" w:space="0" w:color="auto"/>
      </w:divBdr>
    </w:div>
    <w:div w:id="876040554">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973409472">
      <w:bodyDiv w:val="1"/>
      <w:marLeft w:val="0"/>
      <w:marRight w:val="0"/>
      <w:marTop w:val="0"/>
      <w:marBottom w:val="0"/>
      <w:divBdr>
        <w:top w:val="none" w:sz="0" w:space="0" w:color="auto"/>
        <w:left w:val="none" w:sz="0" w:space="0" w:color="auto"/>
        <w:bottom w:val="none" w:sz="0" w:space="0" w:color="auto"/>
        <w:right w:val="none" w:sz="0" w:space="0" w:color="auto"/>
      </w:divBdr>
    </w:div>
    <w:div w:id="1067610609">
      <w:bodyDiv w:val="1"/>
      <w:marLeft w:val="0"/>
      <w:marRight w:val="0"/>
      <w:marTop w:val="0"/>
      <w:marBottom w:val="0"/>
      <w:divBdr>
        <w:top w:val="none" w:sz="0" w:space="0" w:color="auto"/>
        <w:left w:val="none" w:sz="0" w:space="0" w:color="auto"/>
        <w:bottom w:val="none" w:sz="0" w:space="0" w:color="auto"/>
        <w:right w:val="none" w:sz="0" w:space="0" w:color="auto"/>
      </w:divBdr>
    </w:div>
    <w:div w:id="1080906211">
      <w:bodyDiv w:val="1"/>
      <w:marLeft w:val="0"/>
      <w:marRight w:val="0"/>
      <w:marTop w:val="0"/>
      <w:marBottom w:val="0"/>
      <w:divBdr>
        <w:top w:val="none" w:sz="0" w:space="0" w:color="auto"/>
        <w:left w:val="none" w:sz="0" w:space="0" w:color="auto"/>
        <w:bottom w:val="none" w:sz="0" w:space="0" w:color="auto"/>
        <w:right w:val="none" w:sz="0" w:space="0" w:color="auto"/>
      </w:divBdr>
    </w:div>
    <w:div w:id="1156797445">
      <w:bodyDiv w:val="1"/>
      <w:marLeft w:val="0"/>
      <w:marRight w:val="0"/>
      <w:marTop w:val="0"/>
      <w:marBottom w:val="0"/>
      <w:divBdr>
        <w:top w:val="none" w:sz="0" w:space="0" w:color="auto"/>
        <w:left w:val="none" w:sz="0" w:space="0" w:color="auto"/>
        <w:bottom w:val="none" w:sz="0" w:space="0" w:color="auto"/>
        <w:right w:val="none" w:sz="0" w:space="0" w:color="auto"/>
      </w:divBdr>
    </w:div>
    <w:div w:id="1306550243">
      <w:bodyDiv w:val="1"/>
      <w:marLeft w:val="0"/>
      <w:marRight w:val="0"/>
      <w:marTop w:val="0"/>
      <w:marBottom w:val="0"/>
      <w:divBdr>
        <w:top w:val="none" w:sz="0" w:space="0" w:color="auto"/>
        <w:left w:val="none" w:sz="0" w:space="0" w:color="auto"/>
        <w:bottom w:val="none" w:sz="0" w:space="0" w:color="auto"/>
        <w:right w:val="none" w:sz="0" w:space="0" w:color="auto"/>
      </w:divBdr>
    </w:div>
    <w:div w:id="1411540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560051259">
      <w:bodyDiv w:val="1"/>
      <w:marLeft w:val="0"/>
      <w:marRight w:val="0"/>
      <w:marTop w:val="0"/>
      <w:marBottom w:val="0"/>
      <w:divBdr>
        <w:top w:val="none" w:sz="0" w:space="0" w:color="auto"/>
        <w:left w:val="none" w:sz="0" w:space="0" w:color="auto"/>
        <w:bottom w:val="none" w:sz="0" w:space="0" w:color="auto"/>
        <w:right w:val="none" w:sz="0" w:space="0" w:color="auto"/>
      </w:divBdr>
    </w:div>
    <w:div w:id="1566528040">
      <w:bodyDiv w:val="1"/>
      <w:marLeft w:val="0"/>
      <w:marRight w:val="0"/>
      <w:marTop w:val="0"/>
      <w:marBottom w:val="0"/>
      <w:divBdr>
        <w:top w:val="none" w:sz="0" w:space="0" w:color="auto"/>
        <w:left w:val="none" w:sz="0" w:space="0" w:color="auto"/>
        <w:bottom w:val="none" w:sz="0" w:space="0" w:color="auto"/>
        <w:right w:val="none" w:sz="0" w:space="0" w:color="auto"/>
      </w:divBdr>
    </w:div>
    <w:div w:id="1597252161">
      <w:bodyDiv w:val="1"/>
      <w:marLeft w:val="0"/>
      <w:marRight w:val="0"/>
      <w:marTop w:val="0"/>
      <w:marBottom w:val="0"/>
      <w:divBdr>
        <w:top w:val="none" w:sz="0" w:space="0" w:color="auto"/>
        <w:left w:val="none" w:sz="0" w:space="0" w:color="auto"/>
        <w:bottom w:val="none" w:sz="0" w:space="0" w:color="auto"/>
        <w:right w:val="none" w:sz="0" w:space="0" w:color="auto"/>
      </w:divBdr>
    </w:div>
    <w:div w:id="1900313767">
      <w:bodyDiv w:val="1"/>
      <w:marLeft w:val="0"/>
      <w:marRight w:val="0"/>
      <w:marTop w:val="0"/>
      <w:marBottom w:val="0"/>
      <w:divBdr>
        <w:top w:val="none" w:sz="0" w:space="0" w:color="auto"/>
        <w:left w:val="none" w:sz="0" w:space="0" w:color="auto"/>
        <w:bottom w:val="none" w:sz="0" w:space="0" w:color="auto"/>
        <w:right w:val="none" w:sz="0" w:space="0" w:color="auto"/>
      </w:divBdr>
    </w:div>
    <w:div w:id="1917126897">
      <w:bodyDiv w:val="1"/>
      <w:marLeft w:val="0"/>
      <w:marRight w:val="0"/>
      <w:marTop w:val="0"/>
      <w:marBottom w:val="0"/>
      <w:divBdr>
        <w:top w:val="none" w:sz="0" w:space="0" w:color="auto"/>
        <w:left w:val="none" w:sz="0" w:space="0" w:color="auto"/>
        <w:bottom w:val="none" w:sz="0" w:space="0" w:color="auto"/>
        <w:right w:val="none" w:sz="0" w:space="0" w:color="auto"/>
      </w:divBdr>
    </w:div>
    <w:div w:id="2112898848">
      <w:bodyDiv w:val="1"/>
      <w:marLeft w:val="0"/>
      <w:marRight w:val="0"/>
      <w:marTop w:val="0"/>
      <w:marBottom w:val="0"/>
      <w:divBdr>
        <w:top w:val="none" w:sz="0" w:space="0" w:color="auto"/>
        <w:left w:val="none" w:sz="0" w:space="0" w:color="auto"/>
        <w:bottom w:val="none" w:sz="0" w:space="0" w:color="auto"/>
        <w:right w:val="none" w:sz="0" w:space="0" w:color="auto"/>
      </w:divBdr>
    </w:div>
    <w:div w:id="21420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07/relationships/diagramDrawing" Target="diagrams/drawing1.xml"/><Relationship Id="rId26" Type="http://schemas.openxmlformats.org/officeDocument/2006/relationships/diagramQuickStyle" Target="diagrams/quickStyle3.xml"/><Relationship Id="rId21" Type="http://schemas.openxmlformats.org/officeDocument/2006/relationships/diagramQuickStyle" Target="diagrams/quickStyle2.xm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diagramData" Target="diagrams/data2.xml"/><Relationship Id="rId31" Type="http://schemas.openxmlformats.org/officeDocument/2006/relationships/diagramQuickStyle" Target="diagrams/quickStyle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2F393C-A2F5-4D96-857B-DEEFB73351C4}" type="doc">
      <dgm:prSet loTypeId="urn:microsoft.com/office/officeart/2005/8/layout/cycle2" loCatId="cycle" qsTypeId="urn:microsoft.com/office/officeart/2005/8/quickstyle/3d2" qsCatId="3D" csTypeId="urn:microsoft.com/office/officeart/2005/8/colors/colorful1" csCatId="colorful" phldr="1"/>
      <dgm:spPr/>
      <dgm:t>
        <a:bodyPr/>
        <a:lstStyle/>
        <a:p>
          <a:endParaRPr lang="en-GB"/>
        </a:p>
      </dgm:t>
    </dgm:pt>
    <dgm:pt modelId="{CBD939D0-ACE2-47FB-B7D2-59905FEA05E0}">
      <dgm:prSet phldrT="[Text]" custT="1"/>
      <dgm:spPr/>
      <dgm:t>
        <a:bodyPr/>
        <a:lstStyle/>
        <a:p>
          <a:r>
            <a:rPr lang="en-GB" sz="1000" b="1">
              <a:latin typeface="Arial" panose="020B0604020202020204" pitchFamily="34" charset="0"/>
              <a:cs typeface="Arial" panose="020B0604020202020204" pitchFamily="34" charset="0"/>
            </a:rPr>
            <a:t>Activity Based Budgeting</a:t>
          </a:r>
        </a:p>
      </dgm:t>
    </dgm:pt>
    <dgm:pt modelId="{3498912D-47E3-4AF1-A543-219CA1042B88}" type="parTrans" cxnId="{FCC0DCA8-9BDE-4D0D-9946-CA1DC5846F02}">
      <dgm:prSet/>
      <dgm:spPr/>
      <dgm:t>
        <a:bodyPr/>
        <a:lstStyle/>
        <a:p>
          <a:endParaRPr lang="en-GB"/>
        </a:p>
      </dgm:t>
    </dgm:pt>
    <dgm:pt modelId="{81E46D16-4D3A-4FDF-9760-26214C3E28C5}" type="sibTrans" cxnId="{FCC0DCA8-9BDE-4D0D-9946-CA1DC5846F02}">
      <dgm:prSet/>
      <dgm:spPr/>
      <dgm:t>
        <a:bodyPr/>
        <a:lstStyle/>
        <a:p>
          <a:endParaRPr lang="en-GB"/>
        </a:p>
      </dgm:t>
    </dgm:pt>
    <dgm:pt modelId="{DA230A74-1E36-4215-8506-FAEF934625D8}">
      <dgm:prSet phldrT="[Text]" custT="1"/>
      <dgm:spPr/>
      <dgm:t>
        <a:bodyPr/>
        <a:lstStyle/>
        <a:p>
          <a:r>
            <a:rPr lang="en-GB" sz="1000" b="1">
              <a:latin typeface="Arial" panose="020B0604020202020204" pitchFamily="34" charset="0"/>
              <a:cs typeface="Arial" panose="020B0604020202020204" pitchFamily="34" charset="0"/>
            </a:rPr>
            <a:t>Based Budgeting</a:t>
          </a:r>
        </a:p>
      </dgm:t>
    </dgm:pt>
    <dgm:pt modelId="{68EF3922-DFC4-420C-8A86-0EAE3445C726}" type="parTrans" cxnId="{0CDB426E-7C9F-4B09-8E92-D5378DF8DBB6}">
      <dgm:prSet/>
      <dgm:spPr/>
      <dgm:t>
        <a:bodyPr/>
        <a:lstStyle/>
        <a:p>
          <a:endParaRPr lang="en-GB"/>
        </a:p>
      </dgm:t>
    </dgm:pt>
    <dgm:pt modelId="{68D5D8F1-4860-419A-98EC-2150A63FA77D}" type="sibTrans" cxnId="{0CDB426E-7C9F-4B09-8E92-D5378DF8DBB6}">
      <dgm:prSet/>
      <dgm:spPr/>
      <dgm:t>
        <a:bodyPr/>
        <a:lstStyle/>
        <a:p>
          <a:endParaRPr lang="en-GB"/>
        </a:p>
      </dgm:t>
    </dgm:pt>
    <dgm:pt modelId="{4EC7D7B7-6A98-46A4-AF14-491815757C8E}">
      <dgm:prSet phldrT="[Text]" custT="1"/>
      <dgm:spPr/>
      <dgm:t>
        <a:bodyPr/>
        <a:lstStyle/>
        <a:p>
          <a:r>
            <a:rPr lang="en-GB" sz="1000" b="1">
              <a:latin typeface="Arial" panose="020B0604020202020204" pitchFamily="34" charset="0"/>
              <a:cs typeface="Arial" panose="020B0604020202020204" pitchFamily="34" charset="0"/>
            </a:rPr>
            <a:t>Zero-based Budgeting</a:t>
          </a:r>
        </a:p>
      </dgm:t>
    </dgm:pt>
    <dgm:pt modelId="{5A42F5C5-E4EA-4182-9EA9-6A01B31C2746}" type="parTrans" cxnId="{2BDDA41E-C382-41C4-BDFE-5C8C0BE4CFBA}">
      <dgm:prSet/>
      <dgm:spPr/>
      <dgm:t>
        <a:bodyPr/>
        <a:lstStyle/>
        <a:p>
          <a:endParaRPr lang="en-GB"/>
        </a:p>
      </dgm:t>
    </dgm:pt>
    <dgm:pt modelId="{CE4283B7-E74A-4EA3-9E6A-3FC4D816495A}" type="sibTrans" cxnId="{2BDDA41E-C382-41C4-BDFE-5C8C0BE4CFBA}">
      <dgm:prSet/>
      <dgm:spPr/>
      <dgm:t>
        <a:bodyPr/>
        <a:lstStyle/>
        <a:p>
          <a:endParaRPr lang="en-GB"/>
        </a:p>
      </dgm:t>
    </dgm:pt>
    <dgm:pt modelId="{0BCD681C-F0BD-4DE7-9F7E-3D8E1C62915C}">
      <dgm:prSet phldrT="[Text]" custT="1"/>
      <dgm:spPr/>
      <dgm:t>
        <a:bodyPr/>
        <a:lstStyle/>
        <a:p>
          <a:r>
            <a:rPr lang="en-GB" sz="1000" b="1">
              <a:latin typeface="Arial" panose="020B0604020202020204" pitchFamily="34" charset="0"/>
              <a:cs typeface="Arial" panose="020B0604020202020204" pitchFamily="34" charset="0"/>
            </a:rPr>
            <a:t>Traditional Budgeting</a:t>
          </a:r>
        </a:p>
      </dgm:t>
    </dgm:pt>
    <dgm:pt modelId="{6C9D52CE-E818-47D8-81DE-930172D89813}" type="parTrans" cxnId="{F9DA0359-BFA9-473E-AF46-96E36FCF5C79}">
      <dgm:prSet/>
      <dgm:spPr/>
      <dgm:t>
        <a:bodyPr/>
        <a:lstStyle/>
        <a:p>
          <a:endParaRPr lang="en-GB"/>
        </a:p>
      </dgm:t>
    </dgm:pt>
    <dgm:pt modelId="{D2838059-FAE0-4E4E-B48D-CA8E2992D3A5}" type="sibTrans" cxnId="{F9DA0359-BFA9-473E-AF46-96E36FCF5C79}">
      <dgm:prSet/>
      <dgm:spPr/>
      <dgm:t>
        <a:bodyPr/>
        <a:lstStyle/>
        <a:p>
          <a:endParaRPr lang="en-GB"/>
        </a:p>
      </dgm:t>
    </dgm:pt>
    <dgm:pt modelId="{38A21EFF-624E-4CF5-85E2-9C5F0DACCD6E}">
      <dgm:prSet phldrT="[Text]" custT="1"/>
      <dgm:spPr/>
      <dgm:t>
        <a:bodyPr/>
        <a:lstStyle/>
        <a:p>
          <a:r>
            <a:rPr lang="en-GB" sz="1000" b="1">
              <a:latin typeface="Arial" panose="020B0604020202020204" pitchFamily="34" charset="0"/>
              <a:cs typeface="Arial" panose="020B0604020202020204" pitchFamily="34" charset="0"/>
            </a:rPr>
            <a:t>Kaizen Budgeting</a:t>
          </a:r>
        </a:p>
      </dgm:t>
    </dgm:pt>
    <dgm:pt modelId="{A763CC77-5450-477B-9BC2-262E2BF60C84}" type="parTrans" cxnId="{347B8B95-51C8-40F5-A782-2D3474B85361}">
      <dgm:prSet/>
      <dgm:spPr/>
      <dgm:t>
        <a:bodyPr/>
        <a:lstStyle/>
        <a:p>
          <a:endParaRPr lang="en-GB"/>
        </a:p>
      </dgm:t>
    </dgm:pt>
    <dgm:pt modelId="{0587A37B-AC29-455A-9417-F84C16CE9A60}" type="sibTrans" cxnId="{347B8B95-51C8-40F5-A782-2D3474B85361}">
      <dgm:prSet/>
      <dgm:spPr/>
      <dgm:t>
        <a:bodyPr/>
        <a:lstStyle/>
        <a:p>
          <a:endParaRPr lang="en-GB"/>
        </a:p>
      </dgm:t>
    </dgm:pt>
    <dgm:pt modelId="{1672DF78-7B40-41BE-A3A1-AFA5C15F5A57}" type="pres">
      <dgm:prSet presAssocID="{F72F393C-A2F5-4D96-857B-DEEFB73351C4}" presName="cycle" presStyleCnt="0">
        <dgm:presLayoutVars>
          <dgm:dir/>
          <dgm:resizeHandles val="exact"/>
        </dgm:presLayoutVars>
      </dgm:prSet>
      <dgm:spPr/>
    </dgm:pt>
    <dgm:pt modelId="{54394272-462E-434B-AA49-5FCCD8782262}" type="pres">
      <dgm:prSet presAssocID="{CBD939D0-ACE2-47FB-B7D2-59905FEA05E0}" presName="node" presStyleLbl="node1" presStyleIdx="0" presStyleCnt="5">
        <dgm:presLayoutVars>
          <dgm:bulletEnabled val="1"/>
        </dgm:presLayoutVars>
      </dgm:prSet>
      <dgm:spPr/>
    </dgm:pt>
    <dgm:pt modelId="{1D20D698-9015-42C6-AD17-C4B6E3780A2F}" type="pres">
      <dgm:prSet presAssocID="{81E46D16-4D3A-4FDF-9760-26214C3E28C5}" presName="sibTrans" presStyleLbl="sibTrans2D1" presStyleIdx="0" presStyleCnt="5"/>
      <dgm:spPr/>
    </dgm:pt>
    <dgm:pt modelId="{830D95E3-8F85-464B-9719-63E31B4E5D38}" type="pres">
      <dgm:prSet presAssocID="{81E46D16-4D3A-4FDF-9760-26214C3E28C5}" presName="connectorText" presStyleLbl="sibTrans2D1" presStyleIdx="0" presStyleCnt="5"/>
      <dgm:spPr/>
    </dgm:pt>
    <dgm:pt modelId="{6A5F0295-3032-49E4-9440-9E26D73EE1E0}" type="pres">
      <dgm:prSet presAssocID="{DA230A74-1E36-4215-8506-FAEF934625D8}" presName="node" presStyleLbl="node1" presStyleIdx="1" presStyleCnt="5">
        <dgm:presLayoutVars>
          <dgm:bulletEnabled val="1"/>
        </dgm:presLayoutVars>
      </dgm:prSet>
      <dgm:spPr/>
    </dgm:pt>
    <dgm:pt modelId="{2EA33DB2-AC15-459B-A324-8939A20EE3DF}" type="pres">
      <dgm:prSet presAssocID="{68D5D8F1-4860-419A-98EC-2150A63FA77D}" presName="sibTrans" presStyleLbl="sibTrans2D1" presStyleIdx="1" presStyleCnt="5"/>
      <dgm:spPr/>
    </dgm:pt>
    <dgm:pt modelId="{B60DD63E-6757-4C79-95A6-13664492CF15}" type="pres">
      <dgm:prSet presAssocID="{68D5D8F1-4860-419A-98EC-2150A63FA77D}" presName="connectorText" presStyleLbl="sibTrans2D1" presStyleIdx="1" presStyleCnt="5"/>
      <dgm:spPr/>
    </dgm:pt>
    <dgm:pt modelId="{94CC434A-4DD9-43F8-8B07-0A4B0A6EF00E}" type="pres">
      <dgm:prSet presAssocID="{4EC7D7B7-6A98-46A4-AF14-491815757C8E}" presName="node" presStyleLbl="node1" presStyleIdx="2" presStyleCnt="5">
        <dgm:presLayoutVars>
          <dgm:bulletEnabled val="1"/>
        </dgm:presLayoutVars>
      </dgm:prSet>
      <dgm:spPr/>
    </dgm:pt>
    <dgm:pt modelId="{36F095A9-C285-4F05-AB1E-F1378F0673B9}" type="pres">
      <dgm:prSet presAssocID="{CE4283B7-E74A-4EA3-9E6A-3FC4D816495A}" presName="sibTrans" presStyleLbl="sibTrans2D1" presStyleIdx="2" presStyleCnt="5"/>
      <dgm:spPr/>
    </dgm:pt>
    <dgm:pt modelId="{D0DD8245-A021-419D-93FC-4396DBB5A6F8}" type="pres">
      <dgm:prSet presAssocID="{CE4283B7-E74A-4EA3-9E6A-3FC4D816495A}" presName="connectorText" presStyleLbl="sibTrans2D1" presStyleIdx="2" presStyleCnt="5"/>
      <dgm:spPr/>
    </dgm:pt>
    <dgm:pt modelId="{CE7BCFF0-A3A0-4DCB-AB2A-0A785F3F0213}" type="pres">
      <dgm:prSet presAssocID="{0BCD681C-F0BD-4DE7-9F7E-3D8E1C62915C}" presName="node" presStyleLbl="node1" presStyleIdx="3" presStyleCnt="5">
        <dgm:presLayoutVars>
          <dgm:bulletEnabled val="1"/>
        </dgm:presLayoutVars>
      </dgm:prSet>
      <dgm:spPr/>
    </dgm:pt>
    <dgm:pt modelId="{BD328B07-CB57-48A0-830A-79B132861C7A}" type="pres">
      <dgm:prSet presAssocID="{D2838059-FAE0-4E4E-B48D-CA8E2992D3A5}" presName="sibTrans" presStyleLbl="sibTrans2D1" presStyleIdx="3" presStyleCnt="5"/>
      <dgm:spPr/>
    </dgm:pt>
    <dgm:pt modelId="{CEBD2969-7CE8-4C1B-8FA4-BE40D4BA06F7}" type="pres">
      <dgm:prSet presAssocID="{D2838059-FAE0-4E4E-B48D-CA8E2992D3A5}" presName="connectorText" presStyleLbl="sibTrans2D1" presStyleIdx="3" presStyleCnt="5"/>
      <dgm:spPr/>
    </dgm:pt>
    <dgm:pt modelId="{AEB86F8C-DE60-4A5B-A674-ECAE72A83225}" type="pres">
      <dgm:prSet presAssocID="{38A21EFF-624E-4CF5-85E2-9C5F0DACCD6E}" presName="node" presStyleLbl="node1" presStyleIdx="4" presStyleCnt="5">
        <dgm:presLayoutVars>
          <dgm:bulletEnabled val="1"/>
        </dgm:presLayoutVars>
      </dgm:prSet>
      <dgm:spPr/>
    </dgm:pt>
    <dgm:pt modelId="{3EC90586-2639-4645-91C2-01B5E9501BF3}" type="pres">
      <dgm:prSet presAssocID="{0587A37B-AC29-455A-9417-F84C16CE9A60}" presName="sibTrans" presStyleLbl="sibTrans2D1" presStyleIdx="4" presStyleCnt="5"/>
      <dgm:spPr/>
    </dgm:pt>
    <dgm:pt modelId="{0B52FF43-64C1-4E41-8477-49F5A7DD34BA}" type="pres">
      <dgm:prSet presAssocID="{0587A37B-AC29-455A-9417-F84C16CE9A60}" presName="connectorText" presStyleLbl="sibTrans2D1" presStyleIdx="4" presStyleCnt="5"/>
      <dgm:spPr/>
    </dgm:pt>
  </dgm:ptLst>
  <dgm:cxnLst>
    <dgm:cxn modelId="{1BE35C05-7E67-46A5-862E-01042BAFD657}" type="presOf" srcId="{DA230A74-1E36-4215-8506-FAEF934625D8}" destId="{6A5F0295-3032-49E4-9440-9E26D73EE1E0}" srcOrd="0" destOrd="0" presId="urn:microsoft.com/office/officeart/2005/8/layout/cycle2"/>
    <dgm:cxn modelId="{2BDDA41E-C382-41C4-BDFE-5C8C0BE4CFBA}" srcId="{F72F393C-A2F5-4D96-857B-DEEFB73351C4}" destId="{4EC7D7B7-6A98-46A4-AF14-491815757C8E}" srcOrd="2" destOrd="0" parTransId="{5A42F5C5-E4EA-4182-9EA9-6A01B31C2746}" sibTransId="{CE4283B7-E74A-4EA3-9E6A-3FC4D816495A}"/>
    <dgm:cxn modelId="{D7BB4238-646F-434F-ADFA-F734591D8C8D}" type="presOf" srcId="{CE4283B7-E74A-4EA3-9E6A-3FC4D816495A}" destId="{D0DD8245-A021-419D-93FC-4396DBB5A6F8}" srcOrd="1" destOrd="0" presId="urn:microsoft.com/office/officeart/2005/8/layout/cycle2"/>
    <dgm:cxn modelId="{3B6D0D3B-0646-402D-ADA9-C786ECECC3C8}" type="presOf" srcId="{0587A37B-AC29-455A-9417-F84C16CE9A60}" destId="{0B52FF43-64C1-4E41-8477-49F5A7DD34BA}" srcOrd="1" destOrd="0" presId="urn:microsoft.com/office/officeart/2005/8/layout/cycle2"/>
    <dgm:cxn modelId="{F277BE3F-8293-48D1-B9A3-448FA7D144C6}" type="presOf" srcId="{CBD939D0-ACE2-47FB-B7D2-59905FEA05E0}" destId="{54394272-462E-434B-AA49-5FCCD8782262}" srcOrd="0" destOrd="0" presId="urn:microsoft.com/office/officeart/2005/8/layout/cycle2"/>
    <dgm:cxn modelId="{07CB3769-2359-4D30-BA9D-2E121A38E324}" type="presOf" srcId="{0BCD681C-F0BD-4DE7-9F7E-3D8E1C62915C}" destId="{CE7BCFF0-A3A0-4DCB-AB2A-0A785F3F0213}" srcOrd="0" destOrd="0" presId="urn:microsoft.com/office/officeart/2005/8/layout/cycle2"/>
    <dgm:cxn modelId="{0CDB426E-7C9F-4B09-8E92-D5378DF8DBB6}" srcId="{F72F393C-A2F5-4D96-857B-DEEFB73351C4}" destId="{DA230A74-1E36-4215-8506-FAEF934625D8}" srcOrd="1" destOrd="0" parTransId="{68EF3922-DFC4-420C-8A86-0EAE3445C726}" sibTransId="{68D5D8F1-4860-419A-98EC-2150A63FA77D}"/>
    <dgm:cxn modelId="{5121A052-91F7-46D9-82AF-58D8A70BC1C8}" type="presOf" srcId="{68D5D8F1-4860-419A-98EC-2150A63FA77D}" destId="{B60DD63E-6757-4C79-95A6-13664492CF15}" srcOrd="1" destOrd="0" presId="urn:microsoft.com/office/officeart/2005/8/layout/cycle2"/>
    <dgm:cxn modelId="{F9DA0359-BFA9-473E-AF46-96E36FCF5C79}" srcId="{F72F393C-A2F5-4D96-857B-DEEFB73351C4}" destId="{0BCD681C-F0BD-4DE7-9F7E-3D8E1C62915C}" srcOrd="3" destOrd="0" parTransId="{6C9D52CE-E818-47D8-81DE-930172D89813}" sibTransId="{D2838059-FAE0-4E4E-B48D-CA8E2992D3A5}"/>
    <dgm:cxn modelId="{C7910A82-89D1-4ACA-B35C-E0834D600E33}" type="presOf" srcId="{F72F393C-A2F5-4D96-857B-DEEFB73351C4}" destId="{1672DF78-7B40-41BE-A3A1-AFA5C15F5A57}" srcOrd="0" destOrd="0" presId="urn:microsoft.com/office/officeart/2005/8/layout/cycle2"/>
    <dgm:cxn modelId="{1759B48B-9A55-4FDB-801F-CDFA51E2059A}" type="presOf" srcId="{38A21EFF-624E-4CF5-85E2-9C5F0DACCD6E}" destId="{AEB86F8C-DE60-4A5B-A674-ECAE72A83225}" srcOrd="0" destOrd="0" presId="urn:microsoft.com/office/officeart/2005/8/layout/cycle2"/>
    <dgm:cxn modelId="{E55D568D-EEDE-4509-A40B-A5D4E5B212DE}" type="presOf" srcId="{CE4283B7-E74A-4EA3-9E6A-3FC4D816495A}" destId="{36F095A9-C285-4F05-AB1E-F1378F0673B9}" srcOrd="0" destOrd="0" presId="urn:microsoft.com/office/officeart/2005/8/layout/cycle2"/>
    <dgm:cxn modelId="{309EC88D-FF9B-4E53-84A3-73C4E9E17478}" type="presOf" srcId="{81E46D16-4D3A-4FDF-9760-26214C3E28C5}" destId="{1D20D698-9015-42C6-AD17-C4B6E3780A2F}" srcOrd="0" destOrd="0" presId="urn:microsoft.com/office/officeart/2005/8/layout/cycle2"/>
    <dgm:cxn modelId="{347B8B95-51C8-40F5-A782-2D3474B85361}" srcId="{F72F393C-A2F5-4D96-857B-DEEFB73351C4}" destId="{38A21EFF-624E-4CF5-85E2-9C5F0DACCD6E}" srcOrd="4" destOrd="0" parTransId="{A763CC77-5450-477B-9BC2-262E2BF60C84}" sibTransId="{0587A37B-AC29-455A-9417-F84C16CE9A60}"/>
    <dgm:cxn modelId="{FCC0DCA8-9BDE-4D0D-9946-CA1DC5846F02}" srcId="{F72F393C-A2F5-4D96-857B-DEEFB73351C4}" destId="{CBD939D0-ACE2-47FB-B7D2-59905FEA05E0}" srcOrd="0" destOrd="0" parTransId="{3498912D-47E3-4AF1-A543-219CA1042B88}" sibTransId="{81E46D16-4D3A-4FDF-9760-26214C3E28C5}"/>
    <dgm:cxn modelId="{153143AA-9F2B-4A50-B2B3-630E430979A9}" type="presOf" srcId="{0587A37B-AC29-455A-9417-F84C16CE9A60}" destId="{3EC90586-2639-4645-91C2-01B5E9501BF3}" srcOrd="0" destOrd="0" presId="urn:microsoft.com/office/officeart/2005/8/layout/cycle2"/>
    <dgm:cxn modelId="{ADA4EACF-A285-406C-A4A1-79B56576E678}" type="presOf" srcId="{81E46D16-4D3A-4FDF-9760-26214C3E28C5}" destId="{830D95E3-8F85-464B-9719-63E31B4E5D38}" srcOrd="1" destOrd="0" presId="urn:microsoft.com/office/officeart/2005/8/layout/cycle2"/>
    <dgm:cxn modelId="{8DA38BDC-5615-4147-BDD5-315E1A0F22B8}" type="presOf" srcId="{68D5D8F1-4860-419A-98EC-2150A63FA77D}" destId="{2EA33DB2-AC15-459B-A324-8939A20EE3DF}" srcOrd="0" destOrd="0" presId="urn:microsoft.com/office/officeart/2005/8/layout/cycle2"/>
    <dgm:cxn modelId="{FE17E7E7-89A2-46A8-A916-A0B0E6E7EF5E}" type="presOf" srcId="{D2838059-FAE0-4E4E-B48D-CA8E2992D3A5}" destId="{BD328B07-CB57-48A0-830A-79B132861C7A}" srcOrd="0" destOrd="0" presId="urn:microsoft.com/office/officeart/2005/8/layout/cycle2"/>
    <dgm:cxn modelId="{0A41F0ED-1C6F-402D-9544-41C5831A3D73}" type="presOf" srcId="{D2838059-FAE0-4E4E-B48D-CA8E2992D3A5}" destId="{CEBD2969-7CE8-4C1B-8FA4-BE40D4BA06F7}" srcOrd="1" destOrd="0" presId="urn:microsoft.com/office/officeart/2005/8/layout/cycle2"/>
    <dgm:cxn modelId="{D2C5FCF9-6EB4-48F9-8A92-D2CB3A6DF48C}" type="presOf" srcId="{4EC7D7B7-6A98-46A4-AF14-491815757C8E}" destId="{94CC434A-4DD9-43F8-8B07-0A4B0A6EF00E}" srcOrd="0" destOrd="0" presId="urn:microsoft.com/office/officeart/2005/8/layout/cycle2"/>
    <dgm:cxn modelId="{9327F28B-B5CE-4939-84EC-B7F62BF8ADFF}" type="presParOf" srcId="{1672DF78-7B40-41BE-A3A1-AFA5C15F5A57}" destId="{54394272-462E-434B-AA49-5FCCD8782262}" srcOrd="0" destOrd="0" presId="urn:microsoft.com/office/officeart/2005/8/layout/cycle2"/>
    <dgm:cxn modelId="{2EC24D62-B1FD-40DB-A3CA-0232E539A942}" type="presParOf" srcId="{1672DF78-7B40-41BE-A3A1-AFA5C15F5A57}" destId="{1D20D698-9015-42C6-AD17-C4B6E3780A2F}" srcOrd="1" destOrd="0" presId="urn:microsoft.com/office/officeart/2005/8/layout/cycle2"/>
    <dgm:cxn modelId="{93B0B084-FCCF-411F-86B0-97550495D6C1}" type="presParOf" srcId="{1D20D698-9015-42C6-AD17-C4B6E3780A2F}" destId="{830D95E3-8F85-464B-9719-63E31B4E5D38}" srcOrd="0" destOrd="0" presId="urn:microsoft.com/office/officeart/2005/8/layout/cycle2"/>
    <dgm:cxn modelId="{C0BF7D4E-C4BB-46C3-8E77-0F90CBC9A002}" type="presParOf" srcId="{1672DF78-7B40-41BE-A3A1-AFA5C15F5A57}" destId="{6A5F0295-3032-49E4-9440-9E26D73EE1E0}" srcOrd="2" destOrd="0" presId="urn:microsoft.com/office/officeart/2005/8/layout/cycle2"/>
    <dgm:cxn modelId="{7E98E53D-BCBE-4C0F-8957-211A845F0B79}" type="presParOf" srcId="{1672DF78-7B40-41BE-A3A1-AFA5C15F5A57}" destId="{2EA33DB2-AC15-459B-A324-8939A20EE3DF}" srcOrd="3" destOrd="0" presId="urn:microsoft.com/office/officeart/2005/8/layout/cycle2"/>
    <dgm:cxn modelId="{52116636-D368-4967-B603-9CD4050738D7}" type="presParOf" srcId="{2EA33DB2-AC15-459B-A324-8939A20EE3DF}" destId="{B60DD63E-6757-4C79-95A6-13664492CF15}" srcOrd="0" destOrd="0" presId="urn:microsoft.com/office/officeart/2005/8/layout/cycle2"/>
    <dgm:cxn modelId="{2FBDDAA2-9861-44DD-ADFC-D011D134BF51}" type="presParOf" srcId="{1672DF78-7B40-41BE-A3A1-AFA5C15F5A57}" destId="{94CC434A-4DD9-43F8-8B07-0A4B0A6EF00E}" srcOrd="4" destOrd="0" presId="urn:microsoft.com/office/officeart/2005/8/layout/cycle2"/>
    <dgm:cxn modelId="{7DA418E2-6B0D-4007-A66D-A92834DC9976}" type="presParOf" srcId="{1672DF78-7B40-41BE-A3A1-AFA5C15F5A57}" destId="{36F095A9-C285-4F05-AB1E-F1378F0673B9}" srcOrd="5" destOrd="0" presId="urn:microsoft.com/office/officeart/2005/8/layout/cycle2"/>
    <dgm:cxn modelId="{E2EDF3DE-B8CC-4B3A-8476-BDBDA1843004}" type="presParOf" srcId="{36F095A9-C285-4F05-AB1E-F1378F0673B9}" destId="{D0DD8245-A021-419D-93FC-4396DBB5A6F8}" srcOrd="0" destOrd="0" presId="urn:microsoft.com/office/officeart/2005/8/layout/cycle2"/>
    <dgm:cxn modelId="{E5549217-D4A9-4EBA-9A1B-DDDB0899B789}" type="presParOf" srcId="{1672DF78-7B40-41BE-A3A1-AFA5C15F5A57}" destId="{CE7BCFF0-A3A0-4DCB-AB2A-0A785F3F0213}" srcOrd="6" destOrd="0" presId="urn:microsoft.com/office/officeart/2005/8/layout/cycle2"/>
    <dgm:cxn modelId="{5A28D6AB-95F7-4A32-8AFD-5FEC6A283F8F}" type="presParOf" srcId="{1672DF78-7B40-41BE-A3A1-AFA5C15F5A57}" destId="{BD328B07-CB57-48A0-830A-79B132861C7A}" srcOrd="7" destOrd="0" presId="urn:microsoft.com/office/officeart/2005/8/layout/cycle2"/>
    <dgm:cxn modelId="{1BFC5DAD-063E-4CC2-9B61-89C9E754987B}" type="presParOf" srcId="{BD328B07-CB57-48A0-830A-79B132861C7A}" destId="{CEBD2969-7CE8-4C1B-8FA4-BE40D4BA06F7}" srcOrd="0" destOrd="0" presId="urn:microsoft.com/office/officeart/2005/8/layout/cycle2"/>
    <dgm:cxn modelId="{8F1322A6-9392-4D90-996E-12558830B17E}" type="presParOf" srcId="{1672DF78-7B40-41BE-A3A1-AFA5C15F5A57}" destId="{AEB86F8C-DE60-4A5B-A674-ECAE72A83225}" srcOrd="8" destOrd="0" presId="urn:microsoft.com/office/officeart/2005/8/layout/cycle2"/>
    <dgm:cxn modelId="{4FCC8C51-D596-4330-BD11-4F4A51B3583F}" type="presParOf" srcId="{1672DF78-7B40-41BE-A3A1-AFA5C15F5A57}" destId="{3EC90586-2639-4645-91C2-01B5E9501BF3}" srcOrd="9" destOrd="0" presId="urn:microsoft.com/office/officeart/2005/8/layout/cycle2"/>
    <dgm:cxn modelId="{BCAD8358-C082-48D2-BEC4-27A4A4414E0E}" type="presParOf" srcId="{3EC90586-2639-4645-91C2-01B5E9501BF3}" destId="{0B52FF43-64C1-4E41-8477-49F5A7DD34BA}" srcOrd="0" destOrd="0" presId="urn:microsoft.com/office/officeart/2005/8/layout/cycle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ED1C7D-939F-4E94-A531-2DB5FDC1D970}" type="doc">
      <dgm:prSet loTypeId="urn:microsoft.com/office/officeart/2005/8/layout/arrow4" loCatId="relationship" qsTypeId="urn:microsoft.com/office/officeart/2005/8/quickstyle/3d2" qsCatId="3D" csTypeId="urn:microsoft.com/office/officeart/2005/8/colors/colorful4" csCatId="colorful" phldr="1"/>
      <dgm:spPr/>
      <dgm:t>
        <a:bodyPr/>
        <a:lstStyle/>
        <a:p>
          <a:endParaRPr lang="en-PK"/>
        </a:p>
      </dgm:t>
    </dgm:pt>
    <dgm:pt modelId="{B83E4833-F143-4A5F-B04B-A97B8E169995}">
      <dgm:prSet phldrT="[Text]" custT="1"/>
      <dgm:spPr/>
      <dgm:t>
        <a:bodyPr/>
        <a:lstStyle/>
        <a:p>
          <a:r>
            <a:rPr lang="en-US" sz="1400" b="1">
              <a:latin typeface="Arial" panose="020B0604020202020204" pitchFamily="34" charset="0"/>
              <a:cs typeface="Arial" panose="020B0604020202020204" pitchFamily="34" charset="0"/>
            </a:rPr>
            <a:t>Zero-based Budget</a:t>
          </a:r>
          <a:endParaRPr lang="en-PK" sz="1400" b="1">
            <a:latin typeface="Arial" panose="020B0604020202020204" pitchFamily="34" charset="0"/>
            <a:cs typeface="Arial" panose="020B0604020202020204" pitchFamily="34" charset="0"/>
          </a:endParaRPr>
        </a:p>
      </dgm:t>
    </dgm:pt>
    <dgm:pt modelId="{9329A9AB-8E2A-4693-9600-EA5E401B3B23}" type="parTrans" cxnId="{1A54762E-B05A-49DB-907B-EF1A7A2B217D}">
      <dgm:prSet/>
      <dgm:spPr/>
      <dgm:t>
        <a:bodyPr/>
        <a:lstStyle/>
        <a:p>
          <a:endParaRPr lang="en-PK"/>
        </a:p>
      </dgm:t>
    </dgm:pt>
    <dgm:pt modelId="{F567AFD3-7BF8-4219-8AE9-172A198CB7D6}" type="sibTrans" cxnId="{1A54762E-B05A-49DB-907B-EF1A7A2B217D}">
      <dgm:prSet/>
      <dgm:spPr/>
      <dgm:t>
        <a:bodyPr/>
        <a:lstStyle/>
        <a:p>
          <a:endParaRPr lang="en-PK"/>
        </a:p>
      </dgm:t>
    </dgm:pt>
    <dgm:pt modelId="{6DB2D1D8-9301-4C94-83B0-97C87EF61453}">
      <dgm:prSet phldrT="[Text]" custT="1"/>
      <dgm:spPr/>
      <dgm:t>
        <a:bodyPr/>
        <a:lstStyle/>
        <a:p>
          <a:r>
            <a:rPr lang="en-US" sz="1200">
              <a:latin typeface="Arial" panose="020B0604020202020204" pitchFamily="34" charset="0"/>
              <a:cs typeface="Arial" panose="020B0604020202020204" pitchFamily="34" charset="0"/>
            </a:rPr>
            <a:t>Innovation</a:t>
          </a:r>
          <a:endParaRPr lang="en-PK" sz="1900">
            <a:latin typeface="Arial" panose="020B0604020202020204" pitchFamily="34" charset="0"/>
            <a:cs typeface="Arial" panose="020B0604020202020204" pitchFamily="34" charset="0"/>
          </a:endParaRPr>
        </a:p>
      </dgm:t>
    </dgm:pt>
    <dgm:pt modelId="{B7AD2816-E4DD-4D55-AD45-BADC200A492B}" type="parTrans" cxnId="{932C2892-B530-4851-85FC-28D868CF09A2}">
      <dgm:prSet/>
      <dgm:spPr/>
      <dgm:t>
        <a:bodyPr/>
        <a:lstStyle/>
        <a:p>
          <a:endParaRPr lang="en-PK"/>
        </a:p>
      </dgm:t>
    </dgm:pt>
    <dgm:pt modelId="{7E5D9834-FA18-44D5-A488-5AD6C71BD225}" type="sibTrans" cxnId="{932C2892-B530-4851-85FC-28D868CF09A2}">
      <dgm:prSet/>
      <dgm:spPr/>
      <dgm:t>
        <a:bodyPr/>
        <a:lstStyle/>
        <a:p>
          <a:endParaRPr lang="en-PK"/>
        </a:p>
      </dgm:t>
    </dgm:pt>
    <dgm:pt modelId="{EA1F23EE-0B05-4DFA-AB8F-65663B0AFA79}">
      <dgm:prSet phldrT="[Text]" custT="1"/>
      <dgm:spPr/>
      <dgm:t>
        <a:bodyPr/>
        <a:lstStyle/>
        <a:p>
          <a:pPr algn="l"/>
          <a:r>
            <a:rPr lang="en-US" sz="1400" b="1">
              <a:latin typeface="Arial" panose="020B0604020202020204" pitchFamily="34" charset="0"/>
              <a:cs typeface="Arial" panose="020B0604020202020204" pitchFamily="34" charset="0"/>
            </a:rPr>
            <a:t>Traditional Budget</a:t>
          </a:r>
          <a:endParaRPr lang="en-PK" sz="1400" b="1">
            <a:latin typeface="Arial" panose="020B0604020202020204" pitchFamily="34" charset="0"/>
            <a:cs typeface="Arial" panose="020B0604020202020204" pitchFamily="34" charset="0"/>
          </a:endParaRPr>
        </a:p>
      </dgm:t>
    </dgm:pt>
    <dgm:pt modelId="{9A79063D-9B68-47C4-B550-C919E0B76AE1}" type="parTrans" cxnId="{74F8CFCE-A643-45AA-A0AA-2A93E2C0EE58}">
      <dgm:prSet/>
      <dgm:spPr/>
      <dgm:t>
        <a:bodyPr/>
        <a:lstStyle/>
        <a:p>
          <a:endParaRPr lang="en-PK"/>
        </a:p>
      </dgm:t>
    </dgm:pt>
    <dgm:pt modelId="{C1EED763-7981-49B6-B7FC-F6D4ECD89F54}" type="sibTrans" cxnId="{74F8CFCE-A643-45AA-A0AA-2A93E2C0EE58}">
      <dgm:prSet/>
      <dgm:spPr/>
      <dgm:t>
        <a:bodyPr/>
        <a:lstStyle/>
        <a:p>
          <a:endParaRPr lang="en-PK"/>
        </a:p>
      </dgm:t>
    </dgm:pt>
    <dgm:pt modelId="{94D0169E-E8A7-436B-B62B-FA2C082BAF1F}">
      <dgm:prSet phldrT="[Text]" custT="1"/>
      <dgm:spPr/>
      <dgm:t>
        <a:bodyPr/>
        <a:lstStyle/>
        <a:p>
          <a:r>
            <a:rPr lang="en-US" sz="1200">
              <a:latin typeface="Arial" panose="020B0604020202020204" pitchFamily="34" charset="0"/>
              <a:cs typeface="Arial" panose="020B0604020202020204" pitchFamily="34" charset="0"/>
            </a:rPr>
            <a:t>Effective allocation of resources</a:t>
          </a:r>
          <a:endParaRPr lang="en-PK" sz="1900">
            <a:latin typeface="Arial" panose="020B0604020202020204" pitchFamily="34" charset="0"/>
            <a:cs typeface="Arial" panose="020B0604020202020204" pitchFamily="34" charset="0"/>
          </a:endParaRPr>
        </a:p>
      </dgm:t>
    </dgm:pt>
    <dgm:pt modelId="{132ACF6D-FE5E-4C64-810D-5537A5D2876F}" type="parTrans" cxnId="{2AD18E7E-FF40-4FC0-B1CE-45A9DC0EE603}">
      <dgm:prSet/>
      <dgm:spPr/>
      <dgm:t>
        <a:bodyPr/>
        <a:lstStyle/>
        <a:p>
          <a:endParaRPr lang="en-GB"/>
        </a:p>
      </dgm:t>
    </dgm:pt>
    <dgm:pt modelId="{8C5D524F-AC44-470B-A255-A20B4E835F02}" type="sibTrans" cxnId="{2AD18E7E-FF40-4FC0-B1CE-45A9DC0EE603}">
      <dgm:prSet/>
      <dgm:spPr/>
      <dgm:t>
        <a:bodyPr/>
        <a:lstStyle/>
        <a:p>
          <a:endParaRPr lang="en-GB"/>
        </a:p>
      </dgm:t>
    </dgm:pt>
    <dgm:pt modelId="{6999A593-54FE-4C81-BA79-2340E0402CAC}">
      <dgm:prSet phldrT="[Text]" custT="1"/>
      <dgm:spPr/>
      <dgm:t>
        <a:bodyPr/>
        <a:lstStyle/>
        <a:p>
          <a:r>
            <a:rPr lang="en-US" sz="1200">
              <a:latin typeface="Arial" panose="020B0604020202020204" pitchFamily="34" charset="0"/>
              <a:cs typeface="Arial" panose="020B0604020202020204" pitchFamily="34" charset="0"/>
            </a:rPr>
            <a:t>Situational</a:t>
          </a:r>
        </a:p>
        <a:p>
          <a:r>
            <a:rPr lang="en-US" sz="1900">
              <a:latin typeface="Arial" panose="020B0604020202020204" pitchFamily="34" charset="0"/>
              <a:cs typeface="Arial" panose="020B0604020202020204" pitchFamily="34" charset="0"/>
            </a:rPr>
            <a:t> </a:t>
          </a:r>
          <a:endParaRPr lang="en-PK" sz="1900">
            <a:latin typeface="Arial" panose="020B0604020202020204" pitchFamily="34" charset="0"/>
            <a:cs typeface="Arial" panose="020B0604020202020204" pitchFamily="34" charset="0"/>
          </a:endParaRPr>
        </a:p>
      </dgm:t>
    </dgm:pt>
    <dgm:pt modelId="{072DDC8F-B3E3-4BC5-96E9-5DE6D74176E2}" type="parTrans" cxnId="{637ECD4D-5DB6-436C-9D47-4FEDC446BE61}">
      <dgm:prSet/>
      <dgm:spPr/>
      <dgm:t>
        <a:bodyPr/>
        <a:lstStyle/>
        <a:p>
          <a:endParaRPr lang="en-GB"/>
        </a:p>
      </dgm:t>
    </dgm:pt>
    <dgm:pt modelId="{1A923B54-D3B1-419A-B649-C563E3873A4C}" type="sibTrans" cxnId="{637ECD4D-5DB6-436C-9D47-4FEDC446BE61}">
      <dgm:prSet/>
      <dgm:spPr/>
      <dgm:t>
        <a:bodyPr/>
        <a:lstStyle/>
        <a:p>
          <a:endParaRPr lang="en-GB"/>
        </a:p>
      </dgm:t>
    </dgm:pt>
    <dgm:pt modelId="{FE39B53A-C118-4FB6-A687-A5306D6A7CE0}">
      <dgm:prSet phldrT="[Text]" custT="1"/>
      <dgm:spPr/>
      <dgm:t>
        <a:bodyPr/>
        <a:lstStyle/>
        <a:p>
          <a:pPr algn="l"/>
          <a:r>
            <a:rPr lang="en-US" sz="1200">
              <a:latin typeface="Arial" panose="020B0604020202020204" pitchFamily="34" charset="0"/>
              <a:cs typeface="Arial" panose="020B0604020202020204" pitchFamily="34" charset="0"/>
            </a:rPr>
            <a:t>Obsolete</a:t>
          </a:r>
          <a:endParaRPr lang="en-PK" sz="1200">
            <a:latin typeface="Arial" panose="020B0604020202020204" pitchFamily="34" charset="0"/>
            <a:cs typeface="Arial" panose="020B0604020202020204" pitchFamily="34" charset="0"/>
          </a:endParaRPr>
        </a:p>
      </dgm:t>
    </dgm:pt>
    <dgm:pt modelId="{077394FE-D057-41BF-BA29-E38D70D302BF}" type="parTrans" cxnId="{33609E68-EA84-48AD-8E75-90ADCF10457C}">
      <dgm:prSet/>
      <dgm:spPr/>
      <dgm:t>
        <a:bodyPr/>
        <a:lstStyle/>
        <a:p>
          <a:endParaRPr lang="en-GB"/>
        </a:p>
      </dgm:t>
    </dgm:pt>
    <dgm:pt modelId="{2D2F1AC9-B310-4DC2-B070-4A95C5843980}" type="sibTrans" cxnId="{33609E68-EA84-48AD-8E75-90ADCF10457C}">
      <dgm:prSet/>
      <dgm:spPr/>
      <dgm:t>
        <a:bodyPr/>
        <a:lstStyle/>
        <a:p>
          <a:endParaRPr lang="en-GB"/>
        </a:p>
      </dgm:t>
    </dgm:pt>
    <dgm:pt modelId="{CF395555-F3B8-4839-A031-78E92EC11BCC}">
      <dgm:prSet phldrT="[Text]" custT="1"/>
      <dgm:spPr/>
      <dgm:t>
        <a:bodyPr/>
        <a:lstStyle/>
        <a:p>
          <a:pPr algn="l"/>
          <a:r>
            <a:rPr lang="en-US" sz="1200">
              <a:latin typeface="Arial" panose="020B0604020202020204" pitchFamily="34" charset="0"/>
              <a:cs typeface="Arial" panose="020B0604020202020204" pitchFamily="34" charset="0"/>
            </a:rPr>
            <a:t>Ineffective allocation of resources</a:t>
          </a:r>
          <a:endParaRPr lang="en-PK" sz="1200">
            <a:latin typeface="Arial" panose="020B0604020202020204" pitchFamily="34" charset="0"/>
            <a:cs typeface="Arial" panose="020B0604020202020204" pitchFamily="34" charset="0"/>
          </a:endParaRPr>
        </a:p>
      </dgm:t>
    </dgm:pt>
    <dgm:pt modelId="{963CEB60-D5B0-42F9-A259-181E51C06D56}" type="parTrans" cxnId="{9E2A3DBB-14DD-419B-B98B-6EE3AD7F8BC6}">
      <dgm:prSet/>
      <dgm:spPr/>
      <dgm:t>
        <a:bodyPr/>
        <a:lstStyle/>
        <a:p>
          <a:endParaRPr lang="en-GB"/>
        </a:p>
      </dgm:t>
    </dgm:pt>
    <dgm:pt modelId="{6E5B1CF0-1A82-4A98-B568-3C04EE39B71D}" type="sibTrans" cxnId="{9E2A3DBB-14DD-419B-B98B-6EE3AD7F8BC6}">
      <dgm:prSet/>
      <dgm:spPr/>
      <dgm:t>
        <a:bodyPr/>
        <a:lstStyle/>
        <a:p>
          <a:endParaRPr lang="en-GB"/>
        </a:p>
      </dgm:t>
    </dgm:pt>
    <dgm:pt modelId="{23AFC6FC-1EF4-4660-9E5F-16A6FD4AE38D}">
      <dgm:prSet phldrT="[Text]" custT="1"/>
      <dgm:spPr/>
      <dgm:t>
        <a:bodyPr/>
        <a:lstStyle/>
        <a:p>
          <a:pPr algn="l"/>
          <a:r>
            <a:rPr lang="en-US" sz="1200">
              <a:latin typeface="Arial" panose="020B0604020202020204" pitchFamily="34" charset="0"/>
              <a:cs typeface="Arial" panose="020B0604020202020204" pitchFamily="34" charset="0"/>
            </a:rPr>
            <a:t>Fixed</a:t>
          </a:r>
        </a:p>
        <a:p>
          <a:pPr algn="r"/>
          <a:endParaRPr lang="en-PK" sz="1200"/>
        </a:p>
      </dgm:t>
    </dgm:pt>
    <dgm:pt modelId="{4B2CD9CD-6FD6-4CEE-8D5F-FC690093C472}" type="parTrans" cxnId="{DF52606A-BF57-49C0-A90A-C7B382375D57}">
      <dgm:prSet/>
      <dgm:spPr/>
      <dgm:t>
        <a:bodyPr/>
        <a:lstStyle/>
        <a:p>
          <a:endParaRPr lang="en-GB"/>
        </a:p>
      </dgm:t>
    </dgm:pt>
    <dgm:pt modelId="{E46ACA44-39A8-4041-A019-3A1426BF7780}" type="sibTrans" cxnId="{DF52606A-BF57-49C0-A90A-C7B382375D57}">
      <dgm:prSet/>
      <dgm:spPr/>
      <dgm:t>
        <a:bodyPr/>
        <a:lstStyle/>
        <a:p>
          <a:endParaRPr lang="en-GB"/>
        </a:p>
      </dgm:t>
    </dgm:pt>
    <dgm:pt modelId="{2ED3D871-3295-4E9E-8CB5-729B132F8CF6}" type="pres">
      <dgm:prSet presAssocID="{7DED1C7D-939F-4E94-A531-2DB5FDC1D970}" presName="compositeShape" presStyleCnt="0">
        <dgm:presLayoutVars>
          <dgm:chMax val="2"/>
          <dgm:dir/>
          <dgm:resizeHandles val="exact"/>
        </dgm:presLayoutVars>
      </dgm:prSet>
      <dgm:spPr/>
    </dgm:pt>
    <dgm:pt modelId="{32FAD360-7513-4463-B73F-5B2D02E3B9DF}" type="pres">
      <dgm:prSet presAssocID="{B83E4833-F143-4A5F-B04B-A97B8E169995}" presName="upArrow" presStyleLbl="node1" presStyleIdx="0" presStyleCnt="2"/>
      <dgm:spPr/>
    </dgm:pt>
    <dgm:pt modelId="{074D57E8-054E-4093-BA11-7A5A4564A572}" type="pres">
      <dgm:prSet presAssocID="{B83E4833-F143-4A5F-B04B-A97B8E169995}" presName="upArrowText" presStyleLbl="revTx" presStyleIdx="0" presStyleCnt="2">
        <dgm:presLayoutVars>
          <dgm:chMax val="0"/>
          <dgm:bulletEnabled val="1"/>
        </dgm:presLayoutVars>
      </dgm:prSet>
      <dgm:spPr/>
    </dgm:pt>
    <dgm:pt modelId="{18A2AE44-230D-42B0-B3AE-A5026B43985C}" type="pres">
      <dgm:prSet presAssocID="{EA1F23EE-0B05-4DFA-AB8F-65663B0AFA79}" presName="downArrow" presStyleLbl="node1" presStyleIdx="1" presStyleCnt="2"/>
      <dgm:spPr/>
    </dgm:pt>
    <dgm:pt modelId="{F7669D1A-7FCA-4015-8AC1-E9159803F12E}" type="pres">
      <dgm:prSet presAssocID="{EA1F23EE-0B05-4DFA-AB8F-65663B0AFA79}" presName="downArrowText" presStyleLbl="revTx" presStyleIdx="1" presStyleCnt="2">
        <dgm:presLayoutVars>
          <dgm:chMax val="0"/>
          <dgm:bulletEnabled val="1"/>
        </dgm:presLayoutVars>
      </dgm:prSet>
      <dgm:spPr/>
    </dgm:pt>
  </dgm:ptLst>
  <dgm:cxnLst>
    <dgm:cxn modelId="{9C5F650D-E8B4-4B7C-A7E3-D1D75EACDE2B}" type="presOf" srcId="{FE39B53A-C118-4FB6-A687-A5306D6A7CE0}" destId="{F7669D1A-7FCA-4015-8AC1-E9159803F12E}" srcOrd="0" destOrd="1" presId="urn:microsoft.com/office/officeart/2005/8/layout/arrow4"/>
    <dgm:cxn modelId="{876AD116-F86E-47A8-BFF7-1852B6B2284D}" type="presOf" srcId="{EA1F23EE-0B05-4DFA-AB8F-65663B0AFA79}" destId="{F7669D1A-7FCA-4015-8AC1-E9159803F12E}" srcOrd="0" destOrd="0" presId="urn:microsoft.com/office/officeart/2005/8/layout/arrow4"/>
    <dgm:cxn modelId="{FC45AD18-A25C-4359-8678-0D0EB4CBA610}" type="presOf" srcId="{23AFC6FC-1EF4-4660-9E5F-16A6FD4AE38D}" destId="{F7669D1A-7FCA-4015-8AC1-E9159803F12E}" srcOrd="0" destOrd="3" presId="urn:microsoft.com/office/officeart/2005/8/layout/arrow4"/>
    <dgm:cxn modelId="{1A54762E-B05A-49DB-907B-EF1A7A2B217D}" srcId="{7DED1C7D-939F-4E94-A531-2DB5FDC1D970}" destId="{B83E4833-F143-4A5F-B04B-A97B8E169995}" srcOrd="0" destOrd="0" parTransId="{9329A9AB-8E2A-4693-9600-EA5E401B3B23}" sibTransId="{F567AFD3-7BF8-4219-8AE9-172A198CB7D6}"/>
    <dgm:cxn modelId="{33609E68-EA84-48AD-8E75-90ADCF10457C}" srcId="{EA1F23EE-0B05-4DFA-AB8F-65663B0AFA79}" destId="{FE39B53A-C118-4FB6-A687-A5306D6A7CE0}" srcOrd="0" destOrd="0" parTransId="{077394FE-D057-41BF-BA29-E38D70D302BF}" sibTransId="{2D2F1AC9-B310-4DC2-B070-4A95C5843980}"/>
    <dgm:cxn modelId="{DF52606A-BF57-49C0-A90A-C7B382375D57}" srcId="{EA1F23EE-0B05-4DFA-AB8F-65663B0AFA79}" destId="{23AFC6FC-1EF4-4660-9E5F-16A6FD4AE38D}" srcOrd="2" destOrd="0" parTransId="{4B2CD9CD-6FD6-4CEE-8D5F-FC690093C472}" sibTransId="{E46ACA44-39A8-4041-A019-3A1426BF7780}"/>
    <dgm:cxn modelId="{637ECD4D-5DB6-436C-9D47-4FEDC446BE61}" srcId="{B83E4833-F143-4A5F-B04B-A97B8E169995}" destId="{6999A593-54FE-4C81-BA79-2340E0402CAC}" srcOrd="2" destOrd="0" parTransId="{072DDC8F-B3E3-4BC5-96E9-5DE6D74176E2}" sibTransId="{1A923B54-D3B1-419A-B649-C563E3873A4C}"/>
    <dgm:cxn modelId="{D612F779-792F-4FE2-A0D0-C5A97BFADDC5}" type="presOf" srcId="{6999A593-54FE-4C81-BA79-2340E0402CAC}" destId="{074D57E8-054E-4093-BA11-7A5A4564A572}" srcOrd="0" destOrd="3" presId="urn:microsoft.com/office/officeart/2005/8/layout/arrow4"/>
    <dgm:cxn modelId="{2AD18E7E-FF40-4FC0-B1CE-45A9DC0EE603}" srcId="{B83E4833-F143-4A5F-B04B-A97B8E169995}" destId="{94D0169E-E8A7-436B-B62B-FA2C082BAF1F}" srcOrd="1" destOrd="0" parTransId="{132ACF6D-FE5E-4C64-810D-5537A5D2876F}" sibTransId="{8C5D524F-AC44-470B-A255-A20B4E835F02}"/>
    <dgm:cxn modelId="{932C2892-B530-4851-85FC-28D868CF09A2}" srcId="{B83E4833-F143-4A5F-B04B-A97B8E169995}" destId="{6DB2D1D8-9301-4C94-83B0-97C87EF61453}" srcOrd="0" destOrd="0" parTransId="{B7AD2816-E4DD-4D55-AD45-BADC200A492B}" sibTransId="{7E5D9834-FA18-44D5-A488-5AD6C71BD225}"/>
    <dgm:cxn modelId="{9E2A3DBB-14DD-419B-B98B-6EE3AD7F8BC6}" srcId="{EA1F23EE-0B05-4DFA-AB8F-65663B0AFA79}" destId="{CF395555-F3B8-4839-A031-78E92EC11BCC}" srcOrd="1" destOrd="0" parTransId="{963CEB60-D5B0-42F9-A259-181E51C06D56}" sibTransId="{6E5B1CF0-1A82-4A98-B568-3C04EE39B71D}"/>
    <dgm:cxn modelId="{5FB1DCC3-6DDE-424D-8406-D746274D05DC}" type="presOf" srcId="{CF395555-F3B8-4839-A031-78E92EC11BCC}" destId="{F7669D1A-7FCA-4015-8AC1-E9159803F12E}" srcOrd="0" destOrd="2" presId="urn:microsoft.com/office/officeart/2005/8/layout/arrow4"/>
    <dgm:cxn modelId="{FCA2A8C8-BAE6-4CB9-A987-2DD900475AA0}" type="presOf" srcId="{94D0169E-E8A7-436B-B62B-FA2C082BAF1F}" destId="{074D57E8-054E-4093-BA11-7A5A4564A572}" srcOrd="0" destOrd="2" presId="urn:microsoft.com/office/officeart/2005/8/layout/arrow4"/>
    <dgm:cxn modelId="{74F8CFCE-A643-45AA-A0AA-2A93E2C0EE58}" srcId="{7DED1C7D-939F-4E94-A531-2DB5FDC1D970}" destId="{EA1F23EE-0B05-4DFA-AB8F-65663B0AFA79}" srcOrd="1" destOrd="0" parTransId="{9A79063D-9B68-47C4-B550-C919E0B76AE1}" sibTransId="{C1EED763-7981-49B6-B7FC-F6D4ECD89F54}"/>
    <dgm:cxn modelId="{5104FDDC-4CC0-460F-8070-D5DA84176846}" type="presOf" srcId="{7DED1C7D-939F-4E94-A531-2DB5FDC1D970}" destId="{2ED3D871-3295-4E9E-8CB5-729B132F8CF6}" srcOrd="0" destOrd="0" presId="urn:microsoft.com/office/officeart/2005/8/layout/arrow4"/>
    <dgm:cxn modelId="{DAAC12DD-D299-4270-993E-0500D2F764D5}" type="presOf" srcId="{B83E4833-F143-4A5F-B04B-A97B8E169995}" destId="{074D57E8-054E-4093-BA11-7A5A4564A572}" srcOrd="0" destOrd="0" presId="urn:microsoft.com/office/officeart/2005/8/layout/arrow4"/>
    <dgm:cxn modelId="{BACAE8FB-76E7-47D3-828C-A2BF3348C458}" type="presOf" srcId="{6DB2D1D8-9301-4C94-83B0-97C87EF61453}" destId="{074D57E8-054E-4093-BA11-7A5A4564A572}" srcOrd="0" destOrd="1" presId="urn:microsoft.com/office/officeart/2005/8/layout/arrow4"/>
    <dgm:cxn modelId="{169108D6-A040-4581-9822-7144429AA9F8}" type="presParOf" srcId="{2ED3D871-3295-4E9E-8CB5-729B132F8CF6}" destId="{32FAD360-7513-4463-B73F-5B2D02E3B9DF}" srcOrd="0" destOrd="0" presId="urn:microsoft.com/office/officeart/2005/8/layout/arrow4"/>
    <dgm:cxn modelId="{B501E3B0-911F-467D-A7A7-2F83AE2FDF59}" type="presParOf" srcId="{2ED3D871-3295-4E9E-8CB5-729B132F8CF6}" destId="{074D57E8-054E-4093-BA11-7A5A4564A572}" srcOrd="1" destOrd="0" presId="urn:microsoft.com/office/officeart/2005/8/layout/arrow4"/>
    <dgm:cxn modelId="{3C2EE0F9-59E0-4AC4-8FDC-837C3B9883B3}" type="presParOf" srcId="{2ED3D871-3295-4E9E-8CB5-729B132F8CF6}" destId="{18A2AE44-230D-42B0-B3AE-A5026B43985C}" srcOrd="2" destOrd="0" presId="urn:microsoft.com/office/officeart/2005/8/layout/arrow4"/>
    <dgm:cxn modelId="{6712160F-1468-4D6E-86F1-70C1904EE90D}" type="presParOf" srcId="{2ED3D871-3295-4E9E-8CB5-729B132F8CF6}" destId="{F7669D1A-7FCA-4015-8AC1-E9159803F12E}" srcOrd="3" destOrd="0" presId="urn:microsoft.com/office/officeart/2005/8/layout/arrow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AD76872-38CA-402B-BA83-483FBBF23CF5}" type="doc">
      <dgm:prSet loTypeId="urn:microsoft.com/office/officeart/2011/layout/HexagonRadial" loCatId="cycle" qsTypeId="urn:microsoft.com/office/officeart/2005/8/quickstyle/3d2" qsCatId="3D" csTypeId="urn:microsoft.com/office/officeart/2005/8/colors/colorful4" csCatId="colorful" phldr="1"/>
      <dgm:spPr/>
      <dgm:t>
        <a:bodyPr/>
        <a:lstStyle/>
        <a:p>
          <a:endParaRPr lang="en-PK"/>
        </a:p>
      </dgm:t>
    </dgm:pt>
    <dgm:pt modelId="{DC44A143-3812-40A8-A3F5-8B72353A6229}">
      <dgm:prSet phldrT="[Text]" custT="1"/>
      <dgm:spPr/>
      <dgm:t>
        <a:bodyPr/>
        <a:lstStyle/>
        <a:p>
          <a:r>
            <a:rPr lang="en-US" sz="1000" b="1">
              <a:latin typeface="Arial" panose="020B0604020202020204" pitchFamily="34" charset="0"/>
              <a:cs typeface="Arial" panose="020B0604020202020204" pitchFamily="34" charset="0"/>
            </a:rPr>
            <a:t>Change Management</a:t>
          </a:r>
          <a:endParaRPr lang="en-PK" sz="1000" b="1">
            <a:latin typeface="Arial" panose="020B0604020202020204" pitchFamily="34" charset="0"/>
            <a:cs typeface="Arial" panose="020B0604020202020204" pitchFamily="34" charset="0"/>
          </a:endParaRPr>
        </a:p>
      </dgm:t>
    </dgm:pt>
    <dgm:pt modelId="{EA47F8CF-B8BD-4297-AFF3-D21A8400940E}" type="parTrans" cxnId="{84B819D4-3F90-47BE-938F-F6E1FEDA6D29}">
      <dgm:prSet/>
      <dgm:spPr/>
      <dgm:t>
        <a:bodyPr/>
        <a:lstStyle/>
        <a:p>
          <a:endParaRPr lang="en-PK"/>
        </a:p>
      </dgm:t>
    </dgm:pt>
    <dgm:pt modelId="{50028D90-8A5D-4F91-9530-521DBF2B0856}" type="sibTrans" cxnId="{84B819D4-3F90-47BE-938F-F6E1FEDA6D29}">
      <dgm:prSet/>
      <dgm:spPr/>
      <dgm:t>
        <a:bodyPr/>
        <a:lstStyle/>
        <a:p>
          <a:endParaRPr lang="en-PK"/>
        </a:p>
      </dgm:t>
    </dgm:pt>
    <dgm:pt modelId="{41AEE205-611D-4A64-86B7-9852D6E5934C}">
      <dgm:prSet phldrT="[Text]"/>
      <dgm:spPr/>
      <dgm:t>
        <a:bodyPr/>
        <a:lstStyle/>
        <a:p>
          <a:r>
            <a:rPr lang="en-US" b="1"/>
            <a:t>Control</a:t>
          </a:r>
          <a:endParaRPr lang="en-PK" b="1"/>
        </a:p>
      </dgm:t>
    </dgm:pt>
    <dgm:pt modelId="{759F7EE7-D939-47DE-A86C-E81C549C1DB4}" type="parTrans" cxnId="{FA68BD24-3160-48FA-9B49-4B4049FDB9C4}">
      <dgm:prSet/>
      <dgm:spPr/>
      <dgm:t>
        <a:bodyPr/>
        <a:lstStyle/>
        <a:p>
          <a:endParaRPr lang="en-PK"/>
        </a:p>
      </dgm:t>
    </dgm:pt>
    <dgm:pt modelId="{F32D93D5-837A-428C-A789-E9B88F37CA14}" type="sibTrans" cxnId="{FA68BD24-3160-48FA-9B49-4B4049FDB9C4}">
      <dgm:prSet/>
      <dgm:spPr/>
      <dgm:t>
        <a:bodyPr/>
        <a:lstStyle/>
        <a:p>
          <a:endParaRPr lang="en-PK"/>
        </a:p>
      </dgm:t>
    </dgm:pt>
    <dgm:pt modelId="{9A0B4DDE-CC59-4D06-AF8B-51BD5DD7BD75}">
      <dgm:prSet phldrT="[Text]"/>
      <dgm:spPr/>
      <dgm:t>
        <a:bodyPr/>
        <a:lstStyle/>
        <a:p>
          <a:r>
            <a:rPr lang="en-US" b="1"/>
            <a:t>Visibility</a:t>
          </a:r>
          <a:endParaRPr lang="en-PK" b="1"/>
        </a:p>
      </dgm:t>
    </dgm:pt>
    <dgm:pt modelId="{43EAA087-C46E-42E3-9185-878A419AD52E}" type="parTrans" cxnId="{AB5A5FEA-3D63-4F15-9D6D-196E8B7D3F43}">
      <dgm:prSet/>
      <dgm:spPr/>
      <dgm:t>
        <a:bodyPr/>
        <a:lstStyle/>
        <a:p>
          <a:endParaRPr lang="en-PK"/>
        </a:p>
      </dgm:t>
    </dgm:pt>
    <dgm:pt modelId="{03F54EB5-DE26-4D13-A259-5A11BE479B40}" type="sibTrans" cxnId="{AB5A5FEA-3D63-4F15-9D6D-196E8B7D3F43}">
      <dgm:prSet/>
      <dgm:spPr/>
      <dgm:t>
        <a:bodyPr/>
        <a:lstStyle/>
        <a:p>
          <a:endParaRPr lang="en-PK"/>
        </a:p>
      </dgm:t>
    </dgm:pt>
    <dgm:pt modelId="{5E7E64C9-E267-41C0-97E8-10CEE9EB831B}">
      <dgm:prSet phldrT="[Text]"/>
      <dgm:spPr/>
      <dgm:t>
        <a:bodyPr/>
        <a:lstStyle/>
        <a:p>
          <a:r>
            <a:rPr lang="en-US" b="1"/>
            <a:t>Template</a:t>
          </a:r>
          <a:endParaRPr lang="en-PK" b="1"/>
        </a:p>
      </dgm:t>
    </dgm:pt>
    <dgm:pt modelId="{E4E4D307-844B-40BA-AE72-F6FEBFE6ED7C}" type="parTrans" cxnId="{7912E5C4-256F-4B09-B81D-EA639ECA14F4}">
      <dgm:prSet/>
      <dgm:spPr/>
      <dgm:t>
        <a:bodyPr/>
        <a:lstStyle/>
        <a:p>
          <a:endParaRPr lang="en-PK"/>
        </a:p>
      </dgm:t>
    </dgm:pt>
    <dgm:pt modelId="{35594F1A-F0D9-41A8-9D84-9BF331C66C21}" type="sibTrans" cxnId="{7912E5C4-256F-4B09-B81D-EA639ECA14F4}">
      <dgm:prSet/>
      <dgm:spPr/>
      <dgm:t>
        <a:bodyPr/>
        <a:lstStyle/>
        <a:p>
          <a:endParaRPr lang="en-PK"/>
        </a:p>
      </dgm:t>
    </dgm:pt>
    <dgm:pt modelId="{B3789B7C-981D-44DD-8B87-0400AD46BC32}">
      <dgm:prSet phldrT="[Text]"/>
      <dgm:spPr/>
      <dgm:t>
        <a:bodyPr/>
        <a:lstStyle/>
        <a:p>
          <a:r>
            <a:rPr lang="en-US" b="1"/>
            <a:t>Strategic choices</a:t>
          </a:r>
          <a:endParaRPr lang="en-PK" b="1"/>
        </a:p>
      </dgm:t>
    </dgm:pt>
    <dgm:pt modelId="{B9C48E4B-C67C-48AC-892E-83EDA99B16E2}" type="parTrans" cxnId="{8F336057-2FAC-4A7E-9006-A31D8DF6883A}">
      <dgm:prSet/>
      <dgm:spPr/>
      <dgm:t>
        <a:bodyPr/>
        <a:lstStyle/>
        <a:p>
          <a:endParaRPr lang="en-PK"/>
        </a:p>
      </dgm:t>
    </dgm:pt>
    <dgm:pt modelId="{B2FE639E-DBC5-490E-96BC-E04BB50D240D}" type="sibTrans" cxnId="{8F336057-2FAC-4A7E-9006-A31D8DF6883A}">
      <dgm:prSet/>
      <dgm:spPr/>
      <dgm:t>
        <a:bodyPr/>
        <a:lstStyle/>
        <a:p>
          <a:endParaRPr lang="en-PK"/>
        </a:p>
      </dgm:t>
    </dgm:pt>
    <dgm:pt modelId="{2C7D9786-45DE-4703-BF00-629FDB4BBF1E}">
      <dgm:prSet/>
      <dgm:spPr/>
      <dgm:t>
        <a:bodyPr/>
        <a:lstStyle/>
        <a:p>
          <a:r>
            <a:rPr lang="en-US" b="1"/>
            <a:t>Objective</a:t>
          </a:r>
          <a:endParaRPr lang="en-PK" b="1"/>
        </a:p>
      </dgm:t>
    </dgm:pt>
    <dgm:pt modelId="{79970E9C-FF21-4CFA-9B66-CDB8A5415611}" type="parTrans" cxnId="{8A4FD8ED-FDA1-4E21-9A45-94B91C8F822C}">
      <dgm:prSet/>
      <dgm:spPr/>
      <dgm:t>
        <a:bodyPr/>
        <a:lstStyle/>
        <a:p>
          <a:endParaRPr lang="en-PK"/>
        </a:p>
      </dgm:t>
    </dgm:pt>
    <dgm:pt modelId="{01D12D45-8661-42D0-9EED-6E9E9EF9894E}" type="sibTrans" cxnId="{8A4FD8ED-FDA1-4E21-9A45-94B91C8F822C}">
      <dgm:prSet/>
      <dgm:spPr/>
      <dgm:t>
        <a:bodyPr/>
        <a:lstStyle/>
        <a:p>
          <a:endParaRPr lang="en-PK"/>
        </a:p>
      </dgm:t>
    </dgm:pt>
    <dgm:pt modelId="{8EC06A9C-EBAB-4F9F-BFD7-3AC8449EDDF8}" type="pres">
      <dgm:prSet presAssocID="{3AD76872-38CA-402B-BA83-483FBBF23CF5}" presName="Name0" presStyleCnt="0">
        <dgm:presLayoutVars>
          <dgm:chMax val="1"/>
          <dgm:chPref val="1"/>
          <dgm:dir/>
          <dgm:animOne val="branch"/>
          <dgm:animLvl val="lvl"/>
        </dgm:presLayoutVars>
      </dgm:prSet>
      <dgm:spPr/>
    </dgm:pt>
    <dgm:pt modelId="{66CDD331-2352-4DA5-A597-F5F341939670}" type="pres">
      <dgm:prSet presAssocID="{DC44A143-3812-40A8-A3F5-8B72353A6229}" presName="Parent" presStyleLbl="node0" presStyleIdx="0" presStyleCnt="1">
        <dgm:presLayoutVars>
          <dgm:chMax val="6"/>
          <dgm:chPref val="6"/>
        </dgm:presLayoutVars>
      </dgm:prSet>
      <dgm:spPr/>
    </dgm:pt>
    <dgm:pt modelId="{1E8B451A-3D5A-45E6-B43F-0FD618E805ED}" type="pres">
      <dgm:prSet presAssocID="{41AEE205-611D-4A64-86B7-9852D6E5934C}" presName="Accent1" presStyleCnt="0"/>
      <dgm:spPr/>
    </dgm:pt>
    <dgm:pt modelId="{3959E676-0439-4234-B841-F3A7EB99331C}" type="pres">
      <dgm:prSet presAssocID="{41AEE205-611D-4A64-86B7-9852D6E5934C}" presName="Accent" presStyleLbl="bgShp" presStyleIdx="0" presStyleCnt="5"/>
      <dgm:spPr/>
    </dgm:pt>
    <dgm:pt modelId="{71D5CC05-C58B-4662-BFE7-4673C1B4111E}" type="pres">
      <dgm:prSet presAssocID="{41AEE205-611D-4A64-86B7-9852D6E5934C}" presName="Child1" presStyleLbl="node1" presStyleIdx="0" presStyleCnt="5">
        <dgm:presLayoutVars>
          <dgm:chMax val="0"/>
          <dgm:chPref val="0"/>
          <dgm:bulletEnabled val="1"/>
        </dgm:presLayoutVars>
      </dgm:prSet>
      <dgm:spPr/>
    </dgm:pt>
    <dgm:pt modelId="{DBEE70C1-F4FF-4038-9A1D-E502D8AF7E17}" type="pres">
      <dgm:prSet presAssocID="{2C7D9786-45DE-4703-BF00-629FDB4BBF1E}" presName="Accent2" presStyleCnt="0"/>
      <dgm:spPr/>
    </dgm:pt>
    <dgm:pt modelId="{6C5B114C-3B97-4CF1-8AA3-1DEC95F614E2}" type="pres">
      <dgm:prSet presAssocID="{2C7D9786-45DE-4703-BF00-629FDB4BBF1E}" presName="Accent" presStyleLbl="bgShp" presStyleIdx="1" presStyleCnt="5"/>
      <dgm:spPr/>
    </dgm:pt>
    <dgm:pt modelId="{4908D0D4-637A-4302-97C8-66BF6BFE3DCB}" type="pres">
      <dgm:prSet presAssocID="{2C7D9786-45DE-4703-BF00-629FDB4BBF1E}" presName="Child2" presStyleLbl="node1" presStyleIdx="1" presStyleCnt="5">
        <dgm:presLayoutVars>
          <dgm:chMax val="0"/>
          <dgm:chPref val="0"/>
          <dgm:bulletEnabled val="1"/>
        </dgm:presLayoutVars>
      </dgm:prSet>
      <dgm:spPr/>
    </dgm:pt>
    <dgm:pt modelId="{48EE64FB-F1EB-43CD-AE4C-E505F223A3D8}" type="pres">
      <dgm:prSet presAssocID="{9A0B4DDE-CC59-4D06-AF8B-51BD5DD7BD75}" presName="Accent3" presStyleCnt="0"/>
      <dgm:spPr/>
    </dgm:pt>
    <dgm:pt modelId="{3CA36642-2700-45FC-A1C4-D02A656F2208}" type="pres">
      <dgm:prSet presAssocID="{9A0B4DDE-CC59-4D06-AF8B-51BD5DD7BD75}" presName="Accent" presStyleLbl="bgShp" presStyleIdx="2" presStyleCnt="5"/>
      <dgm:spPr/>
    </dgm:pt>
    <dgm:pt modelId="{D037941C-54DB-4FD6-94AE-8D2D2FC73093}" type="pres">
      <dgm:prSet presAssocID="{9A0B4DDE-CC59-4D06-AF8B-51BD5DD7BD75}" presName="Child3" presStyleLbl="node1" presStyleIdx="2" presStyleCnt="5">
        <dgm:presLayoutVars>
          <dgm:chMax val="0"/>
          <dgm:chPref val="0"/>
          <dgm:bulletEnabled val="1"/>
        </dgm:presLayoutVars>
      </dgm:prSet>
      <dgm:spPr/>
    </dgm:pt>
    <dgm:pt modelId="{BA848B2A-D51B-42B3-A79F-8EF2B1B3CB9A}" type="pres">
      <dgm:prSet presAssocID="{5E7E64C9-E267-41C0-97E8-10CEE9EB831B}" presName="Accent4" presStyleCnt="0"/>
      <dgm:spPr/>
    </dgm:pt>
    <dgm:pt modelId="{4BDB9D83-B747-441A-BED5-ACC1D603F935}" type="pres">
      <dgm:prSet presAssocID="{5E7E64C9-E267-41C0-97E8-10CEE9EB831B}" presName="Accent" presStyleLbl="bgShp" presStyleIdx="3" presStyleCnt="5"/>
      <dgm:spPr/>
    </dgm:pt>
    <dgm:pt modelId="{4E4D66C1-16D1-4597-AD39-72A31226AA9E}" type="pres">
      <dgm:prSet presAssocID="{5E7E64C9-E267-41C0-97E8-10CEE9EB831B}" presName="Child4" presStyleLbl="node1" presStyleIdx="3" presStyleCnt="5">
        <dgm:presLayoutVars>
          <dgm:chMax val="0"/>
          <dgm:chPref val="0"/>
          <dgm:bulletEnabled val="1"/>
        </dgm:presLayoutVars>
      </dgm:prSet>
      <dgm:spPr/>
    </dgm:pt>
    <dgm:pt modelId="{42A2F376-9B5D-45FC-8F7D-4A01B7AE4230}" type="pres">
      <dgm:prSet presAssocID="{B3789B7C-981D-44DD-8B87-0400AD46BC32}" presName="Accent5" presStyleCnt="0"/>
      <dgm:spPr/>
    </dgm:pt>
    <dgm:pt modelId="{2293C949-A34D-4A83-8FE1-60270C8536C8}" type="pres">
      <dgm:prSet presAssocID="{B3789B7C-981D-44DD-8B87-0400AD46BC32}" presName="Accent" presStyleLbl="bgShp" presStyleIdx="4" presStyleCnt="5"/>
      <dgm:spPr/>
    </dgm:pt>
    <dgm:pt modelId="{D7CA9369-F7CA-41F7-8EAC-FD3E4AED2222}" type="pres">
      <dgm:prSet presAssocID="{B3789B7C-981D-44DD-8B87-0400AD46BC32}" presName="Child5" presStyleLbl="node1" presStyleIdx="4" presStyleCnt="5">
        <dgm:presLayoutVars>
          <dgm:chMax val="0"/>
          <dgm:chPref val="0"/>
          <dgm:bulletEnabled val="1"/>
        </dgm:presLayoutVars>
      </dgm:prSet>
      <dgm:spPr/>
    </dgm:pt>
  </dgm:ptLst>
  <dgm:cxnLst>
    <dgm:cxn modelId="{FA68BD24-3160-48FA-9B49-4B4049FDB9C4}" srcId="{DC44A143-3812-40A8-A3F5-8B72353A6229}" destId="{41AEE205-611D-4A64-86B7-9852D6E5934C}" srcOrd="0" destOrd="0" parTransId="{759F7EE7-D939-47DE-A86C-E81C549C1DB4}" sibTransId="{F32D93D5-837A-428C-A789-E9B88F37CA14}"/>
    <dgm:cxn modelId="{DEF9BF28-F6F6-4D69-A42B-0E794E28E272}" type="presOf" srcId="{2C7D9786-45DE-4703-BF00-629FDB4BBF1E}" destId="{4908D0D4-637A-4302-97C8-66BF6BFE3DCB}" srcOrd="0" destOrd="0" presId="urn:microsoft.com/office/officeart/2011/layout/HexagonRadial"/>
    <dgm:cxn modelId="{DF85EE33-B63B-4848-A754-4A4FE042C866}" type="presOf" srcId="{5E7E64C9-E267-41C0-97E8-10CEE9EB831B}" destId="{4E4D66C1-16D1-4597-AD39-72A31226AA9E}" srcOrd="0" destOrd="0" presId="urn:microsoft.com/office/officeart/2011/layout/HexagonRadial"/>
    <dgm:cxn modelId="{88914246-325E-4F5E-B2BF-6C8007FAC4B1}" type="presOf" srcId="{41AEE205-611D-4A64-86B7-9852D6E5934C}" destId="{71D5CC05-C58B-4662-BFE7-4673C1B4111E}" srcOrd="0" destOrd="0" presId="urn:microsoft.com/office/officeart/2011/layout/HexagonRadial"/>
    <dgm:cxn modelId="{6C76164E-9564-463B-BCCE-1901D19BAEB6}" type="presOf" srcId="{DC44A143-3812-40A8-A3F5-8B72353A6229}" destId="{66CDD331-2352-4DA5-A597-F5F341939670}" srcOrd="0" destOrd="0" presId="urn:microsoft.com/office/officeart/2011/layout/HexagonRadial"/>
    <dgm:cxn modelId="{8F336057-2FAC-4A7E-9006-A31D8DF6883A}" srcId="{DC44A143-3812-40A8-A3F5-8B72353A6229}" destId="{B3789B7C-981D-44DD-8B87-0400AD46BC32}" srcOrd="4" destOrd="0" parTransId="{B9C48E4B-C67C-48AC-892E-83EDA99B16E2}" sibTransId="{B2FE639E-DBC5-490E-96BC-E04BB50D240D}"/>
    <dgm:cxn modelId="{C4EE02AD-FC01-4F11-B2B1-BC88A55B2A42}" type="presOf" srcId="{9A0B4DDE-CC59-4D06-AF8B-51BD5DD7BD75}" destId="{D037941C-54DB-4FD6-94AE-8D2D2FC73093}" srcOrd="0" destOrd="0" presId="urn:microsoft.com/office/officeart/2011/layout/HexagonRadial"/>
    <dgm:cxn modelId="{564771AE-D486-4206-AB33-22CCA5B874DD}" type="presOf" srcId="{B3789B7C-981D-44DD-8B87-0400AD46BC32}" destId="{D7CA9369-F7CA-41F7-8EAC-FD3E4AED2222}" srcOrd="0" destOrd="0" presId="urn:microsoft.com/office/officeart/2011/layout/HexagonRadial"/>
    <dgm:cxn modelId="{7912E5C4-256F-4B09-B81D-EA639ECA14F4}" srcId="{DC44A143-3812-40A8-A3F5-8B72353A6229}" destId="{5E7E64C9-E267-41C0-97E8-10CEE9EB831B}" srcOrd="3" destOrd="0" parTransId="{E4E4D307-844B-40BA-AE72-F6FEBFE6ED7C}" sibTransId="{35594F1A-F0D9-41A8-9D84-9BF331C66C21}"/>
    <dgm:cxn modelId="{84B819D4-3F90-47BE-938F-F6E1FEDA6D29}" srcId="{3AD76872-38CA-402B-BA83-483FBBF23CF5}" destId="{DC44A143-3812-40A8-A3F5-8B72353A6229}" srcOrd="0" destOrd="0" parTransId="{EA47F8CF-B8BD-4297-AFF3-D21A8400940E}" sibTransId="{50028D90-8A5D-4F91-9530-521DBF2B0856}"/>
    <dgm:cxn modelId="{AB5A5FEA-3D63-4F15-9D6D-196E8B7D3F43}" srcId="{DC44A143-3812-40A8-A3F5-8B72353A6229}" destId="{9A0B4DDE-CC59-4D06-AF8B-51BD5DD7BD75}" srcOrd="2" destOrd="0" parTransId="{43EAA087-C46E-42E3-9185-878A419AD52E}" sibTransId="{03F54EB5-DE26-4D13-A259-5A11BE479B40}"/>
    <dgm:cxn modelId="{753FFAEB-A902-47D1-9AB6-ED530F03876C}" type="presOf" srcId="{3AD76872-38CA-402B-BA83-483FBBF23CF5}" destId="{8EC06A9C-EBAB-4F9F-BFD7-3AC8449EDDF8}" srcOrd="0" destOrd="0" presId="urn:microsoft.com/office/officeart/2011/layout/HexagonRadial"/>
    <dgm:cxn modelId="{8A4FD8ED-FDA1-4E21-9A45-94B91C8F822C}" srcId="{DC44A143-3812-40A8-A3F5-8B72353A6229}" destId="{2C7D9786-45DE-4703-BF00-629FDB4BBF1E}" srcOrd="1" destOrd="0" parTransId="{79970E9C-FF21-4CFA-9B66-CDB8A5415611}" sibTransId="{01D12D45-8661-42D0-9EED-6E9E9EF9894E}"/>
    <dgm:cxn modelId="{19718421-B98B-4771-AC71-66FE885E0BA5}" type="presParOf" srcId="{8EC06A9C-EBAB-4F9F-BFD7-3AC8449EDDF8}" destId="{66CDD331-2352-4DA5-A597-F5F341939670}" srcOrd="0" destOrd="0" presId="urn:microsoft.com/office/officeart/2011/layout/HexagonRadial"/>
    <dgm:cxn modelId="{28F674DA-40DA-4637-8842-A14F2AD0B03C}" type="presParOf" srcId="{8EC06A9C-EBAB-4F9F-BFD7-3AC8449EDDF8}" destId="{1E8B451A-3D5A-45E6-B43F-0FD618E805ED}" srcOrd="1" destOrd="0" presId="urn:microsoft.com/office/officeart/2011/layout/HexagonRadial"/>
    <dgm:cxn modelId="{D8376A1A-2531-481A-8E0F-209B59AF4FE9}" type="presParOf" srcId="{1E8B451A-3D5A-45E6-B43F-0FD618E805ED}" destId="{3959E676-0439-4234-B841-F3A7EB99331C}" srcOrd="0" destOrd="0" presId="urn:microsoft.com/office/officeart/2011/layout/HexagonRadial"/>
    <dgm:cxn modelId="{93E0DE4C-A7E6-45BA-B25A-627F0A326EF0}" type="presParOf" srcId="{8EC06A9C-EBAB-4F9F-BFD7-3AC8449EDDF8}" destId="{71D5CC05-C58B-4662-BFE7-4673C1B4111E}" srcOrd="2" destOrd="0" presId="urn:microsoft.com/office/officeart/2011/layout/HexagonRadial"/>
    <dgm:cxn modelId="{D591535C-2FFC-4712-8F18-1527E0F36D96}" type="presParOf" srcId="{8EC06A9C-EBAB-4F9F-BFD7-3AC8449EDDF8}" destId="{DBEE70C1-F4FF-4038-9A1D-E502D8AF7E17}" srcOrd="3" destOrd="0" presId="urn:microsoft.com/office/officeart/2011/layout/HexagonRadial"/>
    <dgm:cxn modelId="{74F85C14-8837-438C-A60E-F00B2B016661}" type="presParOf" srcId="{DBEE70C1-F4FF-4038-9A1D-E502D8AF7E17}" destId="{6C5B114C-3B97-4CF1-8AA3-1DEC95F614E2}" srcOrd="0" destOrd="0" presId="urn:microsoft.com/office/officeart/2011/layout/HexagonRadial"/>
    <dgm:cxn modelId="{B7C5D1D8-FF29-4AFE-8A8A-FD63CAC72D4D}" type="presParOf" srcId="{8EC06A9C-EBAB-4F9F-BFD7-3AC8449EDDF8}" destId="{4908D0D4-637A-4302-97C8-66BF6BFE3DCB}" srcOrd="4" destOrd="0" presId="urn:microsoft.com/office/officeart/2011/layout/HexagonRadial"/>
    <dgm:cxn modelId="{18820C68-E78C-4A49-8F2C-2F3B2AA14225}" type="presParOf" srcId="{8EC06A9C-EBAB-4F9F-BFD7-3AC8449EDDF8}" destId="{48EE64FB-F1EB-43CD-AE4C-E505F223A3D8}" srcOrd="5" destOrd="0" presId="urn:microsoft.com/office/officeart/2011/layout/HexagonRadial"/>
    <dgm:cxn modelId="{9FDAC411-C77F-4347-9CD9-2E6392F3F173}" type="presParOf" srcId="{48EE64FB-F1EB-43CD-AE4C-E505F223A3D8}" destId="{3CA36642-2700-45FC-A1C4-D02A656F2208}" srcOrd="0" destOrd="0" presId="urn:microsoft.com/office/officeart/2011/layout/HexagonRadial"/>
    <dgm:cxn modelId="{6CCAF6C2-6699-4B2B-BB13-A944C60F03CA}" type="presParOf" srcId="{8EC06A9C-EBAB-4F9F-BFD7-3AC8449EDDF8}" destId="{D037941C-54DB-4FD6-94AE-8D2D2FC73093}" srcOrd="6" destOrd="0" presId="urn:microsoft.com/office/officeart/2011/layout/HexagonRadial"/>
    <dgm:cxn modelId="{F863FA50-B667-4815-B6FA-5AA5389E8520}" type="presParOf" srcId="{8EC06A9C-EBAB-4F9F-BFD7-3AC8449EDDF8}" destId="{BA848B2A-D51B-42B3-A79F-8EF2B1B3CB9A}" srcOrd="7" destOrd="0" presId="urn:microsoft.com/office/officeart/2011/layout/HexagonRadial"/>
    <dgm:cxn modelId="{965153D0-C2B4-4635-B085-48005C00B66E}" type="presParOf" srcId="{BA848B2A-D51B-42B3-A79F-8EF2B1B3CB9A}" destId="{4BDB9D83-B747-441A-BED5-ACC1D603F935}" srcOrd="0" destOrd="0" presId="urn:microsoft.com/office/officeart/2011/layout/HexagonRadial"/>
    <dgm:cxn modelId="{ECE46A31-7499-4195-8C8F-D80E7561886F}" type="presParOf" srcId="{8EC06A9C-EBAB-4F9F-BFD7-3AC8449EDDF8}" destId="{4E4D66C1-16D1-4597-AD39-72A31226AA9E}" srcOrd="8" destOrd="0" presId="urn:microsoft.com/office/officeart/2011/layout/HexagonRadial"/>
    <dgm:cxn modelId="{05430AD2-BEC7-49AB-BCB5-2821442D5B99}" type="presParOf" srcId="{8EC06A9C-EBAB-4F9F-BFD7-3AC8449EDDF8}" destId="{42A2F376-9B5D-45FC-8F7D-4A01B7AE4230}" srcOrd="9" destOrd="0" presId="urn:microsoft.com/office/officeart/2011/layout/HexagonRadial"/>
    <dgm:cxn modelId="{978A1BCC-58C1-418E-BCFE-4E112F8E44F3}" type="presParOf" srcId="{42A2F376-9B5D-45FC-8F7D-4A01B7AE4230}" destId="{2293C949-A34D-4A83-8FE1-60270C8536C8}" srcOrd="0" destOrd="0" presId="urn:microsoft.com/office/officeart/2011/layout/HexagonRadial"/>
    <dgm:cxn modelId="{18027CCA-4EA3-4C50-B1D3-4F475BB6ED66}" type="presParOf" srcId="{8EC06A9C-EBAB-4F9F-BFD7-3AC8449EDDF8}" destId="{D7CA9369-F7CA-41F7-8EAC-FD3E4AED2222}" srcOrd="10" destOrd="0" presId="urn:microsoft.com/office/officeart/2011/layout/HexagonRadial"/>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44E7BF0-51B9-4286-914D-7C296A59FC39}" type="doc">
      <dgm:prSet loTypeId="urn:microsoft.com/office/officeart/2005/8/layout/gear1" loCatId="relationship" qsTypeId="urn:microsoft.com/office/officeart/2005/8/quickstyle/3d2" qsCatId="3D" csTypeId="urn:microsoft.com/office/officeart/2005/8/colors/colorful4" csCatId="colorful" phldr="1"/>
      <dgm:spPr/>
      <dgm:t>
        <a:bodyPr/>
        <a:lstStyle/>
        <a:p>
          <a:endParaRPr lang="en-PK"/>
        </a:p>
      </dgm:t>
    </dgm:pt>
    <dgm:pt modelId="{D13F0AC7-1F09-4457-A4FE-ED58055297D9}">
      <dgm:prSet phldrT="[Text]"/>
      <dgm:spPr/>
      <dgm:t>
        <a:bodyPr/>
        <a:lstStyle/>
        <a:p>
          <a:pPr algn="ctr"/>
          <a:r>
            <a:rPr lang="en-US" b="1"/>
            <a:t>Disadvanatges of zero-based budget</a:t>
          </a:r>
          <a:endParaRPr lang="en-PK" b="1"/>
        </a:p>
      </dgm:t>
    </dgm:pt>
    <dgm:pt modelId="{AF5E41D3-AC01-4BF2-B313-CFE57BB69A6D}" type="parTrans" cxnId="{F903512D-3182-46D7-9D36-669377FD7C62}">
      <dgm:prSet/>
      <dgm:spPr/>
      <dgm:t>
        <a:bodyPr/>
        <a:lstStyle/>
        <a:p>
          <a:pPr algn="ctr"/>
          <a:endParaRPr lang="en-PK"/>
        </a:p>
      </dgm:t>
    </dgm:pt>
    <dgm:pt modelId="{D337A822-5205-4B5A-9D1A-76B32839E235}" type="sibTrans" cxnId="{F903512D-3182-46D7-9D36-669377FD7C62}">
      <dgm:prSet/>
      <dgm:spPr/>
      <dgm:t>
        <a:bodyPr/>
        <a:lstStyle/>
        <a:p>
          <a:pPr algn="ctr"/>
          <a:endParaRPr lang="en-PK"/>
        </a:p>
      </dgm:t>
    </dgm:pt>
    <dgm:pt modelId="{BD6839E0-C1F9-4618-AA5E-12853C96A4AB}">
      <dgm:prSet phldrT="[Text]" custT="1"/>
      <dgm:spPr/>
      <dgm:t>
        <a:bodyPr/>
        <a:lstStyle/>
        <a:p>
          <a:pPr algn="l"/>
          <a:r>
            <a:rPr lang="en-US" sz="900" b="1">
              <a:latin typeface="Arial" panose="020B0604020202020204" pitchFamily="34" charset="0"/>
              <a:cs typeface="Arial" panose="020B0604020202020204" pitchFamily="34" charset="0"/>
            </a:rPr>
            <a:t>Labor and Time-consuming</a:t>
          </a:r>
          <a:endParaRPr lang="en-PK" sz="900" b="1">
            <a:latin typeface="Arial" panose="020B0604020202020204" pitchFamily="34" charset="0"/>
            <a:cs typeface="Arial" panose="020B0604020202020204" pitchFamily="34" charset="0"/>
          </a:endParaRPr>
        </a:p>
      </dgm:t>
    </dgm:pt>
    <dgm:pt modelId="{106F66C4-949B-4EA9-849B-59C0543AC275}" type="parTrans" cxnId="{3F247530-9EAB-4E0B-8616-658C1390E665}">
      <dgm:prSet/>
      <dgm:spPr/>
      <dgm:t>
        <a:bodyPr/>
        <a:lstStyle/>
        <a:p>
          <a:pPr algn="ctr"/>
          <a:endParaRPr lang="en-PK"/>
        </a:p>
      </dgm:t>
    </dgm:pt>
    <dgm:pt modelId="{E2D0079C-7243-41FD-B5C2-02F810FBACC3}" type="sibTrans" cxnId="{3F247530-9EAB-4E0B-8616-658C1390E665}">
      <dgm:prSet/>
      <dgm:spPr/>
      <dgm:t>
        <a:bodyPr/>
        <a:lstStyle/>
        <a:p>
          <a:pPr algn="ctr"/>
          <a:endParaRPr lang="en-PK"/>
        </a:p>
      </dgm:t>
    </dgm:pt>
    <dgm:pt modelId="{E49C33A6-C7C7-44CF-B408-62664ADDF950}">
      <dgm:prSet phldrT="[Text]" custT="1"/>
      <dgm:spPr/>
      <dgm:t>
        <a:bodyPr/>
        <a:lstStyle/>
        <a:p>
          <a:pPr algn="ctr"/>
          <a:r>
            <a:rPr lang="en-US" sz="800" b="1">
              <a:latin typeface="Arial" panose="020B0604020202020204" pitchFamily="34" charset="0"/>
              <a:cs typeface="Arial" panose="020B0604020202020204" pitchFamily="34" charset="0"/>
            </a:rPr>
            <a:t>Advantages of zero-based budget</a:t>
          </a:r>
          <a:endParaRPr lang="en-PK" sz="800" b="1">
            <a:latin typeface="Arial" panose="020B0604020202020204" pitchFamily="34" charset="0"/>
            <a:cs typeface="Arial" panose="020B0604020202020204" pitchFamily="34" charset="0"/>
          </a:endParaRPr>
        </a:p>
      </dgm:t>
    </dgm:pt>
    <dgm:pt modelId="{FB60B4BE-DB01-4363-A221-51C250744C34}" type="parTrans" cxnId="{CC2FB831-A87C-4EB0-8845-3895C6F83654}">
      <dgm:prSet/>
      <dgm:spPr/>
      <dgm:t>
        <a:bodyPr/>
        <a:lstStyle/>
        <a:p>
          <a:pPr algn="ctr"/>
          <a:endParaRPr lang="en-PK"/>
        </a:p>
      </dgm:t>
    </dgm:pt>
    <dgm:pt modelId="{F16D75C9-CA9F-4D76-967A-F6A37FCA3FA8}" type="sibTrans" cxnId="{CC2FB831-A87C-4EB0-8845-3895C6F83654}">
      <dgm:prSet/>
      <dgm:spPr/>
      <dgm:t>
        <a:bodyPr/>
        <a:lstStyle/>
        <a:p>
          <a:pPr algn="ctr"/>
          <a:endParaRPr lang="en-PK"/>
        </a:p>
      </dgm:t>
    </dgm:pt>
    <dgm:pt modelId="{EC5AA943-0DC0-4E64-B493-F46AB738A665}">
      <dgm:prSet phldrT="[Text]" custT="1"/>
      <dgm:spPr/>
      <dgm:t>
        <a:bodyPr/>
        <a:lstStyle/>
        <a:p>
          <a:pPr algn="ctr"/>
          <a:r>
            <a:rPr lang="en-US" sz="900" b="1">
              <a:latin typeface="Arial" panose="020B0604020202020204" pitchFamily="34" charset="0"/>
              <a:cs typeface="Arial" panose="020B0604020202020204" pitchFamily="34" charset="0"/>
            </a:rPr>
            <a:t>Situational</a:t>
          </a:r>
          <a:endParaRPr lang="en-PK" sz="900" b="1">
            <a:latin typeface="Arial" panose="020B0604020202020204" pitchFamily="34" charset="0"/>
            <a:cs typeface="Arial" panose="020B0604020202020204" pitchFamily="34" charset="0"/>
          </a:endParaRPr>
        </a:p>
      </dgm:t>
    </dgm:pt>
    <dgm:pt modelId="{5A46A087-F5B8-4A05-AE25-91CB7D70F06B}" type="parTrans" cxnId="{1A080B4F-7209-4F1D-BE6E-6C72FB77024A}">
      <dgm:prSet/>
      <dgm:spPr/>
      <dgm:t>
        <a:bodyPr/>
        <a:lstStyle/>
        <a:p>
          <a:pPr algn="ctr"/>
          <a:endParaRPr lang="en-PK"/>
        </a:p>
      </dgm:t>
    </dgm:pt>
    <dgm:pt modelId="{1E09948F-5459-4A92-B849-ED7AFC141FA5}" type="sibTrans" cxnId="{1A080B4F-7209-4F1D-BE6E-6C72FB77024A}">
      <dgm:prSet/>
      <dgm:spPr/>
      <dgm:t>
        <a:bodyPr/>
        <a:lstStyle/>
        <a:p>
          <a:pPr algn="ctr"/>
          <a:endParaRPr lang="en-PK"/>
        </a:p>
      </dgm:t>
    </dgm:pt>
    <dgm:pt modelId="{7DB2A744-FF82-463D-BE7C-49DB40A47319}">
      <dgm:prSet phldrT="[Text]" custT="1"/>
      <dgm:spPr/>
      <dgm:t>
        <a:bodyPr/>
        <a:lstStyle/>
        <a:p>
          <a:pPr algn="ctr"/>
          <a:r>
            <a:rPr lang="en-US" sz="900" b="1">
              <a:latin typeface="Arial" panose="020B0604020202020204" pitchFamily="34" charset="0"/>
              <a:cs typeface="Arial" panose="020B0604020202020204" pitchFamily="34" charset="0"/>
            </a:rPr>
            <a:t>Strategic</a:t>
          </a:r>
          <a:endParaRPr lang="en-PK" sz="900" b="1">
            <a:latin typeface="Arial" panose="020B0604020202020204" pitchFamily="34" charset="0"/>
            <a:cs typeface="Arial" panose="020B0604020202020204" pitchFamily="34" charset="0"/>
          </a:endParaRPr>
        </a:p>
      </dgm:t>
    </dgm:pt>
    <dgm:pt modelId="{4232B9C6-A830-4FEA-9732-D4D62C9ED67A}" type="parTrans" cxnId="{8E1FC63F-24E8-4DB8-AA8E-C11594FBAFAB}">
      <dgm:prSet/>
      <dgm:spPr/>
      <dgm:t>
        <a:bodyPr/>
        <a:lstStyle/>
        <a:p>
          <a:pPr algn="ctr"/>
          <a:endParaRPr lang="en-PK"/>
        </a:p>
      </dgm:t>
    </dgm:pt>
    <dgm:pt modelId="{4B8386BD-F6FF-4EA9-AF49-EC1AFCCF984F}" type="sibTrans" cxnId="{8E1FC63F-24E8-4DB8-AA8E-C11594FBAFAB}">
      <dgm:prSet/>
      <dgm:spPr/>
      <dgm:t>
        <a:bodyPr/>
        <a:lstStyle/>
        <a:p>
          <a:pPr algn="ctr"/>
          <a:endParaRPr lang="en-PK"/>
        </a:p>
      </dgm:t>
    </dgm:pt>
    <dgm:pt modelId="{28FE1301-1402-4003-9085-19B5842266F3}">
      <dgm:prSet phldrT="[Text]" custT="1"/>
      <dgm:spPr/>
      <dgm:t>
        <a:bodyPr/>
        <a:lstStyle/>
        <a:p>
          <a:pPr algn="ctr"/>
          <a:r>
            <a:rPr lang="en-US" sz="900" b="1">
              <a:latin typeface="Arial" panose="020B0604020202020204" pitchFamily="34" charset="0"/>
              <a:cs typeface="Arial" panose="020B0604020202020204" pitchFamily="34" charset="0"/>
            </a:rPr>
            <a:t>Profit-oriented</a:t>
          </a:r>
          <a:endParaRPr lang="en-PK" sz="900" b="1">
            <a:latin typeface="Arial" panose="020B0604020202020204" pitchFamily="34" charset="0"/>
            <a:cs typeface="Arial" panose="020B0604020202020204" pitchFamily="34" charset="0"/>
          </a:endParaRPr>
        </a:p>
      </dgm:t>
    </dgm:pt>
    <dgm:pt modelId="{D5CDC750-DC6F-495E-9FEA-E4C93A54C22B}" type="parTrans" cxnId="{6532DA5A-A9CF-4C1B-9DED-806A43AD71F4}">
      <dgm:prSet/>
      <dgm:spPr/>
      <dgm:t>
        <a:bodyPr/>
        <a:lstStyle/>
        <a:p>
          <a:pPr algn="ctr"/>
          <a:endParaRPr lang="en-PK"/>
        </a:p>
      </dgm:t>
    </dgm:pt>
    <dgm:pt modelId="{F6A33DC4-AE09-435C-B6C9-8254A5C5DA74}" type="sibTrans" cxnId="{6532DA5A-A9CF-4C1B-9DED-806A43AD71F4}">
      <dgm:prSet/>
      <dgm:spPr/>
      <dgm:t>
        <a:bodyPr/>
        <a:lstStyle/>
        <a:p>
          <a:pPr algn="ctr"/>
          <a:endParaRPr lang="en-PK"/>
        </a:p>
      </dgm:t>
    </dgm:pt>
    <dgm:pt modelId="{E703A91E-614B-497D-B7A9-739897B01070}">
      <dgm:prSet phldrT="[Text]" custT="1"/>
      <dgm:spPr/>
      <dgm:t>
        <a:bodyPr/>
        <a:lstStyle/>
        <a:p>
          <a:pPr algn="l"/>
          <a:r>
            <a:rPr lang="en-US" sz="900" b="1">
              <a:latin typeface="Arial" panose="020B0604020202020204" pitchFamily="34" charset="0"/>
              <a:cs typeface="Arial" panose="020B0604020202020204" pitchFamily="34" charset="0"/>
            </a:rPr>
            <a:t>Complex</a:t>
          </a:r>
          <a:endParaRPr lang="en-PK" sz="900" b="1">
            <a:latin typeface="Arial" panose="020B0604020202020204" pitchFamily="34" charset="0"/>
            <a:cs typeface="Arial" panose="020B0604020202020204" pitchFamily="34" charset="0"/>
          </a:endParaRPr>
        </a:p>
      </dgm:t>
    </dgm:pt>
    <dgm:pt modelId="{9469D8C1-7AE6-48BC-A48B-FC1149DD3077}" type="parTrans" cxnId="{B6F91C19-5EA3-4E12-AFE2-B2C893929A74}">
      <dgm:prSet/>
      <dgm:spPr/>
      <dgm:t>
        <a:bodyPr/>
        <a:lstStyle/>
        <a:p>
          <a:endParaRPr lang="en-GB"/>
        </a:p>
      </dgm:t>
    </dgm:pt>
    <dgm:pt modelId="{F154C26F-5739-4B83-BE98-702B26069E6D}" type="sibTrans" cxnId="{B6F91C19-5EA3-4E12-AFE2-B2C893929A74}">
      <dgm:prSet/>
      <dgm:spPr/>
      <dgm:t>
        <a:bodyPr/>
        <a:lstStyle/>
        <a:p>
          <a:endParaRPr lang="en-GB"/>
        </a:p>
      </dgm:t>
    </dgm:pt>
    <dgm:pt modelId="{0F840F8C-6159-4BCA-8B18-E37F1A908F1F}" type="pres">
      <dgm:prSet presAssocID="{044E7BF0-51B9-4286-914D-7C296A59FC39}" presName="composite" presStyleCnt="0">
        <dgm:presLayoutVars>
          <dgm:chMax val="3"/>
          <dgm:animLvl val="lvl"/>
          <dgm:resizeHandles val="exact"/>
        </dgm:presLayoutVars>
      </dgm:prSet>
      <dgm:spPr/>
    </dgm:pt>
    <dgm:pt modelId="{44418EDF-F5E0-4670-A4FD-74DE16AA0EE0}" type="pres">
      <dgm:prSet presAssocID="{D13F0AC7-1F09-4457-A4FE-ED58055297D9}" presName="gear1" presStyleLbl="node1" presStyleIdx="0" presStyleCnt="2" custScaleX="105517">
        <dgm:presLayoutVars>
          <dgm:chMax val="1"/>
          <dgm:bulletEnabled val="1"/>
        </dgm:presLayoutVars>
      </dgm:prSet>
      <dgm:spPr/>
    </dgm:pt>
    <dgm:pt modelId="{F3682490-3278-474B-894D-CBB37619F264}" type="pres">
      <dgm:prSet presAssocID="{D13F0AC7-1F09-4457-A4FE-ED58055297D9}" presName="gear1srcNode" presStyleLbl="node1" presStyleIdx="0" presStyleCnt="2"/>
      <dgm:spPr/>
    </dgm:pt>
    <dgm:pt modelId="{E9F32057-D2F2-4B63-91AF-E9AF1F62E8A8}" type="pres">
      <dgm:prSet presAssocID="{D13F0AC7-1F09-4457-A4FE-ED58055297D9}" presName="gear1dstNode" presStyleLbl="node1" presStyleIdx="0" presStyleCnt="2"/>
      <dgm:spPr/>
    </dgm:pt>
    <dgm:pt modelId="{C0AF46F8-81A6-4F2A-BEB1-E7BD63890BB5}" type="pres">
      <dgm:prSet presAssocID="{D13F0AC7-1F09-4457-A4FE-ED58055297D9}" presName="gear1ch" presStyleLbl="fgAcc1" presStyleIdx="0" presStyleCnt="2" custScaleX="140892" custScaleY="75012">
        <dgm:presLayoutVars>
          <dgm:chMax val="0"/>
          <dgm:bulletEnabled val="1"/>
        </dgm:presLayoutVars>
      </dgm:prSet>
      <dgm:spPr/>
    </dgm:pt>
    <dgm:pt modelId="{B51D839F-8A79-4B02-96A3-2B345D0D1CE2}" type="pres">
      <dgm:prSet presAssocID="{E49C33A6-C7C7-44CF-B408-62664ADDF950}" presName="gear2" presStyleLbl="node1" presStyleIdx="1" presStyleCnt="2" custAng="0" custScaleX="118542" custLinFactNeighborX="-48519" custLinFactNeighborY="13092">
        <dgm:presLayoutVars>
          <dgm:chMax val="1"/>
          <dgm:bulletEnabled val="1"/>
        </dgm:presLayoutVars>
      </dgm:prSet>
      <dgm:spPr/>
    </dgm:pt>
    <dgm:pt modelId="{11FA588B-0F45-4794-8739-DCD9FAA17AE3}" type="pres">
      <dgm:prSet presAssocID="{E49C33A6-C7C7-44CF-B408-62664ADDF950}" presName="gear2srcNode" presStyleLbl="node1" presStyleIdx="1" presStyleCnt="2"/>
      <dgm:spPr/>
    </dgm:pt>
    <dgm:pt modelId="{93B25891-1FD5-4DBF-B34E-B0ADF51BB52E}" type="pres">
      <dgm:prSet presAssocID="{E49C33A6-C7C7-44CF-B408-62664ADDF950}" presName="gear2dstNode" presStyleLbl="node1" presStyleIdx="1" presStyleCnt="2"/>
      <dgm:spPr/>
    </dgm:pt>
    <dgm:pt modelId="{99D8C6E8-58B2-4F9A-A73A-9FEDF80DFD06}" type="pres">
      <dgm:prSet presAssocID="{E49C33A6-C7C7-44CF-B408-62664ADDF950}" presName="gear2ch" presStyleLbl="fgAcc1" presStyleIdx="1" presStyleCnt="2">
        <dgm:presLayoutVars>
          <dgm:chMax val="0"/>
          <dgm:bulletEnabled val="1"/>
        </dgm:presLayoutVars>
      </dgm:prSet>
      <dgm:spPr/>
    </dgm:pt>
    <dgm:pt modelId="{28506FFC-5190-46BE-806F-EA3C9C72634D}" type="pres">
      <dgm:prSet presAssocID="{D337A822-5205-4B5A-9D1A-76B32839E235}" presName="connector1" presStyleLbl="sibTrans2D1" presStyleIdx="0" presStyleCnt="2" custLinFactNeighborX="11384" custLinFactNeighborY="-11384"/>
      <dgm:spPr/>
    </dgm:pt>
    <dgm:pt modelId="{7E418190-D4AC-4178-85AE-1452D12A0EB5}" type="pres">
      <dgm:prSet presAssocID="{F16D75C9-CA9F-4D76-967A-F6A37FCA3FA8}" presName="connector2" presStyleLbl="sibTrans2D1" presStyleIdx="1" presStyleCnt="2" custLinFactNeighborX="26499" custLinFactNeighborY="-19272"/>
      <dgm:spPr/>
    </dgm:pt>
  </dgm:ptLst>
  <dgm:cxnLst>
    <dgm:cxn modelId="{BC8A7405-34E8-4D78-B506-A67212CDB2AB}" type="presOf" srcId="{D13F0AC7-1F09-4457-A4FE-ED58055297D9}" destId="{E9F32057-D2F2-4B63-91AF-E9AF1F62E8A8}" srcOrd="2" destOrd="0" presId="urn:microsoft.com/office/officeart/2005/8/layout/gear1"/>
    <dgm:cxn modelId="{EDBFC412-7FE7-462F-A1BE-92A3AE0E6B35}" type="presOf" srcId="{7DB2A744-FF82-463D-BE7C-49DB40A47319}" destId="{99D8C6E8-58B2-4F9A-A73A-9FEDF80DFD06}" srcOrd="0" destOrd="1" presId="urn:microsoft.com/office/officeart/2005/8/layout/gear1"/>
    <dgm:cxn modelId="{A5133216-291B-4160-B942-1288A8BE6005}" type="presOf" srcId="{D13F0AC7-1F09-4457-A4FE-ED58055297D9}" destId="{44418EDF-F5E0-4670-A4FD-74DE16AA0EE0}" srcOrd="0" destOrd="0" presId="urn:microsoft.com/office/officeart/2005/8/layout/gear1"/>
    <dgm:cxn modelId="{B6F91C19-5EA3-4E12-AFE2-B2C893929A74}" srcId="{D13F0AC7-1F09-4457-A4FE-ED58055297D9}" destId="{E703A91E-614B-497D-B7A9-739897B01070}" srcOrd="1" destOrd="0" parTransId="{9469D8C1-7AE6-48BC-A48B-FC1149DD3077}" sibTransId="{F154C26F-5739-4B83-BE98-702B26069E6D}"/>
    <dgm:cxn modelId="{F903512D-3182-46D7-9D36-669377FD7C62}" srcId="{044E7BF0-51B9-4286-914D-7C296A59FC39}" destId="{D13F0AC7-1F09-4457-A4FE-ED58055297D9}" srcOrd="0" destOrd="0" parTransId="{AF5E41D3-AC01-4BF2-B313-CFE57BB69A6D}" sibTransId="{D337A822-5205-4B5A-9D1A-76B32839E235}"/>
    <dgm:cxn modelId="{3F247530-9EAB-4E0B-8616-658C1390E665}" srcId="{D13F0AC7-1F09-4457-A4FE-ED58055297D9}" destId="{BD6839E0-C1F9-4618-AA5E-12853C96A4AB}" srcOrd="0" destOrd="0" parTransId="{106F66C4-949B-4EA9-849B-59C0543AC275}" sibTransId="{E2D0079C-7243-41FD-B5C2-02F810FBACC3}"/>
    <dgm:cxn modelId="{CC2FB831-A87C-4EB0-8845-3895C6F83654}" srcId="{044E7BF0-51B9-4286-914D-7C296A59FC39}" destId="{E49C33A6-C7C7-44CF-B408-62664ADDF950}" srcOrd="1" destOrd="0" parTransId="{FB60B4BE-DB01-4363-A221-51C250744C34}" sibTransId="{F16D75C9-CA9F-4D76-967A-F6A37FCA3FA8}"/>
    <dgm:cxn modelId="{04D4333D-0858-410C-B064-60EA84B245BA}" type="presOf" srcId="{F16D75C9-CA9F-4D76-967A-F6A37FCA3FA8}" destId="{7E418190-D4AC-4178-85AE-1452D12A0EB5}" srcOrd="0" destOrd="0" presId="urn:microsoft.com/office/officeart/2005/8/layout/gear1"/>
    <dgm:cxn modelId="{8E1FC63F-24E8-4DB8-AA8E-C11594FBAFAB}" srcId="{E49C33A6-C7C7-44CF-B408-62664ADDF950}" destId="{7DB2A744-FF82-463D-BE7C-49DB40A47319}" srcOrd="1" destOrd="0" parTransId="{4232B9C6-A830-4FEA-9732-D4D62C9ED67A}" sibTransId="{4B8386BD-F6FF-4EA9-AF49-EC1AFCCF984F}"/>
    <dgm:cxn modelId="{2F092943-A11D-4485-A3EC-DFF7B1FE5BC8}" type="presOf" srcId="{E49C33A6-C7C7-44CF-B408-62664ADDF950}" destId="{11FA588B-0F45-4794-8739-DCD9FAA17AE3}" srcOrd="1" destOrd="0" presId="urn:microsoft.com/office/officeart/2005/8/layout/gear1"/>
    <dgm:cxn modelId="{CDB65963-748F-49AA-9E0D-AD208A5B8B0A}" type="presOf" srcId="{D337A822-5205-4B5A-9D1A-76B32839E235}" destId="{28506FFC-5190-46BE-806F-EA3C9C72634D}" srcOrd="0" destOrd="0" presId="urn:microsoft.com/office/officeart/2005/8/layout/gear1"/>
    <dgm:cxn modelId="{B15F6066-67C3-4120-98B8-588CC4F4D4E3}" type="presOf" srcId="{E49C33A6-C7C7-44CF-B408-62664ADDF950}" destId="{B51D839F-8A79-4B02-96A3-2B345D0D1CE2}" srcOrd="0" destOrd="0" presId="urn:microsoft.com/office/officeart/2005/8/layout/gear1"/>
    <dgm:cxn modelId="{EAE15367-4180-401C-90D3-60D052094D39}" type="presOf" srcId="{28FE1301-1402-4003-9085-19B5842266F3}" destId="{99D8C6E8-58B2-4F9A-A73A-9FEDF80DFD06}" srcOrd="0" destOrd="2" presId="urn:microsoft.com/office/officeart/2005/8/layout/gear1"/>
    <dgm:cxn modelId="{1A080B4F-7209-4F1D-BE6E-6C72FB77024A}" srcId="{E49C33A6-C7C7-44CF-B408-62664ADDF950}" destId="{EC5AA943-0DC0-4E64-B493-F46AB738A665}" srcOrd="0" destOrd="0" parTransId="{5A46A087-F5B8-4A05-AE25-91CB7D70F06B}" sibTransId="{1E09948F-5459-4A92-B849-ED7AFC141FA5}"/>
    <dgm:cxn modelId="{6EF77670-115E-4BF2-A848-E35D708BAF5E}" type="presOf" srcId="{044E7BF0-51B9-4286-914D-7C296A59FC39}" destId="{0F840F8C-6159-4BCA-8B18-E37F1A908F1F}" srcOrd="0" destOrd="0" presId="urn:microsoft.com/office/officeart/2005/8/layout/gear1"/>
    <dgm:cxn modelId="{CEDE6278-58EE-4B9A-A484-4C05F79D09BA}" type="presOf" srcId="{D13F0AC7-1F09-4457-A4FE-ED58055297D9}" destId="{F3682490-3278-474B-894D-CBB37619F264}" srcOrd="1" destOrd="0" presId="urn:microsoft.com/office/officeart/2005/8/layout/gear1"/>
    <dgm:cxn modelId="{6532DA5A-A9CF-4C1B-9DED-806A43AD71F4}" srcId="{E49C33A6-C7C7-44CF-B408-62664ADDF950}" destId="{28FE1301-1402-4003-9085-19B5842266F3}" srcOrd="2" destOrd="0" parTransId="{D5CDC750-DC6F-495E-9FEA-E4C93A54C22B}" sibTransId="{F6A33DC4-AE09-435C-B6C9-8254A5C5DA74}"/>
    <dgm:cxn modelId="{019A34D8-4F70-4C2A-972E-5D8F87041CAB}" type="presOf" srcId="{BD6839E0-C1F9-4618-AA5E-12853C96A4AB}" destId="{C0AF46F8-81A6-4F2A-BEB1-E7BD63890BB5}" srcOrd="0" destOrd="0" presId="urn:microsoft.com/office/officeart/2005/8/layout/gear1"/>
    <dgm:cxn modelId="{539363E1-C3C4-4469-8BDE-5BBD695A464C}" type="presOf" srcId="{EC5AA943-0DC0-4E64-B493-F46AB738A665}" destId="{99D8C6E8-58B2-4F9A-A73A-9FEDF80DFD06}" srcOrd="0" destOrd="0" presId="urn:microsoft.com/office/officeart/2005/8/layout/gear1"/>
    <dgm:cxn modelId="{C0312AE6-690E-4E13-9742-9BA17CEAB2DE}" type="presOf" srcId="{E703A91E-614B-497D-B7A9-739897B01070}" destId="{C0AF46F8-81A6-4F2A-BEB1-E7BD63890BB5}" srcOrd="0" destOrd="1" presId="urn:microsoft.com/office/officeart/2005/8/layout/gear1"/>
    <dgm:cxn modelId="{7383E9FF-C013-4438-A316-89432C7378BF}" type="presOf" srcId="{E49C33A6-C7C7-44CF-B408-62664ADDF950}" destId="{93B25891-1FD5-4DBF-B34E-B0ADF51BB52E}" srcOrd="2" destOrd="0" presId="urn:microsoft.com/office/officeart/2005/8/layout/gear1"/>
    <dgm:cxn modelId="{F7B3A994-DC5E-4053-862D-694889DD5458}" type="presParOf" srcId="{0F840F8C-6159-4BCA-8B18-E37F1A908F1F}" destId="{44418EDF-F5E0-4670-A4FD-74DE16AA0EE0}" srcOrd="0" destOrd="0" presId="urn:microsoft.com/office/officeart/2005/8/layout/gear1"/>
    <dgm:cxn modelId="{18F60F4C-D97C-47D1-8D6F-6D89AAA9D581}" type="presParOf" srcId="{0F840F8C-6159-4BCA-8B18-E37F1A908F1F}" destId="{F3682490-3278-474B-894D-CBB37619F264}" srcOrd="1" destOrd="0" presId="urn:microsoft.com/office/officeart/2005/8/layout/gear1"/>
    <dgm:cxn modelId="{72D27D9C-44D4-46B8-BFA0-7D87892D1450}" type="presParOf" srcId="{0F840F8C-6159-4BCA-8B18-E37F1A908F1F}" destId="{E9F32057-D2F2-4B63-91AF-E9AF1F62E8A8}" srcOrd="2" destOrd="0" presId="urn:microsoft.com/office/officeart/2005/8/layout/gear1"/>
    <dgm:cxn modelId="{88E3CD66-2A5D-40CE-B52C-ECF44DE21A0B}" type="presParOf" srcId="{0F840F8C-6159-4BCA-8B18-E37F1A908F1F}" destId="{C0AF46F8-81A6-4F2A-BEB1-E7BD63890BB5}" srcOrd="3" destOrd="0" presId="urn:microsoft.com/office/officeart/2005/8/layout/gear1"/>
    <dgm:cxn modelId="{4960EE2E-94E9-46FE-81C3-A48CD172932E}" type="presParOf" srcId="{0F840F8C-6159-4BCA-8B18-E37F1A908F1F}" destId="{B51D839F-8A79-4B02-96A3-2B345D0D1CE2}" srcOrd="4" destOrd="0" presId="urn:microsoft.com/office/officeart/2005/8/layout/gear1"/>
    <dgm:cxn modelId="{9F84A222-B2A0-4B7F-9CD8-76D071A74B3A}" type="presParOf" srcId="{0F840F8C-6159-4BCA-8B18-E37F1A908F1F}" destId="{11FA588B-0F45-4794-8739-DCD9FAA17AE3}" srcOrd="5" destOrd="0" presId="urn:microsoft.com/office/officeart/2005/8/layout/gear1"/>
    <dgm:cxn modelId="{FAD6B680-C634-455D-AA8A-D99389A6E954}" type="presParOf" srcId="{0F840F8C-6159-4BCA-8B18-E37F1A908F1F}" destId="{93B25891-1FD5-4DBF-B34E-B0ADF51BB52E}" srcOrd="6" destOrd="0" presId="urn:microsoft.com/office/officeart/2005/8/layout/gear1"/>
    <dgm:cxn modelId="{3C8F6B61-C285-49B4-BE3F-7006C21AABFF}" type="presParOf" srcId="{0F840F8C-6159-4BCA-8B18-E37F1A908F1F}" destId="{99D8C6E8-58B2-4F9A-A73A-9FEDF80DFD06}" srcOrd="7" destOrd="0" presId="urn:microsoft.com/office/officeart/2005/8/layout/gear1"/>
    <dgm:cxn modelId="{44F32EF3-E652-4555-93FD-B336167D3E0C}" type="presParOf" srcId="{0F840F8C-6159-4BCA-8B18-E37F1A908F1F}" destId="{28506FFC-5190-46BE-806F-EA3C9C72634D}" srcOrd="8" destOrd="0" presId="urn:microsoft.com/office/officeart/2005/8/layout/gear1"/>
    <dgm:cxn modelId="{79B81269-86FB-4C50-B7D9-F3D3A6396F4D}" type="presParOf" srcId="{0F840F8C-6159-4BCA-8B18-E37F1A908F1F}" destId="{7E418190-D4AC-4178-85AE-1452D12A0EB5}" srcOrd="9" destOrd="0" presId="urn:microsoft.com/office/officeart/2005/8/layout/gear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394272-462E-434B-AA49-5FCCD8782262}">
      <dsp:nvSpPr>
        <dsp:cNvPr id="0" name=""/>
        <dsp:cNvSpPr/>
      </dsp:nvSpPr>
      <dsp:spPr>
        <a:xfrm>
          <a:off x="2259657" y="390"/>
          <a:ext cx="967085" cy="967085"/>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Activity Based Budgeting</a:t>
          </a:r>
        </a:p>
      </dsp:txBody>
      <dsp:txXfrm>
        <a:off x="2401283" y="142016"/>
        <a:ext cx="683833" cy="683833"/>
      </dsp:txXfrm>
    </dsp:sp>
    <dsp:sp modelId="{1D20D698-9015-42C6-AD17-C4B6E3780A2F}">
      <dsp:nvSpPr>
        <dsp:cNvPr id="0" name=""/>
        <dsp:cNvSpPr/>
      </dsp:nvSpPr>
      <dsp:spPr>
        <a:xfrm rot="2160000">
          <a:off x="3196004" y="742848"/>
          <a:ext cx="256362" cy="326391"/>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203348" y="785523"/>
        <a:ext cx="179453" cy="195835"/>
      </dsp:txXfrm>
    </dsp:sp>
    <dsp:sp modelId="{6A5F0295-3032-49E4-9440-9E26D73EE1E0}">
      <dsp:nvSpPr>
        <dsp:cNvPr id="0" name=""/>
        <dsp:cNvSpPr/>
      </dsp:nvSpPr>
      <dsp:spPr>
        <a:xfrm>
          <a:off x="3433369" y="853142"/>
          <a:ext cx="967085" cy="967085"/>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Based Budgeting</a:t>
          </a:r>
        </a:p>
      </dsp:txBody>
      <dsp:txXfrm>
        <a:off x="3574995" y="994768"/>
        <a:ext cx="683833" cy="683833"/>
      </dsp:txXfrm>
    </dsp:sp>
    <dsp:sp modelId="{2EA33DB2-AC15-459B-A324-8939A20EE3DF}">
      <dsp:nvSpPr>
        <dsp:cNvPr id="0" name=""/>
        <dsp:cNvSpPr/>
      </dsp:nvSpPr>
      <dsp:spPr>
        <a:xfrm rot="6480000">
          <a:off x="3566814" y="1856479"/>
          <a:ext cx="256362" cy="326391"/>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3617152" y="1885185"/>
        <a:ext cx="179453" cy="195835"/>
      </dsp:txXfrm>
    </dsp:sp>
    <dsp:sp modelId="{94CC434A-4DD9-43F8-8B07-0A4B0A6EF00E}">
      <dsp:nvSpPr>
        <dsp:cNvPr id="0" name=""/>
        <dsp:cNvSpPr/>
      </dsp:nvSpPr>
      <dsp:spPr>
        <a:xfrm>
          <a:off x="2985051" y="2232924"/>
          <a:ext cx="967085" cy="967085"/>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Zero-based Budgeting</a:t>
          </a:r>
        </a:p>
      </dsp:txBody>
      <dsp:txXfrm>
        <a:off x="3126677" y="2374550"/>
        <a:ext cx="683833" cy="683833"/>
      </dsp:txXfrm>
    </dsp:sp>
    <dsp:sp modelId="{36F095A9-C285-4F05-AB1E-F1378F0673B9}">
      <dsp:nvSpPr>
        <dsp:cNvPr id="0" name=""/>
        <dsp:cNvSpPr/>
      </dsp:nvSpPr>
      <dsp:spPr>
        <a:xfrm rot="10800000">
          <a:off x="2622274" y="2553271"/>
          <a:ext cx="256362" cy="326391"/>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2699183" y="2618549"/>
        <a:ext cx="179453" cy="195835"/>
      </dsp:txXfrm>
    </dsp:sp>
    <dsp:sp modelId="{CE7BCFF0-A3A0-4DCB-AB2A-0A785F3F0213}">
      <dsp:nvSpPr>
        <dsp:cNvPr id="0" name=""/>
        <dsp:cNvSpPr/>
      </dsp:nvSpPr>
      <dsp:spPr>
        <a:xfrm>
          <a:off x="1534263" y="2232924"/>
          <a:ext cx="967085" cy="967085"/>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Traditional Budgeting</a:t>
          </a:r>
        </a:p>
      </dsp:txBody>
      <dsp:txXfrm>
        <a:off x="1675889" y="2374550"/>
        <a:ext cx="683833" cy="683833"/>
      </dsp:txXfrm>
    </dsp:sp>
    <dsp:sp modelId="{BD328B07-CB57-48A0-830A-79B132861C7A}">
      <dsp:nvSpPr>
        <dsp:cNvPr id="0" name=""/>
        <dsp:cNvSpPr/>
      </dsp:nvSpPr>
      <dsp:spPr>
        <a:xfrm rot="15120000">
          <a:off x="1667707" y="1870280"/>
          <a:ext cx="256362" cy="326391"/>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1718045" y="1972130"/>
        <a:ext cx="179453" cy="195835"/>
      </dsp:txXfrm>
    </dsp:sp>
    <dsp:sp modelId="{AEB86F8C-DE60-4A5B-A674-ECAE72A83225}">
      <dsp:nvSpPr>
        <dsp:cNvPr id="0" name=""/>
        <dsp:cNvSpPr/>
      </dsp:nvSpPr>
      <dsp:spPr>
        <a:xfrm>
          <a:off x="1085945" y="853142"/>
          <a:ext cx="967085" cy="967085"/>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Kaizen Budgeting</a:t>
          </a:r>
        </a:p>
      </dsp:txBody>
      <dsp:txXfrm>
        <a:off x="1227571" y="994768"/>
        <a:ext cx="683833" cy="683833"/>
      </dsp:txXfrm>
    </dsp:sp>
    <dsp:sp modelId="{3EC90586-2639-4645-91C2-01B5E9501BF3}">
      <dsp:nvSpPr>
        <dsp:cNvPr id="0" name=""/>
        <dsp:cNvSpPr/>
      </dsp:nvSpPr>
      <dsp:spPr>
        <a:xfrm rot="19440000">
          <a:off x="2022292" y="751378"/>
          <a:ext cx="256362" cy="326391"/>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2029636" y="839259"/>
        <a:ext cx="179453" cy="1958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AD360-7513-4463-B73F-5B2D02E3B9DF}">
      <dsp:nvSpPr>
        <dsp:cNvPr id="0" name=""/>
        <dsp:cNvSpPr/>
      </dsp:nvSpPr>
      <dsp:spPr>
        <a:xfrm>
          <a:off x="2159" y="0"/>
          <a:ext cx="1295438" cy="1502054"/>
        </a:xfrm>
        <a:prstGeom prst="upArrow">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74D57E8-054E-4093-BA11-7A5A4564A572}">
      <dsp:nvSpPr>
        <dsp:cNvPr id="0" name=""/>
        <dsp:cNvSpPr/>
      </dsp:nvSpPr>
      <dsp:spPr>
        <a:xfrm>
          <a:off x="1336460" y="0"/>
          <a:ext cx="2198319" cy="1502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0" rIns="99568" bIns="99568" numCol="1" spcCol="1270" anchor="ctr" anchorCtr="0">
          <a:noAutofit/>
        </a:bodyPr>
        <a:lstStyle/>
        <a:p>
          <a:pPr marL="0" lvl="0" indent="0" algn="l"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Zero-based Budget</a:t>
          </a:r>
          <a:endParaRPr lang="en-PK" sz="1400" b="1"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Innovation</a:t>
          </a:r>
          <a:endParaRPr lang="en-PK" sz="19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Effective allocation of resources</a:t>
          </a:r>
          <a:endParaRPr lang="en-PK" sz="19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Situational</a:t>
          </a:r>
        </a:p>
        <a:p>
          <a:pPr marL="114300" lvl="1" indent="-114300" algn="l" defTabSz="533400">
            <a:lnSpc>
              <a:spcPct val="90000"/>
            </a:lnSpc>
            <a:spcBef>
              <a:spcPct val="0"/>
            </a:spcBef>
            <a:spcAft>
              <a:spcPct val="15000"/>
            </a:spcAft>
            <a:buChar char="•"/>
          </a:pPr>
          <a:r>
            <a:rPr lang="en-US" sz="1900" kern="1200">
              <a:latin typeface="Arial" panose="020B0604020202020204" pitchFamily="34" charset="0"/>
              <a:cs typeface="Arial" panose="020B0604020202020204" pitchFamily="34" charset="0"/>
            </a:rPr>
            <a:t> </a:t>
          </a:r>
          <a:endParaRPr lang="en-PK" sz="1900" kern="1200">
            <a:latin typeface="Arial" panose="020B0604020202020204" pitchFamily="34" charset="0"/>
            <a:cs typeface="Arial" panose="020B0604020202020204" pitchFamily="34" charset="0"/>
          </a:endParaRPr>
        </a:p>
      </dsp:txBody>
      <dsp:txXfrm>
        <a:off x="1336460" y="0"/>
        <a:ext cx="2198319" cy="1502054"/>
      </dsp:txXfrm>
    </dsp:sp>
    <dsp:sp modelId="{18A2AE44-230D-42B0-B3AE-A5026B43985C}">
      <dsp:nvSpPr>
        <dsp:cNvPr id="0" name=""/>
        <dsp:cNvSpPr/>
      </dsp:nvSpPr>
      <dsp:spPr>
        <a:xfrm>
          <a:off x="390790" y="1627225"/>
          <a:ext cx="1295438" cy="1502054"/>
        </a:xfrm>
        <a:prstGeom prst="downArrow">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7669D1A-7FCA-4015-8AC1-E9159803F12E}">
      <dsp:nvSpPr>
        <dsp:cNvPr id="0" name=""/>
        <dsp:cNvSpPr/>
      </dsp:nvSpPr>
      <dsp:spPr>
        <a:xfrm>
          <a:off x="1725091" y="1627225"/>
          <a:ext cx="2198319" cy="1502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0" rIns="99568" bIns="99568" numCol="1" spcCol="1270" anchor="ctr" anchorCtr="0">
          <a:noAutofit/>
        </a:bodyPr>
        <a:lstStyle/>
        <a:p>
          <a:pPr marL="0" lvl="0" indent="0" algn="l"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Traditional Budget</a:t>
          </a:r>
          <a:endParaRPr lang="en-PK" sz="1400" b="1"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Obsolete</a:t>
          </a:r>
          <a:endParaRPr lang="en-PK" sz="12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Ineffective allocation of resources</a:t>
          </a:r>
          <a:endParaRPr lang="en-PK" sz="12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US" sz="1200" kern="1200">
              <a:latin typeface="Arial" panose="020B0604020202020204" pitchFamily="34" charset="0"/>
              <a:cs typeface="Arial" panose="020B0604020202020204" pitchFamily="34" charset="0"/>
            </a:rPr>
            <a:t>Fixed</a:t>
          </a:r>
        </a:p>
        <a:p>
          <a:pPr marL="114300" lvl="1" indent="-114300" algn="r" defTabSz="533400">
            <a:lnSpc>
              <a:spcPct val="90000"/>
            </a:lnSpc>
            <a:spcBef>
              <a:spcPct val="0"/>
            </a:spcBef>
            <a:spcAft>
              <a:spcPct val="15000"/>
            </a:spcAft>
            <a:buChar char="•"/>
          </a:pPr>
          <a:endParaRPr lang="en-PK" sz="1200" kern="1200"/>
        </a:p>
      </dsp:txBody>
      <dsp:txXfrm>
        <a:off x="1725091" y="1627225"/>
        <a:ext cx="2198319" cy="150205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CDD331-2352-4DA5-A597-F5F341939670}">
      <dsp:nvSpPr>
        <dsp:cNvPr id="0" name=""/>
        <dsp:cNvSpPr/>
      </dsp:nvSpPr>
      <dsp:spPr>
        <a:xfrm>
          <a:off x="2144237" y="972222"/>
          <a:ext cx="1235737" cy="1068962"/>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Change Management</a:t>
          </a:r>
          <a:endParaRPr lang="en-PK" sz="1000" b="1" kern="1200">
            <a:latin typeface="Arial" panose="020B0604020202020204" pitchFamily="34" charset="0"/>
            <a:cs typeface="Arial" panose="020B0604020202020204" pitchFamily="34" charset="0"/>
          </a:endParaRPr>
        </a:p>
      </dsp:txBody>
      <dsp:txXfrm>
        <a:off x="2349016" y="1149364"/>
        <a:ext cx="826179" cy="714678"/>
      </dsp:txXfrm>
    </dsp:sp>
    <dsp:sp modelId="{6C5B114C-3B97-4CF1-8AA3-1DEC95F614E2}">
      <dsp:nvSpPr>
        <dsp:cNvPr id="0" name=""/>
        <dsp:cNvSpPr/>
      </dsp:nvSpPr>
      <dsp:spPr>
        <a:xfrm>
          <a:off x="2918046" y="460796"/>
          <a:ext cx="466240" cy="401727"/>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71D5CC05-C58B-4662-BFE7-4673C1B4111E}">
      <dsp:nvSpPr>
        <dsp:cNvPr id="0" name=""/>
        <dsp:cNvSpPr/>
      </dsp:nvSpPr>
      <dsp:spPr>
        <a:xfrm>
          <a:off x="2258066" y="0"/>
          <a:ext cx="1012678" cy="876085"/>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Control</a:t>
          </a:r>
          <a:endParaRPr lang="en-PK" sz="1200" b="1" kern="1200"/>
        </a:p>
      </dsp:txBody>
      <dsp:txXfrm>
        <a:off x="2425888" y="145186"/>
        <a:ext cx="677034" cy="585713"/>
      </dsp:txXfrm>
    </dsp:sp>
    <dsp:sp modelId="{3CA36642-2700-45FC-A1C4-D02A656F2208}">
      <dsp:nvSpPr>
        <dsp:cNvPr id="0" name=""/>
        <dsp:cNvSpPr/>
      </dsp:nvSpPr>
      <dsp:spPr>
        <a:xfrm>
          <a:off x="3462185" y="1211812"/>
          <a:ext cx="466240" cy="401727"/>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908D0D4-637A-4302-97C8-66BF6BFE3DCB}">
      <dsp:nvSpPr>
        <dsp:cNvPr id="0" name=""/>
        <dsp:cNvSpPr/>
      </dsp:nvSpPr>
      <dsp:spPr>
        <a:xfrm>
          <a:off x="3186810" y="538851"/>
          <a:ext cx="1012678" cy="876085"/>
        </a:xfrm>
        <a:prstGeom prst="hexagon">
          <a:avLst>
            <a:gd name="adj" fmla="val 28570"/>
            <a:gd name="vf" fmla="val 115470"/>
          </a:avLst>
        </a:prstGeom>
        <a:gradFill rotWithShape="0">
          <a:gsLst>
            <a:gs pos="0">
              <a:schemeClr val="accent4">
                <a:hueOff val="2598923"/>
                <a:satOff val="-11992"/>
                <a:lumOff val="441"/>
                <a:alphaOff val="0"/>
                <a:satMod val="103000"/>
                <a:lumMod val="102000"/>
                <a:tint val="94000"/>
              </a:schemeClr>
            </a:gs>
            <a:gs pos="50000">
              <a:schemeClr val="accent4">
                <a:hueOff val="2598923"/>
                <a:satOff val="-11992"/>
                <a:lumOff val="441"/>
                <a:alphaOff val="0"/>
                <a:satMod val="110000"/>
                <a:lumMod val="100000"/>
                <a:shade val="100000"/>
              </a:schemeClr>
            </a:gs>
            <a:gs pos="100000">
              <a:schemeClr val="accent4">
                <a:hueOff val="2598923"/>
                <a:satOff val="-11992"/>
                <a:lumOff val="44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Objective</a:t>
          </a:r>
          <a:endParaRPr lang="en-PK" sz="1200" b="1" kern="1200"/>
        </a:p>
      </dsp:txBody>
      <dsp:txXfrm>
        <a:off x="3354632" y="684037"/>
        <a:ext cx="677034" cy="585713"/>
      </dsp:txXfrm>
    </dsp:sp>
    <dsp:sp modelId="{4BDB9D83-B747-441A-BED5-ACC1D603F935}">
      <dsp:nvSpPr>
        <dsp:cNvPr id="0" name=""/>
        <dsp:cNvSpPr/>
      </dsp:nvSpPr>
      <dsp:spPr>
        <a:xfrm>
          <a:off x="3084191" y="2059569"/>
          <a:ext cx="466240" cy="401727"/>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D037941C-54DB-4FD6-94AE-8D2D2FC73093}">
      <dsp:nvSpPr>
        <dsp:cNvPr id="0" name=""/>
        <dsp:cNvSpPr/>
      </dsp:nvSpPr>
      <dsp:spPr>
        <a:xfrm>
          <a:off x="3186810" y="1598170"/>
          <a:ext cx="1012678" cy="876085"/>
        </a:xfrm>
        <a:prstGeom prst="hexagon">
          <a:avLst>
            <a:gd name="adj" fmla="val 28570"/>
            <a:gd name="vf" fmla="val 11547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Visibility</a:t>
          </a:r>
          <a:endParaRPr lang="en-PK" sz="1200" b="1" kern="1200"/>
        </a:p>
      </dsp:txBody>
      <dsp:txXfrm>
        <a:off x="3354632" y="1743356"/>
        <a:ext cx="677034" cy="585713"/>
      </dsp:txXfrm>
    </dsp:sp>
    <dsp:sp modelId="{2293C949-A34D-4A83-8FE1-60270C8536C8}">
      <dsp:nvSpPr>
        <dsp:cNvPr id="0" name=""/>
        <dsp:cNvSpPr/>
      </dsp:nvSpPr>
      <dsp:spPr>
        <a:xfrm>
          <a:off x="2146537" y="2147569"/>
          <a:ext cx="466240" cy="401727"/>
        </a:xfrm>
        <a:prstGeom prst="hexagon">
          <a:avLst>
            <a:gd name="adj" fmla="val 28900"/>
            <a:gd name="vf" fmla="val 115470"/>
          </a:avLst>
        </a:prstGeom>
        <a:gradFill rotWithShape="0">
          <a:gsLst>
            <a:gs pos="0">
              <a:schemeClr val="accent4">
                <a:tint val="40000"/>
                <a:hueOff val="0"/>
                <a:satOff val="0"/>
                <a:lumOff val="0"/>
                <a:alphaOff val="0"/>
                <a:satMod val="103000"/>
                <a:lumMod val="102000"/>
                <a:tint val="94000"/>
              </a:schemeClr>
            </a:gs>
            <a:gs pos="50000">
              <a:schemeClr val="accent4">
                <a:tint val="40000"/>
                <a:hueOff val="0"/>
                <a:satOff val="0"/>
                <a:lumOff val="0"/>
                <a:alphaOff val="0"/>
                <a:satMod val="110000"/>
                <a:lumMod val="100000"/>
                <a:shade val="100000"/>
              </a:schemeClr>
            </a:gs>
            <a:gs pos="100000">
              <a:schemeClr val="accent4">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4E4D66C1-16D1-4597-AD39-72A31226AA9E}">
      <dsp:nvSpPr>
        <dsp:cNvPr id="0" name=""/>
        <dsp:cNvSpPr/>
      </dsp:nvSpPr>
      <dsp:spPr>
        <a:xfrm>
          <a:off x="2258066" y="2137624"/>
          <a:ext cx="1012678" cy="876085"/>
        </a:xfrm>
        <a:prstGeom prst="hexagon">
          <a:avLst>
            <a:gd name="adj" fmla="val 28570"/>
            <a:gd name="vf" fmla="val 115470"/>
          </a:avLst>
        </a:prstGeom>
        <a:gradFill rotWithShape="0">
          <a:gsLst>
            <a:gs pos="0">
              <a:schemeClr val="accent4">
                <a:hueOff val="7796769"/>
                <a:satOff val="-35976"/>
                <a:lumOff val="1324"/>
                <a:alphaOff val="0"/>
                <a:satMod val="103000"/>
                <a:lumMod val="102000"/>
                <a:tint val="94000"/>
              </a:schemeClr>
            </a:gs>
            <a:gs pos="50000">
              <a:schemeClr val="accent4">
                <a:hueOff val="7796769"/>
                <a:satOff val="-35976"/>
                <a:lumOff val="1324"/>
                <a:alphaOff val="0"/>
                <a:satMod val="110000"/>
                <a:lumMod val="100000"/>
                <a:shade val="100000"/>
              </a:schemeClr>
            </a:gs>
            <a:gs pos="100000">
              <a:schemeClr val="accent4">
                <a:hueOff val="7796769"/>
                <a:satOff val="-35976"/>
                <a:lumOff val="132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Template</a:t>
          </a:r>
          <a:endParaRPr lang="en-PK" sz="1200" b="1" kern="1200"/>
        </a:p>
      </dsp:txBody>
      <dsp:txXfrm>
        <a:off x="2425888" y="2282810"/>
        <a:ext cx="677034" cy="585713"/>
      </dsp:txXfrm>
    </dsp:sp>
    <dsp:sp modelId="{D7CA9369-F7CA-41F7-8EAC-FD3E4AED2222}">
      <dsp:nvSpPr>
        <dsp:cNvPr id="0" name=""/>
        <dsp:cNvSpPr/>
      </dsp:nvSpPr>
      <dsp:spPr>
        <a:xfrm>
          <a:off x="1325011" y="1598773"/>
          <a:ext cx="1012678" cy="876085"/>
        </a:xfrm>
        <a:prstGeom prst="hexagon">
          <a:avLst>
            <a:gd name="adj" fmla="val 28570"/>
            <a:gd name="vf" fmla="val 11547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Strategic choices</a:t>
          </a:r>
          <a:endParaRPr lang="en-PK" sz="1200" b="1" kern="1200"/>
        </a:p>
      </dsp:txBody>
      <dsp:txXfrm>
        <a:off x="1492833" y="1743959"/>
        <a:ext cx="677034" cy="58571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418EDF-F5E0-4670-A4FD-74DE16AA0EE0}">
      <dsp:nvSpPr>
        <dsp:cNvPr id="0" name=""/>
        <dsp:cNvSpPr/>
      </dsp:nvSpPr>
      <dsp:spPr>
        <a:xfrm>
          <a:off x="1940322" y="874776"/>
          <a:ext cx="1450487" cy="1374648"/>
        </a:xfrm>
        <a:prstGeom prst="gear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t>Disadvanatges of zero-based budget</a:t>
          </a:r>
          <a:endParaRPr lang="en-PK" sz="1000" b="1" kern="1200"/>
        </a:p>
      </dsp:txBody>
      <dsp:txXfrm>
        <a:off x="2226266" y="1196781"/>
        <a:ext cx="878599" cy="706597"/>
      </dsp:txXfrm>
    </dsp:sp>
    <dsp:sp modelId="{C0AF46F8-81A6-4F2A-BEB1-E7BD63890BB5}">
      <dsp:nvSpPr>
        <dsp:cNvPr id="0" name=""/>
        <dsp:cNvSpPr/>
      </dsp:nvSpPr>
      <dsp:spPr>
        <a:xfrm>
          <a:off x="1624430" y="1790135"/>
          <a:ext cx="1232489" cy="393712"/>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Labor and Time-consuming</a:t>
          </a:r>
          <a:endParaRPr lang="en-PK" sz="900" b="1"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Complex</a:t>
          </a:r>
          <a:endParaRPr lang="en-PK" sz="900" b="1" kern="1200">
            <a:latin typeface="Arial" panose="020B0604020202020204" pitchFamily="34" charset="0"/>
            <a:cs typeface="Arial" panose="020B0604020202020204" pitchFamily="34" charset="0"/>
          </a:endParaRPr>
        </a:p>
      </dsp:txBody>
      <dsp:txXfrm>
        <a:off x="1635961" y="1801666"/>
        <a:ext cx="1209427" cy="370650"/>
      </dsp:txXfrm>
    </dsp:sp>
    <dsp:sp modelId="{B51D839F-8A79-4B02-96A3-2B345D0D1CE2}">
      <dsp:nvSpPr>
        <dsp:cNvPr id="0" name=""/>
        <dsp:cNvSpPr/>
      </dsp:nvSpPr>
      <dsp:spPr>
        <a:xfrm>
          <a:off x="600694" y="680745"/>
          <a:ext cx="1185116" cy="999744"/>
        </a:xfrm>
        <a:prstGeom prst="gear6">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Advantages of zero-based budget</a:t>
          </a:r>
          <a:endParaRPr lang="en-PK" sz="800" b="1" kern="1200">
            <a:latin typeface="Arial" panose="020B0604020202020204" pitchFamily="34" charset="0"/>
            <a:cs typeface="Arial" panose="020B0604020202020204" pitchFamily="34" charset="0"/>
          </a:endParaRPr>
        </a:p>
      </dsp:txBody>
      <dsp:txXfrm>
        <a:off x="879329" y="933955"/>
        <a:ext cx="627846" cy="493324"/>
      </dsp:txXfrm>
    </dsp:sp>
    <dsp:sp modelId="{99D8C6E8-58B2-4F9A-A73A-9FEDF80DFD06}">
      <dsp:nvSpPr>
        <dsp:cNvPr id="0" name=""/>
        <dsp:cNvSpPr/>
      </dsp:nvSpPr>
      <dsp:spPr>
        <a:xfrm>
          <a:off x="1703312" y="349910"/>
          <a:ext cx="874776" cy="524865"/>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10395692"/>
              <a:satOff val="-47968"/>
              <a:lumOff val="1765"/>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ctr"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Situational</a:t>
          </a:r>
          <a:endParaRPr lang="en-PK" sz="900" b="1" kern="1200">
            <a:latin typeface="Arial" panose="020B0604020202020204" pitchFamily="34" charset="0"/>
            <a:cs typeface="Arial" panose="020B0604020202020204" pitchFamily="34" charset="0"/>
          </a:endParaRPr>
        </a:p>
        <a:p>
          <a:pPr marL="57150" lvl="1" indent="-57150" algn="ctr"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Strategic</a:t>
          </a:r>
          <a:endParaRPr lang="en-PK" sz="900" b="1" kern="1200">
            <a:latin typeface="Arial" panose="020B0604020202020204" pitchFamily="34" charset="0"/>
            <a:cs typeface="Arial" panose="020B0604020202020204" pitchFamily="34" charset="0"/>
          </a:endParaRPr>
        </a:p>
        <a:p>
          <a:pPr marL="57150" lvl="1" indent="-57150" algn="ctr" defTabSz="400050">
            <a:lnSpc>
              <a:spcPct val="90000"/>
            </a:lnSpc>
            <a:spcBef>
              <a:spcPct val="0"/>
            </a:spcBef>
            <a:spcAft>
              <a:spcPct val="15000"/>
            </a:spcAft>
            <a:buChar char="•"/>
          </a:pPr>
          <a:r>
            <a:rPr lang="en-US" sz="900" b="1" kern="1200">
              <a:latin typeface="Arial" panose="020B0604020202020204" pitchFamily="34" charset="0"/>
              <a:cs typeface="Arial" panose="020B0604020202020204" pitchFamily="34" charset="0"/>
            </a:rPr>
            <a:t>Profit-oriented</a:t>
          </a:r>
          <a:endParaRPr lang="en-PK" sz="900" b="1" kern="1200">
            <a:latin typeface="Arial" panose="020B0604020202020204" pitchFamily="34" charset="0"/>
            <a:cs typeface="Arial" panose="020B0604020202020204" pitchFamily="34" charset="0"/>
          </a:endParaRPr>
        </a:p>
      </dsp:txBody>
      <dsp:txXfrm>
        <a:off x="1718685" y="365283"/>
        <a:ext cx="844030" cy="494119"/>
      </dsp:txXfrm>
    </dsp:sp>
    <dsp:sp modelId="{28506FFC-5190-46BE-806F-EA3C9C72634D}">
      <dsp:nvSpPr>
        <dsp:cNvPr id="0" name=""/>
        <dsp:cNvSpPr/>
      </dsp:nvSpPr>
      <dsp:spPr>
        <a:xfrm>
          <a:off x="2195981" y="468884"/>
          <a:ext cx="1690817" cy="1690817"/>
        </a:xfrm>
        <a:prstGeom prst="circularArrow">
          <a:avLst>
            <a:gd name="adj1" fmla="val 4878"/>
            <a:gd name="adj2" fmla="val 312630"/>
            <a:gd name="adj3" fmla="val 2974366"/>
            <a:gd name="adj4" fmla="val 15467700"/>
            <a:gd name="adj5" fmla="val 5691"/>
          </a:avLst>
        </a:prstGeom>
        <a:solidFill>
          <a:schemeClr val="accent4">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7E418190-D4AC-4178-85AE-1452D12A0EB5}">
      <dsp:nvSpPr>
        <dsp:cNvPr id="0" name=""/>
        <dsp:cNvSpPr/>
      </dsp:nvSpPr>
      <dsp:spPr>
        <a:xfrm>
          <a:off x="1340163" y="89549"/>
          <a:ext cx="1278422" cy="1278422"/>
        </a:xfrm>
        <a:prstGeom prst="leftCircularArrow">
          <a:avLst>
            <a:gd name="adj1" fmla="val 6452"/>
            <a:gd name="adj2" fmla="val 429999"/>
            <a:gd name="adj3" fmla="val 10489124"/>
            <a:gd name="adj4" fmla="val 14837806"/>
            <a:gd name="adj5" fmla="val 7527"/>
          </a:avLst>
        </a:prstGeom>
        <a:solidFill>
          <a:schemeClr val="accent4">
            <a:hueOff val="10395692"/>
            <a:satOff val="-47968"/>
            <a:lumOff val="176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2022-07-06T00:00:00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Mar09</b:Tag>
    <b:SourceType>JournalArticle</b:SourceType>
    <b:Guid>{CA478095-CFF5-4B3D-A07E-EE5D47069B5D}</b:Guid>
    <b:Title>Accounting for Goodwill</b:Title>
    <b:Year>2009</b:Year>
    <b:Author>
      <b:Author>
        <b:NameList>
          <b:Person>
            <b:Last>Bloom</b:Last>
            <b:First>Martin</b:First>
          </b:Person>
        </b:NameList>
      </b:Author>
    </b:Author>
    <b:JournalName>ABACUS</b:JournalName>
    <b:RefOrder>4</b:RefOrder>
  </b:Source>
  <b:Source>
    <b:Tag>Atr15</b:Tag>
    <b:SourceType>Book</b:SourceType>
    <b:Guid>{EE5C386D-EEDC-454D-B753-D1FF6F16BEE5}</b:Guid>
    <b:Title>Accounting: an introduction</b:Title>
    <b:Year>2015</b:Year>
    <b:Author>
      <b:Author>
        <b:NameList>
          <b:Person>
            <b:Last>Atrill</b:Last>
          </b:Person>
          <b:Person>
            <b:Last>McClaney</b:Last>
          </b:Person>
        </b:NameList>
      </b:Author>
    </b:Author>
    <b:Publisher>Pearson Australia</b:Publisher>
    <b:RefOrder>3</b:RefOrder>
  </b:Source>
  <b:Source>
    <b:Tag>Mow14</b:Tag>
    <b:SourceType>Book</b:SourceType>
    <b:Guid>{F05B9F13-54A5-45EA-92FB-6B11DBFDC6C8}</b:Guid>
    <b:Title>Cornerstones of Managerial Accounting</b:Title>
    <b:Year>2014</b:Year>
    <b:Author>
      <b:Author>
        <b:NameList>
          <b:Person>
            <b:Last>Mowen</b:Last>
          </b:Person>
          <b:Person>
            <b:Last>Hansen</b:Last>
          </b:Person>
          <b:Person>
            <b:Last>Heitger</b:Last>
          </b:Person>
        </b:NameList>
      </b:Author>
    </b:Author>
    <b:Publisher>Cengage Learning</b:Publisher>
    <b:RefOrder>18</b:RefOrder>
  </b:Source>
  <b:Source>
    <b:Tag>Wal94</b:Tag>
    <b:SourceType>Book</b:SourceType>
    <b:Guid>{979ECB39-C5AB-415A-BA76-89EBE4CC1920}</b:Guid>
    <b:Author>
      <b:Author>
        <b:NameList>
          <b:Person>
            <b:Last>Walter</b:Last>
          </b:Person>
          <b:Person>
            <b:Last>Robert</b:Last>
          </b:Person>
          <b:Person>
            <b:Last>Mary</b:Last>
          </b:Person>
        </b:NameList>
      </b:Author>
    </b:Author>
    <b:Title>Financial Accounting</b:Title>
    <b:Year>1994</b:Year>
    <b:Publisher>McGraw-Hill</b:Publisher>
    <b:RefOrder>20</b:RefOrder>
  </b:Source>
  <b:Source>
    <b:Tag>Dav05</b:Tag>
    <b:SourceType>Book</b:SourceType>
    <b:Guid>{309E923B-E4D1-4829-B169-B190B4CD7E5A}</b:Guid>
    <b:Title>Fundamental Accounting </b:Title>
    <b:Year>2005</b:Year>
    <b:Author>
      <b:Author>
        <b:NameList>
          <b:Person>
            <b:Last>Flynn</b:Last>
            <b:First>David</b:First>
          </b:Person>
          <b:Person>
            <b:Last>Koornhof</b:Last>
            <b:First>Carolina</b:First>
          </b:Person>
        </b:NameList>
      </b:Author>
    </b:Author>
    <b:Publisher>Juta Limited</b:Publisher>
    <b:RefOrder>5</b:RefOrder>
  </b:Source>
  <b:Source>
    <b:Tag>Mar13</b:Tag>
    <b:SourceType>Book</b:SourceType>
    <b:Guid>{3CC37286-E088-40AF-8606-BF67411CD76E}</b:Guid>
    <b:Title>Managerial Accounting for Dummies</b:Title>
    <b:Year>2013</b:Year>
    <b:Author>
      <b:Author>
        <b:NameList>
          <b:Person>
            <b:Last>Holtzman</b:Last>
            <b:First>Mark</b:First>
          </b:Person>
        </b:NameList>
      </b:Author>
    </b:Author>
    <b:Publisher>Wiley</b:Publisher>
    <b:RefOrder>8</b:RefOrder>
  </b:Source>
  <b:Source>
    <b:Tag>Kur18</b:Tag>
    <b:SourceType>Book</b:SourceType>
    <b:Guid>{65D76CF6-4A22-4C1B-BA00-89471E5846B5}</b:Guid>
    <b:Author>
      <b:Author>
        <b:NameList>
          <b:Person>
            <b:Last>Heisinger</b:Last>
            <b:First>Kurt</b:First>
          </b:Person>
          <b:Person>
            <b:Last>Hoyle</b:Last>
            <b:First>Joe</b:First>
          </b:Person>
        </b:NameList>
      </b:Author>
    </b:Author>
    <b:Title>Managerial Accounting</b:Title>
    <b:Year>2018</b:Year>
    <b:Publisher>Flatworld Knowledge</b:Publisher>
    <b:RefOrder>7</b:RefOrder>
  </b:Source>
  <b:Source>
    <b:Tag>Bel11</b:Tag>
    <b:SourceType>Book</b:SourceType>
    <b:Guid>{A4E43A9E-28C2-4850-B98B-FC44F46FE31A}</b:Guid>
    <b:Author>
      <b:Author>
        <b:NameList>
          <b:Person>
            <b:Last>Needles</b:Last>
            <b:First>Belverd</b:First>
            <b:Middle>E.</b:Middle>
          </b:Person>
          <b:Person>
            <b:Last>Powers</b:Last>
            <b:First>Marian</b:First>
          </b:Person>
          <b:Person>
            <b:Last>Crosson</b:Last>
            <b:First>Susan</b:First>
            <b:Middle>V.</b:Middle>
          </b:Person>
        </b:NameList>
      </b:Author>
    </b:Author>
    <b:Title>Principles of Accounting</b:Title>
    <b:Year>2011</b:Year>
    <b:Publisher>Cengage Learning</b:Publisher>
    <b:RefOrder>21</b:RefOrder>
  </b:Source>
  <b:Source>
    <b:Tag>Bob01</b:Tag>
    <b:SourceType>Book</b:SourceType>
    <b:Guid>{4E184251-FF4D-4852-8E19-A80D8836A7F6}</b:Guid>
    <b:Author>
      <b:Author>
        <b:NameList>
          <b:Person>
            <b:Last>Ryan</b:Last>
            <b:First>Bob</b:First>
          </b:Person>
        </b:NameList>
      </b:Author>
    </b:Author>
    <b:Title>Strategic Accounting for Management</b:Title>
    <b:Year>2001</b:Year>
    <b:Publisher>Thomson</b:Publisher>
    <b:RefOrder>22</b:RefOrder>
  </b:Source>
  <b:Source>
    <b:Tag>Jam19</b:Tag>
    <b:SourceType>Book</b:SourceType>
    <b:Guid>{2C02628C-1926-4F5E-A33D-233D7F62FF51}</b:Guid>
    <b:Author>
      <b:Author>
        <b:NameList>
          <b:Person>
            <b:Last>Jiambalvo</b:Last>
            <b:First>James</b:First>
          </b:Person>
        </b:NameList>
      </b:Author>
    </b:Author>
    <b:Title>Maangerial Accounting</b:Title>
    <b:Year>2019</b:Year>
    <b:Publisher>Cengage Learning</b:Publisher>
    <b:RefOrder>23</b:RefOrder>
  </b:Source>
  <b:Source>
    <b:Tag>Ram08</b:Tag>
    <b:SourceType>Book</b:SourceType>
    <b:Guid>{5CB32E0C-12ED-402D-A197-BCC65105C72E}</b:Guid>
    <b:Author>
      <b:Author>
        <b:NameList>
          <b:Person>
            <b:Last>Balakrishnan</b:Last>
            <b:First>Ramji</b:First>
          </b:Person>
          <b:Person>
            <b:Last>Sprinkla</b:Last>
            <b:First>Geoff</b:First>
          </b:Person>
        </b:NameList>
      </b:Author>
    </b:Author>
    <b:Title>Managerial Accounting</b:Title>
    <b:Year>2008</b:Year>
    <b:Publisher>Cengage Learning</b:Publisher>
    <b:RefOrder>24</b:RefOrder>
  </b:Source>
  <b:Source>
    <b:Tag>Rog10</b:Tag>
    <b:SourceType>Book</b:SourceType>
    <b:Guid>{0A95FEA9-5540-4E71-9E7F-B57F3F78155B}</b:Guid>
    <b:Title>Managerial Accounting</b:Title>
    <b:Year>2010</b:Year>
    <b:Publisher>Freeload Press</b:Publisher>
    <b:Author>
      <b:Author>
        <b:NameList>
          <b:Person>
            <b:Last>Hermanson</b:Last>
            <b:First>Roger</b:First>
          </b:Person>
          <b:Person>
            <b:Last>Edwards</b:Last>
            <b:First>James</b:First>
          </b:Person>
        </b:NameList>
      </b:Author>
    </b:Author>
    <b:RefOrder>25</b:RefOrder>
  </b:Source>
  <b:Source>
    <b:Tag>Shu08</b:Tag>
    <b:SourceType>Book</b:SourceType>
    <b:Guid>{123BB994-4D6C-45B7-A435-88DDC23CBA60}</b:Guid>
    <b:Author>
      <b:Author>
        <b:NameList>
          <b:Person>
            <b:Last>Shukla</b:Last>
          </b:Person>
          <b:Person>
            <b:Last>Grewal</b:Last>
          </b:Person>
        </b:NameList>
      </b:Author>
    </b:Author>
    <b:Title>Cost Accounting</b:Title>
    <b:Year>2018</b:Year>
    <b:Publisher>Chand and Company</b:Publisher>
    <b:RefOrder>1</b:RefOrder>
  </b:Source>
  <b:Source>
    <b:Tag>Raj11</b:Tag>
    <b:SourceType>Book</b:SourceType>
    <b:Guid>{16A8ECEC-C5DB-462A-AA99-8BABC46713AB}</b:Guid>
    <b:Author>
      <b:Author>
        <b:NameList>
          <b:Person>
            <b:Last>Rajasekaran</b:Last>
          </b:Person>
        </b:NameList>
      </b:Author>
    </b:Author>
    <b:Title>Cost Accounting</b:Title>
    <b:Year>2011</b:Year>
    <b:Publisher>Pearson</b:Publisher>
    <b:RefOrder>2</b:RefOrder>
  </b:Source>
  <b:Source>
    <b:Tag>Mit19</b:Tag>
    <b:SourceType>Book</b:SourceType>
    <b:Guid>{D6D12EA2-DA31-4AC4-9E7C-D7CA4E917678}</b:Guid>
    <b:Author>
      <b:Author>
        <b:NameList>
          <b:Person>
            <b:Last>Franklyn</b:Last>
            <b:First>Mitchell</b:First>
          </b:Person>
          <b:Person>
            <b:Last>Graybeal</b:Last>
            <b:First>Patty</b:First>
          </b:Person>
        </b:NameList>
      </b:Author>
    </b:Author>
    <b:Title>Principles of Accounting Volume 1 - Financial Accounting</b:Title>
    <b:Year>2019</b:Year>
    <b:Publisher>12th Media Services</b:Publisher>
    <b:RefOrder>6</b:RefOrder>
  </b:Source>
  <b:Source>
    <b:Tag>Kha16</b:Tag>
    <b:SourceType>JournalArticle</b:SourceType>
    <b:Guid>{28B67DB9-3CBB-4B74-9846-D6CC0F16F926}</b:Guid>
    <b:Author>
      <b:Author>
        <b:NameList>
          <b:Person>
            <b:Last>Khan</b:Last>
            <b:First>Mozaffar</b:First>
          </b:Person>
        </b:NameList>
      </b:Author>
    </b:Author>
    <b:Title>Corporate Sustainability: First Evidence on Materiality</b:Title>
    <b:Year>2016</b:Year>
    <b:JournalName>American Accounting Association</b:JournalName>
    <b:RefOrder>9</b:RefOrder>
  </b:Source>
  <b:Source>
    <b:Tag>Zac17</b:Tag>
    <b:SourceType>Book</b:SourceType>
    <b:Guid>{D06B24F1-2170-4AF4-8525-EDC45DB595A9}</b:Guid>
    <b:Title>Cost Accounting in Government</b:Title>
    <b:Year>2017</b:Year>
    <b:Author>
      <b:Author>
        <b:NameList>
          <b:Person>
            <b:Last>Mohr</b:Last>
            <b:First>Zachary</b:First>
          </b:Person>
        </b:NameList>
      </b:Author>
    </b:Author>
    <b:Publisher>Routledge</b:Publisher>
    <b:RefOrder>10</b:RefOrder>
  </b:Source>
  <b:Source>
    <b:Tag>Ali19</b:Tag>
    <b:SourceType>JournalArticle</b:SourceType>
    <b:Guid>{A243FD1F-C9B6-4934-9DCA-9AB4199C9A88}</b:Guid>
    <b:Title>Business Ethics and Financial Reporting: Earnings Management During Periods of Economic Recessions</b:Title>
    <b:Year>2019</b:Year>
    <b:Author>
      <b:Author>
        <b:NameList>
          <b:Person>
            <b:Last>Markmann</b:Last>
            <b:First>Alison</b:First>
          </b:Person>
          <b:Person>
            <b:Last>Ghani</b:Last>
            <b:First>WaQar</b:First>
          </b:Person>
        </b:NameList>
      </b:Author>
    </b:Author>
    <b:JournalName>Journal of Forensic and Investigative Accounting</b:JournalName>
    <b:Pages>64-81</b:Pages>
    <b:RefOrder>11</b:RefOrder>
  </b:Source>
  <b:Source>
    <b:Tag>Ste10</b:Tag>
    <b:SourceType>JournalArticle</b:SourceType>
    <b:Guid>{5656C5CC-3DFA-4C1C-87E1-0E453090BC6B}</b:Guid>
    <b:Author>
      <b:Author>
        <b:NameList>
          <b:Person>
            <b:Last>Powell</b:Last>
            <b:First>Stephen</b:First>
          </b:Person>
        </b:NameList>
      </b:Author>
    </b:Author>
    <b:Title>Accounting for intangible assets: current requirements, key players and future directions</b:Title>
    <b:JournalName>European accounting Review</b:JournalName>
    <b:Year>2010</b:Year>
    <b:Pages>797-811</b:Pages>
    <b:Volume>12</b:Volume>
    <b:Issue>4</b:Issue>
    <b:RefOrder>12</b:RefOrder>
  </b:Source>
  <b:Source>
    <b:Tag>Win17</b:Tag>
    <b:SourceType>Book</b:SourceType>
    <b:Guid>{7A285F60-C4B5-4374-A64D-BC3EC0D65D13}</b:Guid>
    <b:Title>Strategic Management Accounting</b:Title>
    <b:Year>2017</b:Year>
    <b:Publisher>Springer</b:Publisher>
    <b:Author>
      <b:Author>
        <b:NameList>
          <b:Person>
            <b:Last>Li</b:Last>
            <b:First>Wing</b:First>
            <b:Middle>sun</b:Middle>
          </b:Person>
        </b:NameList>
      </b:Author>
    </b:Author>
    <b:RefOrder>13</b:RefOrder>
  </b:Source>
  <b:Source>
    <b:Tag>Sam19</b:Tag>
    <b:SourceType>Book</b:SourceType>
    <b:Guid>{B7E7857C-8BDE-45E2-BBA1-2061B1F961BE}</b:Guid>
    <b:Author>
      <b:Author>
        <b:NameList>
          <b:Person>
            <b:Last>Schreim</b:Last>
            <b:First>Sam</b:First>
          </b:Person>
        </b:NameList>
      </b:Author>
    </b:Author>
    <b:Title>Zero-Based Budgeting (ZBB) To Zero-Based Everything</b:Title>
    <b:Year>2019</b:Year>
    <b:RefOrder>14</b:RefOrder>
  </b:Source>
  <b:Source>
    <b:Tag>Kri19</b:Tag>
    <b:SourceType>Book</b:SourceType>
    <b:Guid>{CA072A33-39B2-4EC4-BB9B-525E79192728}</b:Guid>
    <b:Author>
      <b:Author>
        <b:NameList>
          <b:Person>
            <b:Last>Timmermans</b:Last>
            <b:First>Kris</b:First>
          </b:Person>
          <b:Person>
            <b:Last>Roark</b:Last>
            <b:First>Chris</b:First>
          </b:Person>
        </b:NameList>
      </b:Author>
    </b:Author>
    <b:Title>The Big Zero: The Transformation of ZBB into a Force for Growth, Innovation and Competitive Advantage</b:Title>
    <b:Year>2019</b:Year>
    <b:RefOrder>15</b:RefOrder>
  </b:Source>
  <b:Source>
    <b:Tag>Ste08</b:Tag>
    <b:SourceType>Report</b:SourceType>
    <b:Guid>{E9278168-0907-4623-9F5D-0F5BB041C9F8}</b:Guid>
    <b:Author>
      <b:Author>
        <b:NameList>
          <b:Person>
            <b:Last>Stenka</b:Last>
            <b:First>Renata</b:First>
          </b:Person>
          <b:Person>
            <b:Last>Ormrod</b:Last>
            <b:First>Phil</b:First>
          </b:Person>
          <b:Person>
            <b:Last>Chan</b:Last>
            <b:First>Ann</b:First>
          </b:Person>
        </b:NameList>
      </b:Author>
    </b:Author>
    <b:Title>Accounting for Business Combinations - The Consequences of IFRS Adoption for UK Listed Companies</b:Title>
    <b:Year>2018</b:Year>
    <b:Publisher>SSRN</b:Publisher>
    <b:RefOrder>16</b:RefOrder>
  </b:Source>
  <b:Source>
    <b:Tag>Kim19</b:Tag>
    <b:SourceType>Book</b:SourceType>
    <b:Guid>{E23C3FFF-0320-43AA-A5C3-E74F6D0C3991}</b:Guid>
    <b:Author>
      <b:Author>
        <b:NameList>
          <b:Person>
            <b:Last>Kimmel</b:Last>
            <b:First>Paul</b:First>
          </b:Person>
          <b:Person>
            <b:Last>Weygandt</b:Last>
            <b:First>Jerry</b:First>
          </b:Person>
          <b:Person>
            <b:Last>Kieso</b:Last>
            <b:First>Donald</b:First>
          </b:Person>
        </b:NameList>
      </b:Author>
    </b:Author>
    <b:Title>Accounting: Tools for Business Decision Making</b:Title>
    <b:Year>2019</b:Year>
    <b:Publisher>Wiley</b:Publisher>
    <b:Edition>7</b:Edition>
    <b:RefOrder>17</b:RefOrder>
  </b:Source>
  <b:Source>
    <b:Tag>Placeholder1</b:Tag>
    <b:SourceType>Book</b:SourceType>
    <b:Guid>{8F82EF0A-443F-48E4-B0F0-E5A6FA104FB0}</b:Guid>
    <b:Author>
      <b:Author>
        <b:NameList>
          <b:Person>
            <b:Last>Walter</b:Last>
          </b:Person>
          <b:Person>
            <b:Last>Robert</b:Last>
          </b:Person>
          <b:Person>
            <b:Last>Mary</b:Last>
          </b:Person>
        </b:NameList>
      </b:Author>
    </b:Author>
    <b:Title>Financial Accounting</b:Title>
    <b:Year>2015</b:Year>
    <b:Publisher>McGraw-Hill</b:Publisher>
    <b:RefOrder>19</b:RefOrder>
  </b:Source>
  <b:Source>
    <b:Tag>Wil19</b:Tag>
    <b:SourceType>Book</b:SourceType>
    <b:Guid>{FA654D80-C312-496E-B7D6-7FF5CEFE6727}</b:Guid>
    <b:Author>
      <b:Author>
        <b:NameList>
          <b:Person>
            <b:Last>Lalli</b:Last>
            <b:First>William</b:First>
          </b:Person>
        </b:NameList>
      </b:Author>
    </b:Author>
    <b:Title>Handbook of Budgeting</b:Title>
    <b:Year>2019</b:Year>
    <b:Publisher>Wiley</b:Publisher>
    <b:RefOrder>20</b:RefOrder>
  </b:Source>
  <b:Source>
    <b:Tag>Rol05</b:Tag>
    <b:SourceType>Book</b:SourceType>
    <b:Guid>{80D49B0F-B52B-41CA-829D-C39D2F34632A}</b:Guid>
    <b:Author>
      <b:Author>
        <b:NameList>
          <b:Person>
            <b:Last>Holl</b:Last>
            <b:First>Roland</b:First>
          </b:Person>
          <b:Person>
            <b:Last>Bohm</b:Last>
            <b:First>stefan</b:First>
          </b:Person>
        </b:NameList>
      </b:Author>
    </b:Author>
    <b:Title>Zero Based Budgeting using the Balanced Scorecard</b:Title>
    <b:Year>2005</b:Year>
    <b:Publisher>GRIN</b:Publisher>
    <b:RefOrder>21</b:RefOrder>
  </b:Source>
  <b:Source>
    <b:Tag>DKi18</b:Tag>
    <b:SourceType>Book</b:SourceType>
    <b:Guid>{0F64450A-903C-4CE0-A9D5-5292DDC7FCFD}</b:Guid>
    <b:Title>Intermediate Accounting: IFRS Edition</b:Title>
    <b:Year>2018</b:Year>
    <b:Author>
      <b:Author>
        <b:NameList>
          <b:Person>
            <b:Last>Kieso</b:Last>
          </b:Person>
          <b:Person>
            <b:Last>Weygandt</b:Last>
          </b:Person>
          <b:Person>
            <b:Last>Warfield</b:Last>
          </b:Person>
        </b:NameList>
      </b:Author>
    </b:Author>
    <b:Publisher>John Wiley &amp; Sons</b:Publisher>
    <b:RefOrder>22</b:RefOrder>
  </b:Source>
  <b:Source>
    <b:Tag>Cha211</b:Tag>
    <b:SourceType>Book</b:SourceType>
    <b:Guid>{F2F7F5BE-99AC-43BE-A3CB-594EBEB4D0AB}</b:Guid>
    <b:Title>The basics of Public Budgeting and Financial Management</b:Title>
    <b:Year>2021</b:Year>
    <b:Author>
      <b:Author>
        <b:NameList>
          <b:Person>
            <b:Last>Menifield</b:Last>
            <b:First>Charles</b:First>
          </b:Person>
        </b:NameList>
      </b:Author>
    </b:Author>
    <b:Publisher>Hamilton Books</b:Publisher>
    <b:RefOrder>24</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8D21C8-12F9-47BB-9424-A2F2A981C25C}">
  <ds:schemaRefs>
    <ds:schemaRef ds:uri="http://schemas.openxmlformats.org/officeDocument/2006/bibliography"/>
  </ds:schemaRefs>
</ds:datastoreItem>
</file>

<file path=customXml/itemProps5.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12</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CONTINENTAL HOTEL BUDGET PlaNNER</vt:lpstr>
    </vt:vector>
  </TitlesOfParts>
  <Company>University of Wales Trinity Saint David</Company>
  <LinksUpToDate>false</LinksUpToDate>
  <CharactersWithSpaces>15036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 BUDGET PlaNNER</dc:title>
  <dc:subject/>
  <dc:creator>Marie Pitson</dc:creator>
  <cp:keywords/>
  <dc:description/>
  <cp:lastModifiedBy>Madalina</cp:lastModifiedBy>
  <cp:revision>254</cp:revision>
  <dcterms:created xsi:type="dcterms:W3CDTF">2022-05-29T19:59:00Z</dcterms:created>
  <dcterms:modified xsi:type="dcterms:W3CDTF">2022-07-05T13:59:00Z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