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docProps/core.xml" ContentType="application/vnd.openxmlformats-package.core-properties+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wpsCustomData="http://www.wps.cn/officeDocument/2013/wpsCustomData" mc:Ignorable="w14 w15 wp14">
  <w:body>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jc w:val="center"/>
        <w:spacing w:line="480" w:lineRule="auto"/>
        <w:rPr>
          <w:bCs w:val="0"/>
          <w:lang w:val="en-US"/>
          <w:b w:val="0"/>
          <w:rFonts w:ascii="Times New Roman" w:cs="Times New Roman" w:hAnsi="Times New Roman" w:hint="default"/>
          <w:sz w:val="24"/>
          <w:szCs w:val="24"/>
        </w:rPr>
      </w:pPr>
    </w:p>
    <w:p>
      <w:pPr>
        <w:jc w:val="center"/>
        <w:spacing w:line="480" w:lineRule="auto"/>
        <w:rPr>
          <w:bCs w:val="0"/>
          <w:lang w:val="en-US"/>
          <w:b/>
          <w:rFonts w:ascii="Times New Roman" w:cs="Times New Roman" w:hAnsi="Times New Roman" w:hint="default"/>
          <w:sz w:val="60"/>
          <w:szCs w:val="24"/>
        </w:rPr>
      </w:pPr>
      <w:r>
        <w:rPr>
          <w:b/>
          <w:rFonts w:ascii="Times New Roman"/>
          <w:sz w:val="60"/>
        </w:rPr>
        <w:t>GREEN VISTA RETREAT</w:t>
      </w:r>
    </w:p>
    <w:p>
      <w:pPr>
        <w:jc w:val="center"/>
        <w:spacing w:line="480" w:lineRule="auto"/>
        <w:rPr>
          <w:b/>
          <w:sz w:val="36"/>
        </w:rPr>
      </w:pPr>
      <w:r>
        <w:rPr>
          <w:b/>
          <w:sz w:val="36"/>
        </w:rPr>
        <w:t>Module title: Entrepreneurship</w:t>
      </w:r>
    </w:p>
    <w:p>
      <w:pPr>
        <w:jc w:val="center"/>
        <w:spacing w:line="480" w:lineRule="auto"/>
        <w:rPr>
          <w:sz w:val="36"/>
        </w:rPr>
      </w:pPr>
      <w:r>
        <w:rPr>
          <w:b/>
          <w:sz w:val="36"/>
        </w:rPr>
        <w:t>Module code: BMIH5001</w:t>
      </w:r>
    </w:p>
    <w:p>
      <w:pPr>
        <w:jc w:val="center"/>
        <w:spacing w:line="480" w:lineRule="auto"/>
        <w:rPr>
          <w:sz w:val="36"/>
        </w:rPr>
      </w:pPr>
      <w:r>
        <w:rPr>
          <w:b/>
          <w:sz w:val="36"/>
        </w:rPr>
        <w:t>Student name: Georgiana Poteaca</w:t>
      </w:r>
    </w:p>
    <w:p>
      <w:pPr>
        <w:jc w:val="center"/>
        <w:spacing w:line="480" w:lineRule="auto"/>
        <w:rPr>
          <w:sz w:val="36"/>
        </w:rPr>
      </w:pPr>
      <w:r>
        <w:rPr>
          <w:b/>
          <w:sz w:val="36"/>
        </w:rPr>
        <w:t>Student number: 2206484</w:t>
      </w:r>
    </w:p>
    <w:p>
      <w:pPr>
        <w:jc w:val="center"/>
        <w:spacing w:line="480" w:lineRule="auto"/>
        <w:rPr>
          <w:sz w:val="36"/>
        </w:rPr>
      </w:pPr>
      <w:r>
        <w:rPr>
          <w:b/>
          <w:sz w:val="36"/>
        </w:rPr>
        <w:t>Lecturer name: Christopher Wilkin</w:t>
      </w:r>
    </w:p>
    <w:p>
      <w:pPr>
        <w:jc w:val="center"/>
        <w:spacing w:line="480" w:lineRule="auto"/>
        <w:rPr>
          <w:sz w:val="60"/>
        </w:rPr>
      </w:pPr>
      <w:r>
        <w:rPr>
          <w:b w:val="0"/>
          <w:rFonts w:ascii="Times New Roman"/>
          <w:sz w:val="60"/>
        </w:rPr>
      </w:r>
    </w:p>
    <w:p>
      <w:pPr>
        <w:jc w:val="center"/>
        <w:spacing w:line="480" w:lineRule="auto"/>
        <w:rPr>
          <w:bCs w:val="0"/>
          <w:lang w:val="en-US"/>
          <w:b w:val="0"/>
          <w:rFonts w:ascii="Times New Roman" w:hAnsi="Times New Roman" w:hint="default"/>
          <w:sz w:val="24"/>
          <w:szCs w:val="24"/>
        </w:rPr>
      </w:pPr>
    </w:p>
    <w:p>
      <w:pPr>
        <w:jc w:val="center"/>
        <w:spacing w:line="480" w:lineRule="auto"/>
        <w:rPr>
          <w:bCs w:val="0"/>
          <w:lang w:val="en-US"/>
          <w:b w:val="0"/>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p>
    <w:p>
      <w:pPr>
        <w:spacing w:line="480" w:lineRule="auto"/>
        <w:rPr>
          <w:bCs/>
          <w:lang w:val="en-US"/>
          <w:b/>
          <w:rFonts w:ascii="Times New Roman" w:cs="Times New Roman" w:hAnsi="Times New Roman" w:hint="default"/>
          <w:sz w:val="24"/>
          <w:szCs w:val="24"/>
        </w:rPr>
      </w:pPr>
      <w:bookmarkStart w:id="0" w:name="_GoBack"/>
      <w:bookmarkEnd w:id="0"/>
    </w:p>
    <w:p>
      <w:pPr>
        <w:jc w:val="center"/>
        <w:spacing w:line="480" w:lineRule="auto"/>
        <w:rPr>
          <w:bCs w:val="0"/>
          <w:lang w:val="en-US"/>
          <w:b w:val="0"/>
          <w:rFonts w:ascii="Times New Roman" w:cs="Times New Roman" w:hAnsi="Times New Roman" w:hint="default"/>
          <w:sz w:val="24"/>
          <w:szCs w:val="24"/>
        </w:rPr>
      </w:pPr>
      <w:r>
        <w:rPr>
          <w:bCs w:val="0"/>
          <w:lang w:val="en-US"/>
          <w:b w:val="0"/>
          <w:rFonts w:ascii="Times New Roman" w:cs="Times New Roman" w:hAnsi="Times New Roman" w:hint="default"/>
          <w:sz w:val="24"/>
          <w:szCs w:val="24"/>
        </w:rPr>
        <w:t>Business Model Canvas for GreenVista Retreat</w:t>
      </w:r>
    </w:p>
    <w:p>
      <w:pPr>
        <w:spacing w:line="480" w:lineRule="auto"/>
        <w:rPr>
          <w:bCs/>
          <w:lang w:val="en-US"/>
          <w:b/>
          <w:rFonts w:ascii="Times New Roman" w:cs="Times New Roman" w:hAnsi="Times New Roman" w:hint="default"/>
          <w:sz w:val="24"/>
          <w:szCs w:val="24"/>
        </w:rPr>
      </w:pPr>
      <w:r>
        <w:rPr>
          <w:bCs/>
          <w:lang w:val="en-US"/>
          <w:b/>
          <w:rFonts w:ascii="Times New Roman" w:cs="Times New Roman" w:hAnsi="Times New Roman" w:hint="default"/>
          <w:sz w:val="24"/>
          <w:szCs w:val="24"/>
        </w:rPr>
        <w:t xml:space="preserve">Introduction </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My proposed hospitality enterprise is a cutting-edge, environmentally conscious boutique hotel named "GreenVista Retreat." This business is meant to serve tourists who care about the environment and want to stay in a way that is both sustainable and engaging. Using the Business Model Canvas (BMC), the goal of this essay is to explain and defend the main parts of GreenVista Retreat's business model (Appendix 1). Sustainable practices have become more popular in the hotel sector in recent years, as customers place a higher value on products that don't harm the environment. This change is something that GreenVista Retreat wants to take advantage of by not only offering great accommodations but also making eco-friendly practices a top priority in all of its operations. Hospitality entrepreneurship shapes visitor experiences and meets changing consumer wants. It requires generating a distinctive and enticing product and managing sustainable business methods. The BMC and GreenVista Retreat will show us how entrepreneurship aligns consumer desires with environmental responsibility. Sustainable hospitality can coexist with elegance and comfort, as this enterprise aims to establish a new benchmark.</w:t>
      </w:r>
    </w:p>
    <w:p>
      <w:pPr>
        <w:spacing w:line="480" w:lineRule="auto"/>
        <w:rPr>
          <w:bCs/>
          <w:lang w:val="en-US"/>
          <w:b/>
          <w:rFonts w:ascii="Times New Roman" w:cs="Times New Roman" w:hAnsi="Times New Roman" w:hint="default"/>
          <w:sz w:val="24"/>
          <w:szCs w:val="24"/>
        </w:rPr>
      </w:pPr>
      <w:r>
        <w:rPr>
          <w:bCs/>
          <w:lang w:val="en-US"/>
          <w:b/>
          <w:rFonts w:ascii="Times New Roman" w:cs="Times New Roman" w:hAnsi="Times New Roman" w:hint="default"/>
          <w:sz w:val="24"/>
          <w:szCs w:val="24"/>
        </w:rPr>
        <w:t>Business Model Canvas (BMC)</w:t>
      </w:r>
    </w:p>
    <w:p>
      <w:pPr>
        <w:numPr>
          <w:ilvl w:val="0"/>
          <w:numId w:val="1"/>
        </w:numPr>
        <w:spacing w:line="480" w:lineRule="auto"/>
        <w:rPr>
          <w:iCs/>
          <w:lang w:val="en-US"/>
          <w:i/>
          <w:rFonts w:ascii="Times New Roman" w:cs="Times New Roman" w:hAnsi="Times New Roman" w:hint="default"/>
          <w:sz w:val="24"/>
          <w:szCs w:val="24"/>
        </w:rPr>
      </w:pPr>
      <w:r>
        <w:rPr>
          <w:iCs/>
          <w:lang w:val="en-US"/>
          <w:i/>
          <w:rFonts w:ascii="Times New Roman" w:cs="Times New Roman" w:hAnsi="Times New Roman" w:hint="default"/>
          <w:sz w:val="24"/>
          <w:szCs w:val="24"/>
        </w:rPr>
        <w:t>Value Proposition</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 xml:space="preserve">GreenVista Retreat's value is its unmatched, sustainable hospitality. Based on Michael Porter's competitive strategy research, the hotel integrates environmental responsibility into its value chain to stand out from the competition. Porter's research emphasizes differentiation for businesses seeking a competitive edge </w:t>
      </w:r>
      <w:r>
        <w:rPr>
          <w:rFonts w:ascii="Times New Roman" w:cs="Times New Roman" w:eastAsia="SimSun" w:hAnsi="Times New Roman" w:hint="default"/>
          <w:sz w:val="24"/>
          <w:szCs w:val="24"/>
        </w:rPr>
        <w:t>(Dieffenbacher, 2023)</w:t>
      </w:r>
      <w:r>
        <w:rPr>
          <w:lang w:val="en-US"/>
          <w:rFonts w:ascii="Times New Roman" w:hAnsi="Times New Roman" w:hint="default"/>
          <w:sz w:val="24"/>
          <w:szCs w:val="24"/>
        </w:rPr>
        <w:t xml:space="preserve">. GreenVista Retreat differentiates itself through eco-friendly practices. Cutting-edge green technology to reduce energy use, recycled and locally produced building materials, and strict waste management are our value offer. These efforts lower the hotel's environmental effect and demonstrate its corporate responsibility. The guest experience includes individualized eco-friendly amenities, organic bedding, and sustainable, regionally inspired eating. GreenVista Retreat targets affluent, eco-conscious guests by combining luxury and sustainability. </w:t>
      </w:r>
      <w:r>
        <w:rPr>
          <w:rFonts w:ascii="Times New Roman" w:cs="Times New Roman" w:eastAsia="SimSun" w:hAnsi="Times New Roman" w:hint="default"/>
          <w:sz w:val="24"/>
          <w:szCs w:val="24"/>
        </w:rPr>
        <w:t>Jobber and Ellis-Chadwick (2019)</w:t>
      </w:r>
      <w:r>
        <w:rPr>
          <w:lang w:val="en-US"/>
          <w:rFonts w:ascii="Times New Roman" w:hAnsi="Times New Roman" w:hint="default"/>
          <w:sz w:val="24"/>
          <w:szCs w:val="24"/>
        </w:rPr>
        <w:t xml:space="preserve"> found that a compelling value proposition attracts and retains consumers. GreenVista Retreat's value offer matches customer desires for ecological and ethical choices, tapping into a market group that wants experiences that match their beliefs. This distinguishes the hotel from rivals and positions it as a hospitality trailblazer, meeting the rising desire for eco-friendly tourism.</w:t>
      </w:r>
    </w:p>
    <w:p>
      <w:pPr>
        <w:numPr>
          <w:ilvl w:val="0"/>
          <w:numId w:val="1"/>
        </w:numPr>
        <w:ind w:left="0"/>
        <w:ind w:firstLine="0"/>
        <w:spacing w:line="480" w:lineRule="auto"/>
        <w:rPr>
          <w:iCs/>
          <w:lang w:val="en-US"/>
          <w:i/>
          <w:rFonts w:ascii="Times New Roman" w:cs="Times New Roman" w:hAnsi="Times New Roman" w:hint="default"/>
          <w:sz w:val="24"/>
          <w:szCs w:val="24"/>
        </w:rPr>
      </w:pPr>
      <w:r>
        <w:rPr>
          <w:iCs/>
          <w:lang w:val="en-US"/>
          <w:i/>
          <w:rFonts w:ascii="Times New Roman" w:cs="Times New Roman" w:hAnsi="Times New Roman" w:hint="default"/>
          <w:sz w:val="24"/>
          <w:szCs w:val="24"/>
        </w:rPr>
        <w:t>Customer Segments</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 xml:space="preserve">GreenVista Retreat targets eco-conscious guests who value luxury and sustainability. Market data shows an increasing number of customers choosing ethical and environmentally friendly housing. Hung et al. (2021) found that 66% of worldwide customers would pay extra for sustainable companies, creating a large market for eco-friendly hotels. Targeting this population is justified by contemporary tourists' growing awareness of their environmental effect. GreenVista Retreat targets eco-conscious travelers interested in luxury facilities and responsible tourism by personalizing our services to their needs. Sustainable tourism specialist Anna Spenceley emphasises the significance of catering to the expanding market of travellers seeking genuine and ecologically responsible experiences (Spenceley, 2012). Adventurers and city dwellers benefit from GreenVista Retreat's closeness to natural areas and outdoor activities. According to study, location attracts certain client demographics to hospitality organizations </w:t>
      </w:r>
      <w:r>
        <w:rPr>
          <w:rFonts w:ascii="Times New Roman" w:cs="Times New Roman" w:eastAsia="SimSun" w:hAnsi="Times New Roman" w:hint="default"/>
          <w:sz w:val="24"/>
          <w:szCs w:val="24"/>
        </w:rPr>
        <w:t>(Mim and Ferdous, 2021)</w:t>
      </w:r>
      <w:r>
        <w:rPr>
          <w:lang w:val="en-US"/>
          <w:rFonts w:ascii="Times New Roman" w:hAnsi="Times New Roman" w:hint="default"/>
          <w:sz w:val="24"/>
          <w:szCs w:val="24"/>
        </w:rPr>
        <w:t>.</w:t>
      </w:r>
    </w:p>
    <w:p>
      <w:pPr>
        <w:numPr>
          <w:ilvl w:val="0"/>
          <w:numId w:val="1"/>
        </w:numPr>
        <w:ind w:left="0"/>
        <w:ind w:firstLine="0"/>
        <w:spacing w:line="480" w:lineRule="auto"/>
        <w:rPr>
          <w:iCs/>
          <w:lang w:val="en-US"/>
          <w:i/>
          <w:rFonts w:ascii="Times New Roman" w:hAnsi="Times New Roman" w:hint="default"/>
          <w:sz w:val="24"/>
          <w:szCs w:val="24"/>
        </w:rPr>
      </w:pPr>
      <w:r>
        <w:rPr>
          <w:iCs/>
          <w:lang w:val="en-US"/>
          <w:i/>
          <w:rFonts w:ascii="Times New Roman" w:hAnsi="Times New Roman" w:hint="default"/>
          <w:sz w:val="24"/>
          <w:szCs w:val="24"/>
        </w:rPr>
        <w:t>Channels</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 xml:space="preserve">The GreenVista Retreat uses several methods to contact clients online and offline. To attract visitors, online channels will leverage social media, SEO, and a user-friendly website. Instagram, Facebook, and Twitter will be used for promotions and to publicize the hotel's eco-friendly projects, building community among eco-conscious tourists. The website will showcase the hotel's sustainability, eco-friendliness, and unique experiences as well as make reservations. Moreover, potential clients will be reached via physical channels as well as online. Sustainable and eco-friendly travel providers will be partnered with to reach more people. </w:t>
      </w:r>
      <w:r>
        <w:rPr>
          <w:rFonts w:ascii="Times New Roman" w:cs="Times New Roman" w:eastAsia="SimSun" w:hAnsi="Times New Roman" w:hint="default"/>
          <w:sz w:val="24"/>
          <w:szCs w:val="24"/>
        </w:rPr>
        <w:t>Morrison (2018)</w:t>
      </w:r>
      <w:r>
        <w:rPr>
          <w:lang w:val="en-US"/>
          <w:rFonts w:ascii="Times New Roman" w:hAnsi="Times New Roman" w:hint="default"/>
          <w:sz w:val="24"/>
          <w:szCs w:val="24"/>
        </w:rPr>
        <w:t xml:space="preserve">, a tourist marketing specialist, suggests attending travel and trade fairs to meet prospective passengers and travel experts. Strategic relationships with environmental groups and local businesses will also help GreenVista Retreat get more attention and are in line with the hotel's commitment to helping local communities and eco-friendly practices. This fits with the study, who stresses how important it is for people in the hotel business to work together and form relationships </w:t>
      </w:r>
      <w:r>
        <w:rPr>
          <w:rFonts w:ascii="Times New Roman" w:cs="Times New Roman" w:eastAsia="SimSun" w:hAnsi="Times New Roman" w:hint="default"/>
          <w:sz w:val="24"/>
          <w:szCs w:val="24"/>
        </w:rPr>
        <w:t>(Buhalis and Law, 2022)</w:t>
      </w:r>
      <w:r>
        <w:rPr>
          <w:lang w:val="en-US"/>
          <w:rFonts w:ascii="Times New Roman" w:hAnsi="Times New Roman" w:hint="default"/>
          <w:sz w:val="24"/>
          <w:szCs w:val="24"/>
        </w:rPr>
        <w:t>.</w:t>
      </w:r>
    </w:p>
    <w:p>
      <w:pPr>
        <w:numPr>
          <w:ilvl w:val="0"/>
          <w:numId w:val="1"/>
        </w:numPr>
        <w:ind w:left="0"/>
        <w:ind w:firstLine="0"/>
        <w:spacing w:line="480" w:lineRule="auto"/>
        <w:rPr>
          <w:iCs/>
          <w:lang w:val="en-US"/>
          <w:i/>
          <w:rFonts w:ascii="Times New Roman" w:hAnsi="Times New Roman" w:hint="default"/>
          <w:sz w:val="24"/>
          <w:szCs w:val="24"/>
        </w:rPr>
      </w:pPr>
      <w:r>
        <w:rPr>
          <w:iCs/>
          <w:lang w:val="en-US"/>
          <w:i/>
          <w:rFonts w:ascii="Times New Roman" w:hAnsi="Times New Roman" w:hint="default"/>
          <w:sz w:val="24"/>
          <w:szCs w:val="24"/>
        </w:rPr>
        <w:t>Customer Relationships</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GreenVista Retreat's Customer Relationships component of the Business Model Canvas is crucial to its success in attracting and retaining ecologically aware guests. In accordance with influence and persuasion expert Kupferschmidt (2017), the hotel will promote reciprocity to improve customer connections. GreenVista Retreat provides tailored eco-friendly facilities, guided nature tours, and environmental education to make visitors' stays unforgettable. The reciprocity principle states that people are more willing to give back when they obtain something valuable. To improve visitor satisfaction, GreenVista Retreat offers free eco-friendly items including reusable water bottles and locally produced organic toiletries. This supports the hotel's environmental goals and generates repeat business by creating goodwill and client loyalty.</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 xml:space="preserve">In addition, a customer-centric strategy is necessary for long-term connections, according to study </w:t>
      </w:r>
      <w:r>
        <w:rPr>
          <w:rFonts w:ascii="Times New Roman" w:cs="Times New Roman" w:eastAsia="SimSun" w:hAnsi="Times New Roman" w:hint="default"/>
          <w:sz w:val="24"/>
          <w:szCs w:val="24"/>
        </w:rPr>
        <w:t>(Hemel and Rademakers, 2016)</w:t>
      </w:r>
      <w:r>
        <w:rPr>
          <w:lang w:val="en-US"/>
          <w:rFonts w:ascii="Times New Roman" w:hAnsi="Times New Roman" w:hint="default"/>
          <w:sz w:val="24"/>
          <w:szCs w:val="24"/>
        </w:rPr>
        <w:t xml:space="preserve">. GreenVista Retreat will provide for visitors' particular preferences and requirements. Surveys, targeted communication, and service changes may be needed. Guests should feel connected to GreenVista Retreat as part of their eco-conscious lifestyle, not merely a place to stay. The RATER model defines five core service quality dimensions: dependability, assurance, tangibles, empathy, and responsiveness </w:t>
      </w:r>
      <w:r>
        <w:rPr>
          <w:rFonts w:ascii="Times New Roman" w:cs="Times New Roman" w:eastAsia="SimSun" w:hAnsi="Times New Roman" w:hint="default"/>
          <w:sz w:val="24"/>
          <w:szCs w:val="24"/>
        </w:rPr>
        <w:t>(Conger, 2012)</w:t>
      </w:r>
      <w:r>
        <w:rPr>
          <w:lang w:val="en-US"/>
          <w:rFonts w:ascii="Times New Roman" w:hAnsi="Times New Roman" w:hint="default"/>
          <w:sz w:val="24"/>
          <w:szCs w:val="24"/>
        </w:rPr>
        <w:t>. The hotel will use this model to develop customer service strategy. Staff training will highlight these characteristics to ensure visitors get a luxury stay and great service that matches their beliefs.</w:t>
      </w:r>
    </w:p>
    <w:p>
      <w:pPr>
        <w:numPr>
          <w:ilvl w:val="0"/>
          <w:numId w:val="1"/>
        </w:numPr>
        <w:ind w:left="0"/>
        <w:ind w:firstLine="0"/>
        <w:spacing w:line="480" w:lineRule="auto"/>
        <w:rPr>
          <w:iCs/>
          <w:lang w:val="en-US"/>
          <w:i/>
          <w:rFonts w:ascii="Times New Roman" w:hAnsi="Times New Roman" w:hint="default"/>
          <w:sz w:val="24"/>
          <w:szCs w:val="24"/>
        </w:rPr>
      </w:pPr>
      <w:r>
        <w:rPr>
          <w:iCs/>
          <w:lang w:val="en-US"/>
          <w:i/>
          <w:rFonts w:ascii="Times New Roman" w:hAnsi="Times New Roman" w:hint="default"/>
          <w:sz w:val="24"/>
          <w:szCs w:val="24"/>
        </w:rPr>
        <w:t>Revenue Streams</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 xml:space="preserve">In GreenVista Retreat's firm Model Canvas' Revenue Streams section, evaluate how the firm will create cash while matching with its unique value offer of eco-friendly luxury lodging. A pricing pioneer, coined the term "price premium," which might help us portray GreenVista Retreat as a premium product (Simon, 2015). The hotel's unique activities and dedication to sustainability explain a higher price point than standard hotels. Room reservations will be a major income source for GreenVista Retreat. Guest preferences will be met by several accommodation types with eco-friendly and opulent facilities. A pricing strategy expert recommends using the tiered pricing model to provide consumers alternatives and help the hotel collect value from various market groups </w:t>
      </w:r>
      <w:r>
        <w:rPr>
          <w:rFonts w:ascii="Times New Roman" w:cs="Times New Roman" w:eastAsia="SimSun" w:hAnsi="Times New Roman" w:hint="default"/>
          <w:sz w:val="24"/>
          <w:szCs w:val="24"/>
        </w:rPr>
        <w:t>(Trebicka, Tartaraj and Harizi, 2023)</w:t>
      </w:r>
      <w:r>
        <w:rPr>
          <w:lang w:val="en-US"/>
          <w:rFonts w:ascii="Times New Roman" w:hAnsi="Times New Roman" w:hint="default"/>
          <w:sz w:val="24"/>
          <w:szCs w:val="24"/>
        </w:rPr>
        <w:t>. Eco-conscious guests may pay extra for accommodations with increased sustainability features.</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The hotel will also investigate auxiliary income sources to boost profits. Offering guided eco-tours or collaborating with local craftspeople on special, sustainable items might provide extra money. GreenVista Retreat diversifies its earnings and offers value for visitors seeking a comprehensive, ecologically immersed experience by using such tactics. The hotel's pricing will reflect its sustainability and financial viability. Researchers recommend "value-based pricing," which will base charges on visitors' perceived value from the distinctive eco-friendly products (Chi et al., 2021). GreenVista Retreat wants to explain its higher pricing to its target market by emphasizing its environmental activities and luxury experiences.</w:t>
      </w:r>
    </w:p>
    <w:p>
      <w:pPr>
        <w:numPr>
          <w:ilvl w:val="0"/>
          <w:numId w:val="1"/>
        </w:numPr>
        <w:ind w:left="0"/>
        <w:ind w:firstLine="0"/>
        <w:spacing w:line="480" w:lineRule="auto"/>
        <w:rPr>
          <w:iCs/>
          <w:lang w:val="en-US"/>
          <w:i/>
          <w:rFonts w:ascii="Times New Roman" w:hAnsi="Times New Roman" w:hint="default"/>
          <w:sz w:val="24"/>
          <w:szCs w:val="24"/>
        </w:rPr>
      </w:pPr>
      <w:r>
        <w:rPr>
          <w:iCs/>
          <w:lang w:val="en-US"/>
          <w:i/>
          <w:rFonts w:ascii="Times New Roman" w:hAnsi="Times New Roman" w:hint="default"/>
          <w:sz w:val="24"/>
          <w:szCs w:val="24"/>
        </w:rPr>
        <w:t>Key Resources, Activities, and Partnerships</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 xml:space="preserve">To maintain company continuity, GreenVista Retreat will prioritize many important resources. Visitors that care about the environment will trust eco-friendly credentials and collaborations like Green Key. Sustainable materials and energy-efficient technology will form the foundation of the physical infrastructure. Additionally, a well-trained and competent team dedicated to eco-friendly hospitality would be beneficial. According to Porter's resource-based view (RBV), valuable, scarce, and hard-to-imitate resources provide a company a competitive edge </w:t>
      </w:r>
      <w:r>
        <w:rPr>
          <w:rFonts w:ascii="Times New Roman" w:cs="Times New Roman" w:eastAsia="SimSun" w:hAnsi="Times New Roman" w:hint="default"/>
          <w:sz w:val="24"/>
          <w:szCs w:val="24"/>
        </w:rPr>
        <w:t>(Kodua, 2019)</w:t>
      </w:r>
      <w:r>
        <w:rPr>
          <w:lang w:val="en-US"/>
          <w:rFonts w:ascii="Times New Roman" w:hAnsi="Times New Roman" w:hint="default"/>
          <w:sz w:val="24"/>
          <w:szCs w:val="24"/>
        </w:rPr>
        <w:t>. The hotel's dedication to environmental sustainability and usage of eco-friendly products makes GreenVista Retreat stand out in the competition.</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 xml:space="preserve">The daily operations of GreenVista Retreat will include several important tasks to offer a great eco-friendly experience. Effective waste management, energy-efficient technologies, and sustainable living education for workers and visitors are essential. The hotel's environmental performance will be assessed and improved via ISO 14001-inspired environmental audits </w:t>
      </w:r>
      <w:r>
        <w:rPr>
          <w:rFonts w:ascii="Times New Roman" w:cs="Times New Roman" w:eastAsia="SimSun" w:hAnsi="Times New Roman" w:hint="default"/>
          <w:sz w:val="24"/>
          <w:szCs w:val="24"/>
        </w:rPr>
        <w:t>(ISO, 2018)</w:t>
      </w:r>
      <w:r>
        <w:rPr>
          <w:lang w:val="en-US"/>
          <w:rFonts w:ascii="Times New Roman" w:hAnsi="Times New Roman" w:hint="default"/>
          <w:sz w:val="24"/>
          <w:szCs w:val="24"/>
        </w:rPr>
        <w:t>. GreenVista Retreat follows continuous improvement techniques to remain ahead in a changing market. The emphasis on audits and staff training shows adaptation and creativity.</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Furthermore, GreenVista Retreat will build strategic collaborations with local environmental groups, sustainable product suppliers, and eco-conscious tour operators. Strategic alliances help access specialized resources and skills, according to core competency and external network research (Keinz and Marhold, 2020). GreenVista Retreat will work with eco-friendly tour operators and local suppliers for organic and sustainably derived facilities to improve visitor experiences. These relationships expand the hotel's services and boost the local economy.</w:t>
      </w:r>
    </w:p>
    <w:p>
      <w:pPr>
        <w:numPr>
          <w:ilvl w:val="0"/>
          <w:numId w:val="1"/>
        </w:numPr>
        <w:ind w:left="0"/>
        <w:ind w:firstLine="0"/>
        <w:spacing w:line="480" w:lineRule="auto"/>
        <w:rPr>
          <w:iCs/>
          <w:lang w:val="en-US"/>
          <w:i/>
          <w:rFonts w:ascii="Times New Roman" w:hAnsi="Times New Roman" w:hint="default"/>
          <w:sz w:val="24"/>
          <w:szCs w:val="24"/>
        </w:rPr>
      </w:pPr>
      <w:r>
        <w:rPr>
          <w:iCs/>
          <w:lang w:val="en-US"/>
          <w:i/>
          <w:rFonts w:ascii="Times New Roman" w:hAnsi="Times New Roman" w:hint="default"/>
          <w:sz w:val="24"/>
          <w:szCs w:val="24"/>
        </w:rPr>
        <w:t>Cost Structure</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 xml:space="preserve">The pricing structure of GreenVista Retreat prioritizes sustainability and economy. Building an eco-friendly infrastructure using sustainable materials and energy-efficient technology is expensive. Kaplan and Norton's balanced scorecard integrates strategic goals like environmental responsibility into the cost structure </w:t>
      </w:r>
      <w:r>
        <w:rPr>
          <w:rFonts w:ascii="Times New Roman" w:cs="Times New Roman" w:eastAsia="SimSun" w:hAnsi="Times New Roman" w:hint="default"/>
          <w:sz w:val="24"/>
          <w:szCs w:val="24"/>
        </w:rPr>
        <w:t>(Rafiq et al., 2021)</w:t>
      </w:r>
      <w:r>
        <w:rPr>
          <w:lang w:val="en-US"/>
          <w:rFonts w:ascii="Times New Roman" w:hAnsi="Times New Roman" w:hint="default"/>
          <w:sz w:val="24"/>
          <w:szCs w:val="24"/>
        </w:rPr>
        <w:t xml:space="preserve">. Investing in eco-friendly infrastructure up front, teaching staff for sustainable operations, getting and keeping eco-certifications, and buying organic, locally grown goods are some of the biggest costs. Even though these may seem like one-time costs, they will help the hotel's pledge to being environmentally friendly in the long run by lowering costs and bringing in people who care about the environment. Using technology for energy management, programs to cut down on waste, smart relationships with suppliers, and strategies for ongoing growth based on the principles of Total Quality Management are all important ways to keep prices down. Researchers Sinha and Modak (2021) found that focusing on reducing waste and making improvements all the time, as suggested by Deming (1986), not only help to cut costs but also fit with GreenVista Retreat's values of doing business in a way that is sustainable and responsible </w:t>
      </w:r>
      <w:r>
        <w:rPr>
          <w:rFonts w:ascii="Times New Roman" w:cs="Times New Roman" w:eastAsia="SimSun" w:hAnsi="Times New Roman" w:hint="default"/>
          <w:sz w:val="24"/>
          <w:szCs w:val="24"/>
        </w:rPr>
        <w:t>(Obaideen et al., 2022)</w:t>
      </w:r>
      <w:r>
        <w:rPr>
          <w:lang w:val="en-US"/>
          <w:rFonts w:ascii="Times New Roman" w:hAnsi="Times New Roman" w:hint="default"/>
          <w:sz w:val="24"/>
          <w:szCs w:val="24"/>
        </w:rPr>
        <w:t>.</w:t>
      </w:r>
    </w:p>
    <w:p>
      <w:pPr>
        <w:spacing w:line="480" w:lineRule="auto"/>
        <w:rPr>
          <w:bCs/>
          <w:lang w:val="en-US"/>
          <w:b/>
          <w:rFonts w:ascii="Times New Roman" w:hAnsi="Times New Roman" w:hint="default"/>
          <w:sz w:val="24"/>
          <w:szCs w:val="24"/>
        </w:rPr>
      </w:pPr>
      <w:r>
        <w:rPr>
          <w:bCs/>
          <w:lang w:val="en-US"/>
          <w:b/>
          <w:rFonts w:ascii="Times New Roman" w:hAnsi="Times New Roman" w:hint="default"/>
          <w:sz w:val="24"/>
          <w:szCs w:val="24"/>
        </w:rPr>
        <w:t xml:space="preserve">Reflection </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 xml:space="preserve">Starting my entrepreneurial experience with GreenVista Retreat, an eco-friendly luxury hotel concept, allowed me to test my management and business skills. My management and business talents were shown via in-class questionnaires. Strategic thinking, adaptability, and a willingness to innovate are my strengths, according to self-evaluation. Lumpkin and Dess's (1996) business mentality paradigm emphasizes creativity, aggression, and risk-taking. Tests revealed development opportunities in delegation and risk tolerance. These results may be explained by entrepreneurial motivation theories like David McClelland's Need for Achievement </w:t>
      </w:r>
      <w:r>
        <w:rPr>
          <w:rFonts w:ascii="Times New Roman" w:cs="Times New Roman" w:eastAsia="SimSun" w:hAnsi="Times New Roman" w:hint="default"/>
          <w:sz w:val="24"/>
          <w:szCs w:val="24"/>
        </w:rPr>
        <w:t>(Siok, Sim and Rahmat, 2023)</w:t>
      </w:r>
      <w:r>
        <w:rPr>
          <w:lang w:val="en-US"/>
          <w:rFonts w:ascii="Times New Roman" w:hAnsi="Times New Roman" w:hint="default"/>
          <w:sz w:val="24"/>
          <w:szCs w:val="24"/>
        </w:rPr>
        <w:t>. While accomplishment and innovation are innate, risk and control must be constantly refined.</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 xml:space="preserve">Thinking about what drives me to be an entrepreneur shows that it's a mix of internal and external forces. Entrepreneurs are driven by a desire for independence and a love for their chosen field. They also have an innate desire to come up with new ideas and care deeply about the environment. The internal pleasure that comes from helping to make tourism more sustainable is stronger than the external drive of making money. In addition, McClelland's (1961) theory stresses the importance of belonging, power, and success in business. The need for success and power is linked to the desire to build a sustainable luxury getaway, which adds to the venture's importance beyond making money </w:t>
      </w:r>
      <w:r>
        <w:rPr>
          <w:rFonts w:ascii="Times New Roman" w:cs="Times New Roman" w:eastAsia="SimSun" w:hAnsi="Times New Roman" w:hint="default"/>
          <w:sz w:val="24"/>
          <w:szCs w:val="24"/>
        </w:rPr>
        <w:t>(Siok, Sim and Rahmat, 2023)</w:t>
      </w:r>
      <w:r>
        <w:rPr>
          <w:lang w:val="en-US"/>
          <w:rFonts w:ascii="Times New Roman" w:hAnsi="Times New Roman" w:hint="default"/>
          <w:sz w:val="24"/>
          <w:szCs w:val="24"/>
        </w:rPr>
        <w:t>.</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The business choices outlined in GreenVista Retreat's Business Model Canvas are in line with my desire to be an entrepreneur. Sustainability is not only a way to stand out in the market, but it's also a mirror of personal values and a reaction to the growing demand for responsible tourists. The attention on customer-centricity shows how important it is to know what customers want and give it to them. Channels and collaborations emphasize stakeholder interdependence, reflecting the entrepreneurial ecosystem approach. Local supplier and sustainable organization partnerships support the assumption that successful businesses are networkers.</w:t>
      </w:r>
    </w:p>
    <w:p>
      <w:pPr>
        <w:spacing w:line="480" w:lineRule="auto"/>
        <w:rPr>
          <w:bCs/>
          <w:lang w:val="en-US"/>
          <w:b/>
          <w:rFonts w:ascii="Times New Roman" w:cs="Times New Roman" w:hAnsi="Times New Roman" w:hint="default"/>
          <w:sz w:val="24"/>
          <w:szCs w:val="24"/>
        </w:rPr>
      </w:pPr>
      <w:r>
        <w:rPr>
          <w:bCs/>
          <w:lang w:val="en-US"/>
          <w:b/>
          <w:rFonts w:ascii="Times New Roman" w:cs="Times New Roman" w:hAnsi="Times New Roman" w:hint="default"/>
          <w:sz w:val="24"/>
          <w:szCs w:val="24"/>
        </w:rPr>
        <w:t xml:space="preserve">Conclusion </w:t>
      </w:r>
    </w:p>
    <w:p>
      <w:pPr>
        <w:spacing w:line="480" w:lineRule="auto"/>
        <w:rPr>
          <w:lang w:val="en-US"/>
          <w:rFonts w:ascii="Times New Roman" w:hAnsi="Times New Roman" w:hint="default"/>
          <w:sz w:val="24"/>
          <w:szCs w:val="24"/>
        </w:rPr>
      </w:pPr>
      <w:r>
        <w:rPr>
          <w:lang w:val="en-US"/>
          <w:rFonts w:ascii="Times New Roman" w:hAnsi="Times New Roman" w:hint="default"/>
          <w:sz w:val="24"/>
          <w:szCs w:val="24"/>
        </w:rPr>
        <w:t>To sum up, the entrepreneurial process of creating GreenVista Retreat is an all-encompassing combination of traits, motives, choices, and a well defined company strategy. A detailed self-examination showed that I am good at coming up with new ideas and planning ahead, which is consistent with a business mindset. The business plan’s focus on sustainability not only sets Green Vista Retreat apart, but demonstrates the strong connection between individual perspective and strategic market needs a it is changing. A visual representation of the important parts of a business, the Business Model Canvas (BMC) emphasizes the interdependence of these parts. BMC provides a comprehensive picture of the company’s strategic plan, including specific customer segments and value propositions, as well as critical applications, products and partnerships Sustainability is absolutely essential from businesses building environments negative to building good relationships with suppliers. This shows a clear and objective approach to performance improvement. This canvas is a living document that helps entrepreneurs along the way and shows how to make GreenVista Retreat successful long term.</w:t>
      </w: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spacing w:line="480" w:lineRule="auto"/>
        <w:rPr>
          <w:lang w:val="en-US"/>
          <w:rFonts w:ascii="Times New Roman" w:hAnsi="Times New Roman" w:hint="default"/>
          <w:sz w:val="24"/>
          <w:szCs w:val="24"/>
        </w:rPr>
      </w:pPr>
    </w:p>
    <w:p>
      <w:pPr>
        <w:keepNext w:val="0"/>
        <w:keepLines w:val="0"/>
        <w:widowControl/>
        <w:suppressLineNumbers w:val="0"/>
        <w:pStyle w:val="2"/>
        <w:jc w:val="left"/>
        <w:spacing w:before="0" w:beforeAutospacing="0" w:after="210" w:afterAutospacing="0" w:line="360" w:lineRule="auto"/>
        <w:rPr>
          <w:lang w:val="en-US"/>
          <w:rFonts w:ascii="Times New Roman" w:cs="Times New Roman" w:hAnsi="Times New Roman" w:hint="default"/>
          <w:sz w:val="24"/>
          <w:szCs w:val="24"/>
        </w:rPr>
      </w:pPr>
      <w:r>
        <w:rPr>
          <w:rFonts w:ascii="Times New Roman" w:cs="Times New Roman" w:hAnsi="Times New Roman" w:hint="default"/>
          <w:sz w:val="24"/>
          <w:szCs w:val="24"/>
        </w:rPr>
        <w:t>Reference</w:t>
      </w:r>
      <w:r>
        <w:rPr>
          <w:lang w:val="en-US"/>
          <w:rFonts w:ascii="Times New Roman" w:cs="Times New Roman" w:hAnsi="Times New Roman" w:hint="default"/>
          <w:sz w:val="24"/>
          <w:szCs w:val="24"/>
        </w:rPr>
        <w:t>s</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Buhalis, D. and Law, R. (2022). Progress in Information Technology and Tourism management: 20 Years on and 10 Years after the Internet—The State of eTourism Research. </w:t>
      </w:r>
      <w:r>
        <w:rPr>
          <w:iCs/>
          <w:i/>
          <w:rFonts w:ascii="Times New Roman" w:cs="Times New Roman" w:hAnsi="Times New Roman" w:hint="default"/>
          <w:sz w:val="24"/>
          <w:szCs w:val="24"/>
        </w:rPr>
        <w:t>Tourism Management</w:t>
      </w:r>
      <w:r>
        <w:rPr>
          <w:rFonts w:ascii="Times New Roman" w:cs="Times New Roman" w:hAnsi="Times New Roman" w:hint="default"/>
          <w:sz w:val="24"/>
          <w:szCs w:val="24"/>
        </w:rPr>
        <w:t>, 29(4), pp.609–623. doi:https://doi.org/10.1016/j.tourman.2008.01.005.</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Chi, T., Ganak, J., Summers, L., Adesanya, O., McCoy, L., Liu, H. and Tai, Y. (2021). Understanding Perceived Value and Purchase Intention toward Eco-Friendly Athleisure Apparel: Insights from U.S. Millennials. </w:t>
      </w:r>
      <w:r>
        <w:rPr>
          <w:iCs/>
          <w:i/>
          <w:rFonts w:ascii="Times New Roman" w:cs="Times New Roman" w:hAnsi="Times New Roman" w:hint="default"/>
          <w:sz w:val="24"/>
          <w:szCs w:val="24"/>
        </w:rPr>
        <w:t>Sustainability</w:t>
      </w:r>
      <w:r>
        <w:rPr>
          <w:rFonts w:ascii="Times New Roman" w:cs="Times New Roman" w:hAnsi="Times New Roman" w:hint="default"/>
          <w:sz w:val="24"/>
          <w:szCs w:val="24"/>
        </w:rPr>
        <w:t>, [online] 13(14), p.7946. doi:https://doi.org/10.3390/su13147946.</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Conger, S. (2012). Service Quality. </w:t>
      </w:r>
      <w:r>
        <w:rPr>
          <w:iCs/>
          <w:i/>
          <w:rFonts w:ascii="Times New Roman" w:cs="Times New Roman" w:hAnsi="Times New Roman" w:hint="default"/>
          <w:sz w:val="24"/>
          <w:szCs w:val="24"/>
        </w:rPr>
        <w:t>Handbook of Research on E-Business Standards and Protocols</w:t>
      </w:r>
      <w:r>
        <w:rPr>
          <w:rFonts w:ascii="Times New Roman" w:cs="Times New Roman" w:hAnsi="Times New Roman" w:hint="default"/>
          <w:sz w:val="24"/>
          <w:szCs w:val="24"/>
        </w:rPr>
        <w:t>, pp.537–566. doi:https://doi.org/10.4018/978-1-4666-0146-8.ch025.</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Dieffenbacher, S. (2023). </w:t>
      </w:r>
      <w:r>
        <w:rPr>
          <w:iCs/>
          <w:i/>
          <w:rFonts w:ascii="Times New Roman" w:cs="Times New Roman" w:hAnsi="Times New Roman" w:hint="default"/>
          <w:sz w:val="24"/>
          <w:szCs w:val="24"/>
        </w:rPr>
        <w:t>Porter’s Generic Strategies: Cost Leadership, Differentiation and Focus</w:t>
      </w:r>
      <w:r>
        <w:rPr>
          <w:rFonts w:ascii="Times New Roman" w:cs="Times New Roman" w:hAnsi="Times New Roman" w:hint="default"/>
          <w:sz w:val="24"/>
          <w:szCs w:val="24"/>
        </w:rPr>
        <w:t>. [online] Digital Leadership. Available at: https://digitalleadership.com/blog/porters-generic-strategies/.</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Hemel, C. van den and Rademakers, M.F. (2016). Building Customer-centric Organizations: Shaping Factors and Barriers. </w:t>
      </w:r>
      <w:r>
        <w:rPr>
          <w:iCs/>
          <w:i/>
          <w:rFonts w:ascii="Times New Roman" w:cs="Times New Roman" w:hAnsi="Times New Roman" w:hint="default"/>
          <w:sz w:val="24"/>
          <w:szCs w:val="24"/>
        </w:rPr>
        <w:t>Journal of Creating Value</w:t>
      </w:r>
      <w:r>
        <w:rPr>
          <w:rFonts w:ascii="Times New Roman" w:cs="Times New Roman" w:hAnsi="Times New Roman" w:hint="default"/>
          <w:sz w:val="24"/>
          <w:szCs w:val="24"/>
        </w:rPr>
        <w:t>, 2(2), pp.211–230. doi:https://doi.org/10.1177/2394964316647822.</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Hung, V.V., Dey, S.K., Vaculcikova, Z. and Anh, L.T.H. (2021). The Influence of Tourists’ Experience on Destination Loyalty: a Case Study of Hue City, Vietnam. </w:t>
      </w:r>
      <w:r>
        <w:rPr>
          <w:iCs/>
          <w:i/>
          <w:rFonts w:ascii="Times New Roman" w:cs="Times New Roman" w:hAnsi="Times New Roman" w:hint="default"/>
          <w:sz w:val="24"/>
          <w:szCs w:val="24"/>
        </w:rPr>
        <w:t>Sustainability</w:t>
      </w:r>
      <w:r>
        <w:rPr>
          <w:rFonts w:ascii="Times New Roman" w:cs="Times New Roman" w:hAnsi="Times New Roman" w:hint="default"/>
          <w:sz w:val="24"/>
          <w:szCs w:val="24"/>
        </w:rPr>
        <w:t>, 13(16), p.8889. doi:https://doi.org/10.3390/su13168889.</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ISO (2018). </w:t>
      </w:r>
      <w:r>
        <w:rPr>
          <w:iCs/>
          <w:i/>
          <w:rFonts w:ascii="Times New Roman" w:cs="Times New Roman" w:hAnsi="Times New Roman" w:hint="default"/>
          <w:sz w:val="24"/>
          <w:szCs w:val="24"/>
        </w:rPr>
        <w:t>ISO 14001:2015</w:t>
      </w:r>
      <w:r>
        <w:rPr>
          <w:rFonts w:ascii="Times New Roman" w:cs="Times New Roman" w:hAnsi="Times New Roman" w:hint="default"/>
          <w:sz w:val="24"/>
          <w:szCs w:val="24"/>
        </w:rPr>
        <w:t>. [online] ISO. Available at: https://www.iso.org/standard/60857.html.</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Jobber, D. and Ellis-Chadwick, F. (2019). </w:t>
      </w:r>
      <w:r>
        <w:rPr>
          <w:iCs/>
          <w:i/>
          <w:rFonts w:ascii="Times New Roman" w:cs="Times New Roman" w:hAnsi="Times New Roman" w:hint="default"/>
          <w:sz w:val="24"/>
          <w:szCs w:val="24"/>
        </w:rPr>
        <w:t>Principles and Practice of marketing.</w:t>
      </w:r>
      <w:r>
        <w:rPr>
          <w:rFonts w:ascii="Times New Roman" w:cs="Times New Roman" w:hAnsi="Times New Roman" w:hint="default"/>
          <w:sz w:val="24"/>
          <w:szCs w:val="24"/>
        </w:rPr>
        <w:t xml:space="preserve"> 8th ed. Maidenhead: Mcgraw-Hill Higher Education.</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Keinz, P. and Marhold, K. (2020). Technological Competence Leveraging Projects via intermediaries: Viable Means to Outbound Open Innovation and Mediated Capability building? </w:t>
      </w:r>
      <w:r>
        <w:rPr>
          <w:iCs/>
          <w:i/>
          <w:rFonts w:ascii="Times New Roman" w:cs="Times New Roman" w:hAnsi="Times New Roman" w:hint="default"/>
          <w:sz w:val="24"/>
          <w:szCs w:val="24"/>
        </w:rPr>
        <w:t>International Journal of Project Management</w:t>
      </w:r>
      <w:r>
        <w:rPr>
          <w:rFonts w:ascii="Times New Roman" w:cs="Times New Roman" w:hAnsi="Times New Roman" w:hint="default"/>
          <w:sz w:val="24"/>
          <w:szCs w:val="24"/>
        </w:rPr>
        <w:t>. doi:https://doi.org/10.1016/j.ijproman.2020.10.006.</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Kodua, A.A. (2019). The resource-based view: a Tool of Key Competency for Competitive Advantage. </w:t>
      </w:r>
      <w:r>
        <w:rPr>
          <w:iCs/>
          <w:i/>
          <w:rFonts w:ascii="Times New Roman" w:cs="Times New Roman" w:hAnsi="Times New Roman" w:hint="default"/>
          <w:sz w:val="24"/>
          <w:szCs w:val="24"/>
        </w:rPr>
        <w:t>Problems and Perspectives in Management</w:t>
      </w:r>
      <w:r>
        <w:rPr>
          <w:rFonts w:ascii="Times New Roman" w:cs="Times New Roman" w:hAnsi="Times New Roman" w:hint="default"/>
          <w:sz w:val="24"/>
          <w:szCs w:val="24"/>
        </w:rPr>
        <w:t>, 17(3), pp.143–152. doi:https://doi.org/10.21511/ppm.17(3).2019.12.</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Kupferschmidt, K. (2017). The Science of Persuasion. </w:t>
      </w:r>
      <w:r>
        <w:rPr>
          <w:iCs/>
          <w:i/>
          <w:rFonts w:ascii="Times New Roman" w:cs="Times New Roman" w:hAnsi="Times New Roman" w:hint="default"/>
          <w:sz w:val="24"/>
          <w:szCs w:val="24"/>
        </w:rPr>
        <w:t>Science</w:t>
      </w:r>
      <w:r>
        <w:rPr>
          <w:rFonts w:ascii="Times New Roman" w:cs="Times New Roman" w:hAnsi="Times New Roman" w:hint="default"/>
          <w:sz w:val="24"/>
          <w:szCs w:val="24"/>
        </w:rPr>
        <w:t>, 356(6336), pp.366–369. doi:https://doi.org/10.1126/science.356.6336.366.</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Mim, S. and Ferdous, M. (2021). </w:t>
      </w:r>
      <w:r>
        <w:rPr>
          <w:iCs/>
          <w:i/>
          <w:rFonts w:ascii="Times New Roman" w:cs="Times New Roman" w:hAnsi="Times New Roman" w:hint="default"/>
          <w:sz w:val="24"/>
          <w:szCs w:val="24"/>
        </w:rPr>
        <w:t>FACTORS INFLUENCING CUSTOMERS SATISFACTION IN HOSPITALITY INDUSTRY: FINE DINING RESTAURANTS</w:t>
      </w:r>
      <w:r>
        <w:rPr>
          <w:rFonts w:ascii="Times New Roman" w:cs="Times New Roman" w:hAnsi="Times New Roman" w:hint="default"/>
          <w:sz w:val="24"/>
          <w:szCs w:val="24"/>
        </w:rPr>
        <w:t>. [online] Available at: https://www.diva-portal.org/smash/get/diva2:1530554/FULLTEXT01.pdf.</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Morrison, A.M. (2018). </w:t>
      </w:r>
      <w:r>
        <w:rPr>
          <w:iCs/>
          <w:i/>
          <w:rFonts w:ascii="Times New Roman" w:cs="Times New Roman" w:hAnsi="Times New Roman" w:hint="default"/>
          <w:sz w:val="24"/>
          <w:szCs w:val="24"/>
        </w:rPr>
        <w:t>Marketing and Managing Tourism Destinations</w:t>
      </w:r>
      <w:r>
        <w:rPr>
          <w:rFonts w:ascii="Times New Roman" w:cs="Times New Roman" w:hAnsi="Times New Roman" w:hint="default"/>
          <w:sz w:val="24"/>
          <w:szCs w:val="24"/>
        </w:rPr>
        <w:t>. Second edition. | New York : Routledge, 2019. | “First: Routledge. doi:https://doi.org/10.4324/9781315178929.</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Obaideen, K., Shehata, N., Sayed, E.T., Abdelkareem, M.A., Mahmoud, M.S. and Olabi, A.G. (2022). The Role of Wastewater Treatment in Achieving Sustainable Development Goals (SDGs) and Sustainability Guideline. </w:t>
      </w:r>
      <w:r>
        <w:rPr>
          <w:iCs/>
          <w:i/>
          <w:rFonts w:ascii="Times New Roman" w:cs="Times New Roman" w:hAnsi="Times New Roman" w:hint="default"/>
          <w:sz w:val="24"/>
          <w:szCs w:val="24"/>
        </w:rPr>
        <w:t>Energy Nexus</w:t>
      </w:r>
      <w:r>
        <w:rPr>
          <w:rFonts w:ascii="Times New Roman" w:cs="Times New Roman" w:hAnsi="Times New Roman" w:hint="default"/>
          <w:sz w:val="24"/>
          <w:szCs w:val="24"/>
        </w:rPr>
        <w:t>, 7, p.100112. doi:https://doi.org/10.1016/j.nexus.2022.100112.</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Rafiq, M., Maqbool, S., Martins, J.M., Mata, M.N., Dantas, R.M., Naz, S. and Correia, A.B. (2021). A Study on Balanced Scorecard and Its Impact on Sustainable Development of Renewable Energy Organizations; a Mediating Role of Political and Regulatory Institutions. </w:t>
      </w:r>
      <w:r>
        <w:rPr>
          <w:iCs/>
          <w:i/>
          <w:rFonts w:ascii="Times New Roman" w:cs="Times New Roman" w:hAnsi="Times New Roman" w:hint="default"/>
          <w:sz w:val="24"/>
          <w:szCs w:val="24"/>
        </w:rPr>
        <w:t>Risks</w:t>
      </w:r>
      <w:r>
        <w:rPr>
          <w:rFonts w:ascii="Times New Roman" w:cs="Times New Roman" w:hAnsi="Times New Roman" w:hint="default"/>
          <w:sz w:val="24"/>
          <w:szCs w:val="24"/>
        </w:rPr>
        <w:t>, 9(6), p.110. doi:https://doi.org/10.3390/risks9060110.</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Simon, H. (2015). </w:t>
      </w:r>
      <w:r>
        <w:rPr>
          <w:iCs/>
          <w:i/>
          <w:rFonts w:ascii="Times New Roman" w:cs="Times New Roman" w:hAnsi="Times New Roman" w:hint="default"/>
          <w:sz w:val="24"/>
          <w:szCs w:val="24"/>
        </w:rPr>
        <w:t>Confessions of the Pricing Man : How Price Affects Everything</w:t>
      </w:r>
      <w:r>
        <w:rPr>
          <w:rFonts w:ascii="Times New Roman" w:cs="Times New Roman" w:hAnsi="Times New Roman" w:hint="default"/>
          <w:sz w:val="24"/>
          <w:szCs w:val="24"/>
        </w:rPr>
        <w:t>. Cham: Springer International Publishing.</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Sinha, S. and Modak, N.M. (2021). A Systematic Review in recycling/reusing/re-manufacturing Supply Chain research: a Tertiary Study. </w:t>
      </w:r>
      <w:r>
        <w:rPr>
          <w:iCs/>
          <w:i/>
          <w:rFonts w:ascii="Times New Roman" w:cs="Times New Roman" w:hAnsi="Times New Roman" w:hint="default"/>
          <w:sz w:val="24"/>
          <w:szCs w:val="24"/>
        </w:rPr>
        <w:t>International Journal of Sustainable Engineering</w:t>
      </w:r>
      <w:r>
        <w:rPr>
          <w:rFonts w:ascii="Times New Roman" w:cs="Times New Roman" w:hAnsi="Times New Roman" w:hint="default"/>
          <w:sz w:val="24"/>
          <w:szCs w:val="24"/>
        </w:rPr>
        <w:t>, 14(6), pp.1411–1432. doi:https://doi.org/10.1080/19397038.2021.1986594.</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Siok, T.H., Sim, M.S. and Rahmat, N.H. (2023). Motivation to Learn Online: An Analysis From Mcclelland’s Theory of Needs. </w:t>
      </w:r>
      <w:r>
        <w:rPr>
          <w:iCs/>
          <w:i/>
          <w:rFonts w:ascii="Times New Roman" w:cs="Times New Roman" w:hAnsi="Times New Roman" w:hint="default"/>
          <w:sz w:val="24"/>
          <w:szCs w:val="24"/>
        </w:rPr>
        <w:t>International Journal of Academic Research in Business and Social Sciences</w:t>
      </w:r>
      <w:r>
        <w:rPr>
          <w:rFonts w:ascii="Times New Roman" w:cs="Times New Roman" w:hAnsi="Times New Roman" w:hint="default"/>
          <w:sz w:val="24"/>
          <w:szCs w:val="24"/>
        </w:rPr>
        <w:t>, 13(3). doi:https://doi.org/10.6007/ijarbss/v13-i3/16471.</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Spenceley, A. (2012). </w:t>
      </w:r>
      <w:r>
        <w:rPr>
          <w:iCs/>
          <w:i/>
          <w:rFonts w:ascii="Times New Roman" w:cs="Times New Roman" w:hAnsi="Times New Roman" w:hint="default"/>
          <w:sz w:val="24"/>
          <w:szCs w:val="24"/>
        </w:rPr>
        <w:t>Responsible Tourism Critical Issues for Conservation and Development</w:t>
      </w:r>
      <w:r>
        <w:rPr>
          <w:rFonts w:ascii="Times New Roman" w:cs="Times New Roman" w:hAnsi="Times New Roman" w:hint="default"/>
          <w:sz w:val="24"/>
          <w:szCs w:val="24"/>
        </w:rPr>
        <w:t>. Routledge.</w:t>
      </w:r>
    </w:p>
    <w:p>
      <w:pPr>
        <w:keepNext w:val="0"/>
        <w:keepLines w:val="0"/>
        <w:widowControl/>
        <w:suppressLineNumbers w:val="0"/>
        <w:pStyle w:val="7"/>
        <w:spacing w:before="0" w:beforeAutospacing="0" w:after="210" w:afterAutospacing="0"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Trebicka, B., Tartaraj, A. and Harizi, A. (2023). Analyzing the Relationship between Pricing Strategy and Customer Retention in hotels: a Study in Albania. </w:t>
      </w:r>
      <w:r>
        <w:rPr>
          <w:iCs/>
          <w:i/>
          <w:rFonts w:ascii="Times New Roman" w:cs="Times New Roman" w:hAnsi="Times New Roman" w:hint="default"/>
          <w:sz w:val="24"/>
          <w:szCs w:val="24"/>
        </w:rPr>
        <w:t>F1000Research</w:t>
      </w:r>
      <w:r>
        <w:rPr>
          <w:rFonts w:ascii="Times New Roman" w:cs="Times New Roman" w:hAnsi="Times New Roman" w:hint="default"/>
          <w:sz w:val="24"/>
          <w:szCs w:val="24"/>
        </w:rPr>
        <w:t>, 12, pp.690–690. doi:https://doi.org/10.12688/f1000research.132723.1.</w:t>
      </w:r>
    </w:p>
    <w:p>
      <w:pPr>
        <w:spacing w:line="480" w:lineRule="auto"/>
        <w:rPr>
          <w:lang w:val="en-US"/>
          <w:rFonts w:ascii="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lang w:val="en-US"/>
          <w:rFonts w:ascii="Times New Roman" w:cs="Times New Roman" w:hAnsi="Times New Roman" w:hint="default"/>
          <w:sz w:val="24"/>
          <w:szCs w:val="24"/>
        </w:rPr>
      </w:pPr>
    </w:p>
    <w:p>
      <w:pPr>
        <w:spacing w:line="480" w:lineRule="auto"/>
        <w:rPr>
          <w:iCs/>
          <w:lang w:val="en-US"/>
          <w:i/>
          <w:rFonts w:ascii="Times New Roman" w:cs="Times New Roman" w:hAnsi="Times New Roman" w:hint="default"/>
          <w:sz w:val="24"/>
          <w:szCs w:val="24"/>
        </w:rPr>
      </w:pPr>
      <w:r>
        <w:rPr>
          <w:iCs/>
          <w:lang w:val="en-US"/>
          <w:i/>
          <w:rFonts w:ascii="Times New Roman" w:cs="Times New Roman" w:hAnsi="Times New Roman" w:hint="default"/>
          <w:sz w:val="24"/>
          <w:szCs w:val="24"/>
        </w:rPr>
        <w:t>Appendix 1</w:t>
      </w:r>
    </w:p>
    <w:p>
      <w:pPr>
        <w:spacing w:line="480" w:lineRule="auto"/>
        <w:rPr>
          <w:lang w:val="en-US"/>
          <w:rFonts w:ascii="Times New Roman" w:cs="Times New Roman" w:hAnsi="Times New Roman" w:hint="default"/>
          <w:sz w:val="24"/>
          <w:szCs w:val="24"/>
        </w:rPr>
      </w:pPr>
      <w:r>
        <w:rPr>
          <w:noProof/>
        </w:rPr>
        <w:drawing>
          <wp:inline distB="0" distL="114300" distR="114300" distT="0">
            <wp:extent cx="5726430" cy="3545205"/>
            <wp:effectExtent l="0" t="0" r="7620" b="171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stretch>
                      <a:fillRect/>
                    </a:stretch>
                  </pic:blipFill>
                  <pic:spPr>
                    <a:xfrm>
                      <a:off x="0" y="0"/>
                      <a:ext cx="5726430" cy="3545205"/>
                    </a:xfrm>
                    <a:prstGeom prst="rect">
                      <a:avLst/>
                    </a:prstGeom>
                    <a:noFill/>
                    <a:ln>
                      <a:noFill/>
                    </a:ln>
                  </pic:spPr>
                </pic:pic>
              </a:graphicData>
            </a:graphic>
          </wp:inline>
        </w:drawing>
      </w:r>
    </w:p>
    <w:sectPr>
      <w:docGrid w:linePitch="360" w:charSpace="0"/>
      <w:headerReference r:id="rId3" w:type="default"/>
      <w:pgSz w:w="11906" w:h="16838"/>
      <w:pgMar w:left="1440" w:right="1440" w:top="1440" w:bottom="1440" w:header="720" w:footer="720" w:gutter="0"/>
      <w:cols w:num="1"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Calibri Light"/>
  <w:font w:name="Cambria"/>
  <w:font w:name="Symbol"/>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PX0393MAgAA&#10;IwYAAA4AAAAAAAAAAQAgAAAAHwEAAGRycy9lMm9Eb2MueG1sUEsFBgAAAAAGAAYAWQEAAF0GAAAA&#10;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singleLevel"/>
    <w:nsid w:val="68646C71"/>
    <w:tmpl w:val="68646C71"/>
    <w:lvl w:ilvl="0" w:tentative="0">
      <w:numFmt w:val="decimal"/>
      <w:lvlText w:val="%1."/>
      <w:start w:val="1"/>
      <w:suff w:val="space"/>
      <w:lvlJc w:val="lef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rFonts w:ascii="Wingdings" w:hAnsi="Wingdings"/>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rFonts w:ascii="Wingdings" w:hAnsi="Wingdings"/>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rFonts w:ascii="Wingdings" w:hAnsi="Wingdings"/>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wpsCustomData="http://www.wps.cn/officeDocument/2013/wpsCustomData" mc:Ignorable="w14 wp14">
  <w:zoom w:percent="75"/>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rsids>
    <w:rsidRoot val="1FFE6E4C"/>
    <w:rsid val="03586DDB"/>
    <w:rsid val="0591234C"/>
    <w:rsid val="07E2277C"/>
    <w:rsid val="0A4A5F53"/>
    <w:rsid val="0CC47EE3"/>
    <w:rsid val="0D737919"/>
    <w:rsid val="189342A4"/>
    <w:rsid val="1CBA0960"/>
    <w:rsid val="1DE0140B"/>
    <w:rsid val="1FFE6E4C"/>
    <w:rsid val="23FC2E63"/>
    <w:rsid val="24B91523"/>
    <w:rsid val="2A233F04"/>
    <w:rsid val="2BD872CA"/>
    <w:rsid val="2BF253E6"/>
    <w:rsid val="2C27642C"/>
    <w:rsid val="2D392D05"/>
    <w:rsid val="33EE335B"/>
    <w:rsid val="3C992344"/>
    <w:rsid val="3F830C89"/>
    <w:rsid val="48036E0A"/>
    <w:rsid val="4A91694F"/>
    <w:rsid val="502D51E2"/>
    <w:rsid val="528E5F11"/>
    <w:rsid val="5A6D3BE8"/>
    <w:rsid val="5C073018"/>
    <w:rsid val="5CAF14D3"/>
    <w:rsid val="5DBA6C9E"/>
    <w:rsid val="5E29270A"/>
    <w:rsid val="60036E23"/>
    <w:rsid val="63265944"/>
    <w:rsid val="63735241"/>
    <w:rsid val="6CF305CE"/>
    <w:rsid val="6FC50148"/>
    <w:rsid val="74A83174"/>
    <w:rsid val="7BBB055C"/>
    <w:rsid val="7C01687E"/>
    <w:rsid val="7E5A082B"/>
    <w:rsid val="7F6E40A5"/>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wpsCustomData="http://www.wps.cn/officeDocument/2013/wpsCustomData" mc:Ignorable="w14 wp14">
  <w:docDefaults>
    <w:rPrDefault>
      <w:rPr>
        <w:rFonts w:ascii="Times New Roman" w:cs="Times New Roman" w:eastAsia="SimSun" w:hAnsi="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lang w:val="en-US" w:eastAsia="zh-CN" w:bidi="ar-SA"/>
      <w:rFonts w:ascii="Calibri" w:hAnsiTheme="minorHAnsi" w:eastAsiaTheme="minorEastAsia" w:cstheme="minorBidi"/>
    </w:rPr>
  </w:style>
  <w:style w:type="paragraph" w:styleId="2">
    <w:name w:val="Heading 1"/>
    <w:qFormat/>
    <w:next w:val="1"/>
    <w:uiPriority w:val="0"/>
    <w:pPr>
      <w:jc w:val="left"/>
      <w:spacing w:before="0" w:beforeAutospacing="1" w:after="0" w:afterAutospacing="1"/>
    </w:pPr>
    <w:rPr>
      <w:bCs/>
      <w:kern w:val="44"/>
      <w:lang w:val="en-US" w:eastAsia="zh-CN" w:bidi="ar"/>
      <w:b/>
      <w:rFonts w:ascii="SimSun" w:cs="SimSun" w:eastAsia="SimSun" w:hAnsi="SimSun" w:hint="eastAsia"/>
      <w:sz w:val="48"/>
      <w:szCs w:val="48"/>
    </w:rPr>
  </w:style>
  <w:style w:type="character" w:default="1" w:styleId="3">
    <w:name w:val="Default Paragraph Font"/>
    <w:semiHidden/>
    <w:uiPriority w:val="0"/>
  </w:style>
  <w:style w:type="table" w:default="1" w:styleId="4">
    <w:name w:val="Normal Table"/>
    <w:tblPr>
      <w:tblCellMar>
        <w:top w:w="0" w:type="dxa"/>
        <w:left w:w="108" w:type="dxa"/>
        <w:bottom w:w="0" w:type="dxa"/>
        <w:right w:w="108" w:type="dxa"/>
      </w:tblCellMar>
    </w:tblPr>
    <w:semiHidden/>
    <w:uiPriority w:val="0"/>
  </w:style>
  <w:style w:type="paragraph" w:styleId="5">
    <w:name w:val="footer"/>
    <w:basedOn w:val="1"/>
    <w:uiPriority w:val="0"/>
    <w:pPr>
      <w:snapToGrid w:val="0"/>
      <w:jc w:val="left"/>
      <w:tabs>
        <w:tab w:val="center" w:pos="4153"/>
        <w:tab w:val="right" w:pos="8306"/>
      </w:tabs>
    </w:pPr>
    <w:rPr>
      <w:sz w:val="18"/>
      <w:szCs w:val="18"/>
    </w:rPr>
  </w:style>
  <w:style w:type="paragraph" w:styleId="6">
    <w:name w:val="header"/>
    <w:basedOn w:val="1"/>
    <w:uiPriority w:val="0"/>
    <w:pPr>
      <w:snapToGrid w:val="0"/>
      <w:tabs>
        <w:tab w:val="center" w:pos="4153"/>
        <w:tab w:val="right" w:pos="8306"/>
      </w:tabs>
    </w:pPr>
    <w:rPr>
      <w:sz w:val="18"/>
      <w:szCs w:val="18"/>
    </w:rPr>
  </w:style>
  <w:style w:type="paragraph" w:styleId="7">
    <w:name w:val="Normal (Web)"/>
    <w:uiPriority w:val="0"/>
    <w:pPr>
      <w:jc w:val="left"/>
      <w:ind w:left="0"/>
      <w:ind w:right="0"/>
      <w:spacing w:before="0" w:beforeAutospacing="1" w:after="0" w:afterAutospacing="1"/>
    </w:pPr>
    <w:rPr>
      <w:kern w:val="0"/>
      <w:lang w:val="en-US" w:eastAsia="zh-CN" w:bidi="ar"/>
      <w:sz w:val="24"/>
      <w:szCs w:val="24"/>
    </w:rPr>
  </w:style>
  <w:style w:type="character" w:styleId="8">
    <w:name w:val="Strong"/>
    <w:qFormat/>
    <w:basedOn w:val="3"/>
    <w:uiPriority w:val="0"/>
    <w:rPr>
      <w:bCs/>
      <w:b/>
    </w:rPr>
  </w:style>
  <w:style w:type="paragraph" w:styleId="Normal">
    <w:name w:val="Normal"/>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148</TotalTime>
  <ScaleCrop>false</ScaleCrop>
  <LinksUpToDate>false</LinksUpToDate>
  <CharactersWithSpaces>0</CharactersWithSpaces>
  <Application>WPS Office_12.2.0.13412_F1E327BC-269C-435d-A152-05C5408002CA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2024-01-14T17:28:00Z</dcterms:created>
  <dc:creator>user</dc:creator>
  <cp:lastModifiedBy>sadia farooq</cp:lastModifiedBy>
  <dcterms:modified xsi:type="dcterms:W3CDTF">2024-01-14T20:19:56Z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1033-12.2.0.13412</vt:lpwstr>
  </property>
  <property fmtid="{D5CDD505-2E9C-101B-9397-08002B2CF9AE}" pid="3" name="ICV">
    <vt:lpwstr>E88E70A140C84109A8F619D80967BA0F_11</vt:lpwstr>
  </property>
</Properties>
</file>