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Starting from the following group statue in the Metropolitan Museum of Art (MMA 11.150.21),</w:t>
      </w:r>
    </w:p>
    <w:p w:rsidR="00000000" w:rsidDel="00000000" w:rsidP="00000000" w:rsidRDefault="00000000" w:rsidRPr="00000000" w14:paraId="00000002">
      <w:pPr>
        <w:rPr/>
      </w:pPr>
      <w:r w:rsidDel="00000000" w:rsidR="00000000" w:rsidRPr="00000000">
        <w:rPr>
          <w:rtl w:val="0"/>
        </w:rPr>
        <w:t xml:space="preserve">discuss different ways how this object could appear to the modern eye applying gender theory.</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t xml:space="preserve">The Amarna period was a span of mass change in Ancient Egypt, with Arkenharten taking the throne. Over the course of his reign and extending until the reign of Tutankhamun, a period of around twenty eight years there was a mass of cultural reforms. The country saw a huge cultural shift in terms of religion with a move towards a proto-monotyisitc religion:</w:t>
      </w:r>
      <w:r w:rsidDel="00000000" w:rsidR="00000000" w:rsidRPr="00000000">
        <w:rPr>
          <w:vertAlign w:val="superscript"/>
        </w:rPr>
        <w:footnoteReference w:customMarkFollows="0" w:id="0"/>
      </w:r>
      <w:r w:rsidDel="00000000" w:rsidR="00000000" w:rsidRPr="00000000">
        <w:rPr>
          <w:rtl w:val="0"/>
        </w:rPr>
        <w:t xml:space="preserve"> the worship of the sun disk Aten. The moving of the capital city,  and reforming the style and design of artwork into a new more naturalistic style. The later eighteenth dynasty pharaohs moved back to tradition and much of the history of the Amarna period was lost or destroyed, the Pharaoh was not referred to as a pharaoh inh official records  and became known as a ‘heretic’</w:t>
      </w:r>
      <w:r w:rsidDel="00000000" w:rsidR="00000000" w:rsidRPr="00000000">
        <w:rPr>
          <w:vertAlign w:val="superscript"/>
        </w:rPr>
        <w:footnoteReference w:customMarkFollows="0" w:id="1"/>
      </w:r>
      <w:r w:rsidDel="00000000" w:rsidR="00000000" w:rsidRPr="00000000">
        <w:rPr>
          <w:rtl w:val="0"/>
        </w:rPr>
        <w:t xml:space="preserve">. </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To a modern audience the statue does not look traditionally Egyptian, the late Amarna style has the head swelling over the ears and the naturalistic way the hands are carved</w:t>
      </w:r>
      <w:r w:rsidDel="00000000" w:rsidR="00000000" w:rsidRPr="00000000">
        <w:rPr>
          <w:vertAlign w:val="superscript"/>
        </w:rPr>
        <w:footnoteReference w:customMarkFollows="0" w:id="2"/>
      </w:r>
      <w:r w:rsidDel="00000000" w:rsidR="00000000" w:rsidRPr="00000000">
        <w:rPr>
          <w:rtl w:val="0"/>
        </w:rPr>
        <w:t xml:space="preserve">, it contrasts greatly with the western ideas of Egyptian statues being larger than life figures covered in riches, largely influenced by pop culture</w:t>
      </w:r>
      <w:r w:rsidDel="00000000" w:rsidR="00000000" w:rsidRPr="00000000">
        <w:rPr>
          <w:vertAlign w:val="superscript"/>
        </w:rPr>
        <w:footnoteReference w:customMarkFollows="0" w:id="3"/>
      </w:r>
      <w:r w:rsidDel="00000000" w:rsidR="00000000" w:rsidRPr="00000000">
        <w:rPr>
          <w:rtl w:val="0"/>
        </w:rPr>
        <w:t xml:space="preserve">. The statue displays what looks like a familial unit, a mother with longer hair and a covered torso, a father wearing less ornate clothing and with a shaved head and child with , in a very ‘traditional nuclear family photo’</w:t>
      </w:r>
      <w:r w:rsidDel="00000000" w:rsidR="00000000" w:rsidRPr="00000000">
        <w:rPr>
          <w:vertAlign w:val="superscript"/>
        </w:rPr>
        <w:footnoteReference w:customMarkFollows="0" w:id="4"/>
      </w:r>
      <w:r w:rsidDel="00000000" w:rsidR="00000000" w:rsidRPr="00000000">
        <w:rPr>
          <w:rtl w:val="0"/>
        </w:rPr>
        <w:t xml:space="preserve">. The contact between the groups seems very familial, with the middle man's arm around his child's shoulders and clasping the hand of the ‘woman’. The stances of the three figures are very familial, giving a sense of closeness the arm hung protectively over the youngest figure acts almost as a and a comfort</w:t>
      </w:r>
      <w:r w:rsidDel="00000000" w:rsidR="00000000" w:rsidRPr="00000000">
        <w:rPr>
          <w:vertAlign w:val="superscript"/>
        </w:rPr>
        <w:footnoteReference w:customMarkFollows="0" w:id="5"/>
      </w:r>
      <w:r w:rsidDel="00000000" w:rsidR="00000000" w:rsidRPr="00000000">
        <w:rPr>
          <w:rtl w:val="0"/>
        </w:rPr>
        <w:t xml:space="preserve">. </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The colour of the family's skin could be used normally to give us a definite answer on the gender of the members of this statue as the red skin tone  is the colour traditionally associated with men in the Egyptian period as statues of women traditionally had much paler, yellow skin compared to their male counterparts</w:t>
      </w:r>
      <w:r w:rsidDel="00000000" w:rsidR="00000000" w:rsidRPr="00000000">
        <w:rPr>
          <w:vertAlign w:val="superscript"/>
        </w:rPr>
        <w:footnoteReference w:customMarkFollows="0" w:id="6"/>
      </w:r>
      <w:r w:rsidDel="00000000" w:rsidR="00000000" w:rsidRPr="00000000">
        <w:rPr>
          <w:rtl w:val="0"/>
        </w:rPr>
        <w:t xml:space="preserve">. This however is less certain during this period as there are statues of Nefertiti and Akhenaten, the pharaoh and his wife with the same ochre skin</w:t>
      </w:r>
      <w:r w:rsidDel="00000000" w:rsidR="00000000" w:rsidRPr="00000000">
        <w:rPr>
          <w:vertAlign w:val="superscript"/>
        </w:rPr>
        <w:footnoteReference w:customMarkFollows="0" w:id="7"/>
      </w:r>
      <w:r w:rsidDel="00000000" w:rsidR="00000000" w:rsidRPr="00000000">
        <w:rPr>
          <w:rtl w:val="0"/>
        </w:rPr>
        <w:t xml:space="preserve">. The Amarna period is largely defined by the women that ruled during the time, a direct contrast to how many people view Egypt, Nefertitit is often portrayed in the same position as the Pharaoh as having the same importance as her husband, in direct contrast with how the usual Egyptian queens are shown, which in turn means this could be a woman in an unusual position and power, this is an unlikely interpretation however. </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This is likely not what the ancient egyptians would have had the statue to represent however, the figure that could be interpreted as a woman is in fact largely assumed to be a man</w:t>
      </w:r>
      <w:r w:rsidDel="00000000" w:rsidR="00000000" w:rsidRPr="00000000">
        <w:rPr>
          <w:vertAlign w:val="superscript"/>
        </w:rPr>
        <w:footnoteReference w:customMarkFollows="0" w:id="8"/>
      </w:r>
      <w:r w:rsidDel="00000000" w:rsidR="00000000" w:rsidRPr="00000000">
        <w:rPr>
          <w:rtl w:val="0"/>
        </w:rPr>
        <w:t xml:space="preserve">, in the modern era things such as long hair and covered upper torsos are associated with women more frequently then in the Ancient worlds where such things were status symbols</w:t>
      </w:r>
      <w:r w:rsidDel="00000000" w:rsidR="00000000" w:rsidRPr="00000000">
        <w:rPr>
          <w:vertAlign w:val="superscript"/>
        </w:rPr>
        <w:footnoteReference w:customMarkFollows="0" w:id="9"/>
      </w:r>
      <w:r w:rsidDel="00000000" w:rsidR="00000000" w:rsidRPr="00000000">
        <w:rPr>
          <w:rtl w:val="0"/>
        </w:rPr>
        <w:t xml:space="preserve">. The hairstyle is the typical Amarna hairstyle and the tunic and apron with the more elaborate pieces constructed together to show that this is a man of power. His stance is also wide, which both modern and ancient audiences would agree shows power and importance and if you remove the bias that covered torsos denote femininity then there is a consensus that more elaborate something denotes wealth and power which the leftmost figure represents.</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The Statue is currently in The Metropolitan Museum and the curator of the museum Marsha Hill explains the statue in terms of ancient egyptian culture, she explains that these statues were used in domestic contexts in household shrines as a way to remain close with your ancestors</w:t>
      </w:r>
      <w:r w:rsidDel="00000000" w:rsidR="00000000" w:rsidRPr="00000000">
        <w:rPr>
          <w:vertAlign w:val="superscript"/>
        </w:rPr>
        <w:footnoteReference w:customMarkFollows="0" w:id="10"/>
      </w:r>
      <w:r w:rsidDel="00000000" w:rsidR="00000000" w:rsidRPr="00000000">
        <w:rPr>
          <w:rtl w:val="0"/>
        </w:rPr>
        <w:t xml:space="preserve"> and  is a relic of the ‘Ancestor cults’. It would have been used so the living could communicate  with their ancestors to ask for their protection and guidance in life. Hill explains that the leftmost man was probably a famed ancestor who held a significant position of power and the shrine was probably made by the middle man in the hope that his son would take after their ancestor.</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t xml:space="preserve"> While not visible on the statue as it is today there was once a blue collar which can be seen in visible-induced IR luminescence photography</w:t>
      </w:r>
      <w:r w:rsidDel="00000000" w:rsidR="00000000" w:rsidRPr="00000000">
        <w:rPr>
          <w:vertAlign w:val="superscript"/>
        </w:rPr>
        <w:footnoteReference w:customMarkFollows="0" w:id="11"/>
      </w:r>
      <w:r w:rsidDel="00000000" w:rsidR="00000000" w:rsidRPr="00000000">
        <w:rPr>
          <w:rtl w:val="0"/>
        </w:rPr>
        <w:t xml:space="preserve">, these collars are symbols, the blue used we can identity as Egyptian blue, While there is evidence of all three wearing these collars the pigments are much darker on the ancestor and younger boy which could be interpreted as the father wanting his son to go beyond his own position and to achieve the same success as his ancestors to have the money to achieve a more elaborate piece.</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t xml:space="preserve">Another, earlier interpretation of the statue was that it was in fact a depiction of a ceremony with the man in the middle being some kind of priest, as his baldness can be associated with some priestly figures</w:t>
      </w:r>
      <w:r w:rsidDel="00000000" w:rsidR="00000000" w:rsidRPr="00000000">
        <w:rPr>
          <w:vertAlign w:val="superscript"/>
        </w:rPr>
        <w:footnoteReference w:customMarkFollows="0" w:id="12"/>
      </w:r>
      <w:r w:rsidDel="00000000" w:rsidR="00000000" w:rsidRPr="00000000">
        <w:rPr>
          <w:rtl w:val="0"/>
        </w:rPr>
        <w:t xml:space="preserve">. However, this is complicated by the period in which this piece was created, the period moved towards shaven heads as a cultural norm rather than a style for priests. </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The statue has also been interpreted as representing some form of homosexual relationship</w:t>
      </w:r>
      <w:r w:rsidDel="00000000" w:rsidR="00000000" w:rsidRPr="00000000">
        <w:rPr>
          <w:vertAlign w:val="superscript"/>
        </w:rPr>
        <w:footnoteReference w:customMarkFollows="0" w:id="13"/>
      </w:r>
      <w:r w:rsidDel="00000000" w:rsidR="00000000" w:rsidRPr="00000000">
        <w:rPr>
          <w:rtl w:val="0"/>
        </w:rPr>
        <w:t xml:space="preserve">, the way the two men are holding hands mirrors a statue of Nefertiti and Akenarten of this time with one figure clasping ahold of the others. This is however not how relationships between men are often shown in Egyptian sculpture</w:t>
      </w:r>
      <w:r w:rsidDel="00000000" w:rsidR="00000000" w:rsidRPr="00000000">
        <w:rPr>
          <w:vertAlign w:val="superscript"/>
        </w:rPr>
        <w:footnoteReference w:customMarkFollows="0" w:id="14"/>
      </w:r>
      <w:r w:rsidDel="00000000" w:rsidR="00000000" w:rsidRPr="00000000">
        <w:rPr>
          <w:rtl w:val="0"/>
        </w:rPr>
        <w:t xml:space="preserve">, and belays a very western ideal that casual affection is infact a sign of romantic attraction which in reality that is not often the case and has only become common in the modern era.   </w:t>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t xml:space="preserve">Bibliography: </w:t>
      </w:r>
    </w:p>
    <w:p w:rsidR="00000000" w:rsidDel="00000000" w:rsidP="00000000" w:rsidRDefault="00000000" w:rsidRPr="00000000" w14:paraId="0000003D">
      <w:pPr>
        <w:rPr/>
      </w:pPr>
      <w:r w:rsidDel="00000000" w:rsidR="00000000" w:rsidRPr="00000000">
        <w:rPr>
          <w:sz w:val="20"/>
          <w:szCs w:val="20"/>
          <w:rtl w:val="0"/>
        </w:rPr>
        <w:t xml:space="preserve">Hart, G., </w:t>
      </w:r>
      <w:r w:rsidDel="00000000" w:rsidR="00000000" w:rsidRPr="00000000">
        <w:rPr>
          <w:i w:val="1"/>
          <w:sz w:val="20"/>
          <w:szCs w:val="20"/>
          <w:rtl w:val="0"/>
        </w:rPr>
        <w:t xml:space="preserve">A Dictionary of Egyptian Gods and Goddesses</w:t>
      </w:r>
      <w:r w:rsidDel="00000000" w:rsidR="00000000" w:rsidRPr="00000000">
        <w:rPr>
          <w:sz w:val="20"/>
          <w:szCs w:val="20"/>
          <w:rtl w:val="0"/>
        </w:rPr>
        <w:t xml:space="preserve">. (London; New York: Routledge, 1986, revised 2000) </w:t>
      </w:r>
      <w:r w:rsidDel="00000000" w:rsidR="00000000" w:rsidRPr="00000000">
        <w:rPr>
          <w:rtl w:val="0"/>
        </w:rPr>
        <w:t xml:space="preserve"> </w:t>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sz w:val="20"/>
          <w:szCs w:val="20"/>
        </w:rPr>
      </w:pPr>
      <w:r w:rsidDel="00000000" w:rsidR="00000000" w:rsidRPr="00000000">
        <w:rPr>
          <w:sz w:val="20"/>
          <w:szCs w:val="20"/>
          <w:rtl w:val="0"/>
        </w:rPr>
        <w:t xml:space="preserve">Hill M,</w:t>
      </w:r>
      <w:r w:rsidDel="00000000" w:rsidR="00000000" w:rsidRPr="00000000">
        <w:rPr>
          <w:i w:val="1"/>
          <w:sz w:val="20"/>
          <w:szCs w:val="20"/>
          <w:rtl w:val="0"/>
        </w:rPr>
        <w:t xml:space="preserve"> A Statuette of Two Men and a Boy from the Amarna Period, Part I: Face Facts for Understanding the Sculpture, and Part II: Materials Analysis and Imaging </w:t>
      </w:r>
      <w:r w:rsidDel="00000000" w:rsidR="00000000" w:rsidRPr="00000000">
        <w:rPr>
          <w:sz w:val="20"/>
          <w:szCs w:val="20"/>
          <w:rtl w:val="0"/>
        </w:rPr>
        <w:t xml:space="preserve">(2016, Bulletin of the Egyptological Seminar:The Art and Culture of Ancient Egypt)</w:t>
      </w:r>
    </w:p>
    <w:p w:rsidR="00000000" w:rsidDel="00000000" w:rsidP="00000000" w:rsidRDefault="00000000" w:rsidRPr="00000000" w14:paraId="00000040">
      <w:pPr>
        <w:rPr>
          <w:sz w:val="20"/>
          <w:szCs w:val="20"/>
        </w:rPr>
      </w:pPr>
      <w:r w:rsidDel="00000000" w:rsidR="00000000" w:rsidRPr="00000000">
        <w:rPr>
          <w:rtl w:val="0"/>
        </w:rPr>
      </w:r>
    </w:p>
    <w:p w:rsidR="00000000" w:rsidDel="00000000" w:rsidP="00000000" w:rsidRDefault="00000000" w:rsidRPr="00000000" w14:paraId="00000041">
      <w:pPr>
        <w:spacing w:line="240" w:lineRule="auto"/>
        <w:rPr>
          <w:sz w:val="20"/>
          <w:szCs w:val="20"/>
        </w:rPr>
      </w:pPr>
      <w:r w:rsidDel="00000000" w:rsidR="00000000" w:rsidRPr="00000000">
        <w:rPr>
          <w:sz w:val="20"/>
          <w:szCs w:val="20"/>
          <w:rtl w:val="0"/>
        </w:rPr>
        <w:t xml:space="preserve">Hill M </w:t>
      </w:r>
      <w:r w:rsidDel="00000000" w:rsidR="00000000" w:rsidRPr="00000000">
        <w:rPr>
          <w:i w:val="1"/>
          <w:sz w:val="20"/>
          <w:szCs w:val="20"/>
          <w:rtl w:val="0"/>
        </w:rPr>
        <w:t xml:space="preserve">‘This Egyptian statue is reminiscent of a family photo | Art, Explained’ </w:t>
      </w:r>
      <w:r w:rsidDel="00000000" w:rsidR="00000000" w:rsidRPr="00000000">
        <w:rPr>
          <w:sz w:val="20"/>
          <w:szCs w:val="20"/>
          <w:rtl w:val="0"/>
        </w:rPr>
        <w:t xml:space="preserve">(</w:t>
      </w:r>
      <w:hyperlink r:id="rId7">
        <w:r w:rsidDel="00000000" w:rsidR="00000000" w:rsidRPr="00000000">
          <w:rPr>
            <w:color w:val="1155cc"/>
            <w:sz w:val="20"/>
            <w:szCs w:val="20"/>
            <w:u w:val="single"/>
            <w:rtl w:val="0"/>
          </w:rPr>
          <w:t xml:space="preserve">https://www.youtube.com/watch?v=DB7jL_2bxag</w:t>
        </w:r>
      </w:hyperlink>
      <w:r w:rsidDel="00000000" w:rsidR="00000000" w:rsidRPr="00000000">
        <w:rPr>
          <w:sz w:val="20"/>
          <w:szCs w:val="20"/>
          <w:rtl w:val="0"/>
        </w:rPr>
        <w:t xml:space="preserve">)</w:t>
      </w:r>
    </w:p>
    <w:p w:rsidR="00000000" w:rsidDel="00000000" w:rsidP="00000000" w:rsidRDefault="00000000" w:rsidRPr="00000000" w14:paraId="00000042">
      <w:pPr>
        <w:rPr>
          <w:sz w:val="20"/>
          <w:szCs w:val="20"/>
        </w:rPr>
      </w:pPr>
      <w:r w:rsidDel="00000000" w:rsidR="00000000" w:rsidRPr="00000000">
        <w:rPr>
          <w:rtl w:val="0"/>
        </w:rPr>
      </w:r>
    </w:p>
    <w:p w:rsidR="00000000" w:rsidDel="00000000" w:rsidP="00000000" w:rsidRDefault="00000000" w:rsidRPr="00000000" w14:paraId="00000043">
      <w:pPr>
        <w:spacing w:line="240" w:lineRule="auto"/>
        <w:rPr>
          <w:sz w:val="20"/>
          <w:szCs w:val="20"/>
        </w:rPr>
      </w:pPr>
      <w:r w:rsidDel="00000000" w:rsidR="00000000" w:rsidRPr="00000000">
        <w:rPr>
          <w:sz w:val="20"/>
          <w:szCs w:val="20"/>
          <w:rtl w:val="0"/>
        </w:rPr>
        <w:t xml:space="preserve"> McLaughlin E..</w:t>
      </w:r>
      <w:hyperlink r:id="rId8">
        <w:r w:rsidDel="00000000" w:rsidR="00000000" w:rsidRPr="00000000">
          <w:rPr>
            <w:sz w:val="20"/>
            <w:szCs w:val="20"/>
            <w:rtl w:val="0"/>
          </w:rPr>
          <w:t xml:space="preserve"> </w:t>
        </w:r>
      </w:hyperlink>
      <w:hyperlink r:id="rId9">
        <w:r w:rsidDel="00000000" w:rsidR="00000000" w:rsidRPr="00000000">
          <w:rPr>
            <w:color w:val="1155cc"/>
            <w:sz w:val="20"/>
            <w:szCs w:val="20"/>
            <w:u w:val="single"/>
            <w:rtl w:val="0"/>
          </w:rPr>
          <w:t xml:space="preserve">Akhenaten &amp; Nefertiti</w:t>
        </w:r>
      </w:hyperlink>
      <w:r w:rsidDel="00000000" w:rsidR="00000000" w:rsidRPr="00000000">
        <w:rPr>
          <w:sz w:val="20"/>
          <w:szCs w:val="20"/>
          <w:rtl w:val="0"/>
        </w:rPr>
        <w:t xml:space="preserve">. </w:t>
      </w:r>
      <w:r w:rsidDel="00000000" w:rsidR="00000000" w:rsidRPr="00000000">
        <w:rPr>
          <w:i w:val="1"/>
          <w:sz w:val="20"/>
          <w:szCs w:val="20"/>
          <w:rtl w:val="0"/>
        </w:rPr>
        <w:t xml:space="preserve">World History Encyclopedia</w:t>
      </w:r>
      <w:r w:rsidDel="00000000" w:rsidR="00000000" w:rsidRPr="00000000">
        <w:rPr>
          <w:sz w:val="20"/>
          <w:szCs w:val="20"/>
          <w:rtl w:val="0"/>
        </w:rPr>
        <w:t xml:space="preserve">. Retrieved from </w:t>
      </w:r>
      <w:hyperlink r:id="rId10">
        <w:r w:rsidDel="00000000" w:rsidR="00000000" w:rsidRPr="00000000">
          <w:rPr>
            <w:color w:val="1155cc"/>
            <w:sz w:val="20"/>
            <w:szCs w:val="20"/>
            <w:u w:val="single"/>
            <w:rtl w:val="0"/>
          </w:rPr>
          <w:t xml:space="preserve">https://www.worldhistory.org/image/6919/akhenaten--nefertiti/</w:t>
        </w:r>
      </w:hyperlink>
      <w:r w:rsidDel="00000000" w:rsidR="00000000" w:rsidRPr="00000000">
        <w:rPr>
          <w:sz w:val="20"/>
          <w:szCs w:val="20"/>
          <w:rtl w:val="0"/>
        </w:rPr>
        <w:t xml:space="preserve"> (2017) </w:t>
      </w:r>
    </w:p>
    <w:p w:rsidR="00000000" w:rsidDel="00000000" w:rsidP="00000000" w:rsidRDefault="00000000" w:rsidRPr="00000000" w14:paraId="00000044">
      <w:pPr>
        <w:spacing w:line="240" w:lineRule="auto"/>
        <w:rPr>
          <w:sz w:val="20"/>
          <w:szCs w:val="20"/>
        </w:rPr>
      </w:pPr>
      <w:r w:rsidDel="00000000" w:rsidR="00000000" w:rsidRPr="00000000">
        <w:rPr>
          <w:rtl w:val="0"/>
        </w:rPr>
      </w:r>
    </w:p>
    <w:p w:rsidR="00000000" w:rsidDel="00000000" w:rsidP="00000000" w:rsidRDefault="00000000" w:rsidRPr="00000000" w14:paraId="00000045">
      <w:pPr>
        <w:spacing w:line="240" w:lineRule="auto"/>
        <w:rPr>
          <w:sz w:val="20"/>
          <w:szCs w:val="20"/>
        </w:rPr>
      </w:pPr>
      <w:r w:rsidDel="00000000" w:rsidR="00000000" w:rsidRPr="00000000">
        <w:rPr>
          <w:sz w:val="20"/>
          <w:szCs w:val="20"/>
          <w:rtl w:val="0"/>
        </w:rPr>
        <w:t xml:space="preserve">Parkinson, R. B. </w:t>
      </w:r>
      <w:r w:rsidDel="00000000" w:rsidR="00000000" w:rsidRPr="00000000">
        <w:rPr>
          <w:i w:val="1"/>
          <w:sz w:val="20"/>
          <w:szCs w:val="20"/>
          <w:rtl w:val="0"/>
        </w:rPr>
        <w:t xml:space="preserve">‘Homosexual’ Desire and Middle Kingdom Literature, The Journal of Egyptian Archaeology</w:t>
      </w:r>
      <w:r w:rsidDel="00000000" w:rsidR="00000000" w:rsidRPr="00000000">
        <w:rPr>
          <w:sz w:val="20"/>
          <w:szCs w:val="20"/>
          <w:rtl w:val="0"/>
        </w:rPr>
        <w:t xml:space="preserve">, (vol. 81, 1995,. </w:t>
      </w:r>
      <w:r w:rsidDel="00000000" w:rsidR="00000000" w:rsidRPr="00000000">
        <w:rPr>
          <w:i w:val="1"/>
          <w:sz w:val="20"/>
          <w:szCs w:val="20"/>
          <w:rtl w:val="0"/>
        </w:rPr>
        <w:t xml:space="preserve">JSTOR</w:t>
      </w:r>
      <w:r w:rsidDel="00000000" w:rsidR="00000000" w:rsidRPr="00000000">
        <w:rPr>
          <w:sz w:val="20"/>
          <w:szCs w:val="20"/>
          <w:rtl w:val="0"/>
        </w:rPr>
        <w:t xml:space="preserve">, https://doi.org/10.2307/3821808. Accessed 23 May 2022.)</w:t>
      </w:r>
    </w:p>
    <w:p w:rsidR="00000000" w:rsidDel="00000000" w:rsidP="00000000" w:rsidRDefault="00000000" w:rsidRPr="00000000" w14:paraId="00000046">
      <w:pPr>
        <w:rPr>
          <w:sz w:val="20"/>
          <w:szCs w:val="20"/>
        </w:rPr>
      </w:pPr>
      <w:r w:rsidDel="00000000" w:rsidR="00000000" w:rsidRPr="00000000">
        <w:rPr>
          <w:rtl w:val="0"/>
        </w:rPr>
      </w:r>
    </w:p>
    <w:p w:rsidR="00000000" w:rsidDel="00000000" w:rsidP="00000000" w:rsidRDefault="00000000" w:rsidRPr="00000000" w14:paraId="00000047">
      <w:pPr>
        <w:rPr>
          <w:sz w:val="20"/>
          <w:szCs w:val="20"/>
        </w:rPr>
      </w:pPr>
      <w:r w:rsidDel="00000000" w:rsidR="00000000" w:rsidRPr="00000000">
        <w:rPr>
          <w:sz w:val="20"/>
          <w:szCs w:val="20"/>
          <w:rtl w:val="0"/>
        </w:rPr>
        <w:t xml:space="preserve">Silverman, D.; Wegner, J.; Wegner, </w:t>
      </w:r>
      <w:r w:rsidDel="00000000" w:rsidR="00000000" w:rsidRPr="00000000">
        <w:rPr>
          <w:i w:val="1"/>
          <w:sz w:val="20"/>
          <w:szCs w:val="20"/>
          <w:rtl w:val="0"/>
        </w:rPr>
        <w:t xml:space="preserve">Akhenaten and Tutankhamun: Revolution and Restoration</w:t>
      </w:r>
      <w:r w:rsidDel="00000000" w:rsidR="00000000" w:rsidRPr="00000000">
        <w:rPr>
          <w:sz w:val="20"/>
          <w:szCs w:val="20"/>
          <w:rtl w:val="0"/>
        </w:rPr>
        <w:t xml:space="preserve"> (Philadelphia, Pennsylvania: University of Pennsylvania Museum of Archeology and Anthropology, 2006)</w:t>
      </w:r>
    </w:p>
    <w:p w:rsidR="00000000" w:rsidDel="00000000" w:rsidP="00000000" w:rsidRDefault="00000000" w:rsidRPr="00000000" w14:paraId="00000048">
      <w:pPr>
        <w:rPr>
          <w:sz w:val="20"/>
          <w:szCs w:val="20"/>
        </w:rPr>
      </w:pPr>
      <w:r w:rsidDel="00000000" w:rsidR="00000000" w:rsidRPr="00000000">
        <w:rPr>
          <w:rtl w:val="0"/>
        </w:rPr>
      </w:r>
    </w:p>
    <w:p w:rsidR="00000000" w:rsidDel="00000000" w:rsidP="00000000" w:rsidRDefault="00000000" w:rsidRPr="00000000" w14:paraId="00000049">
      <w:pPr>
        <w:spacing w:line="240" w:lineRule="auto"/>
        <w:rPr>
          <w:sz w:val="20"/>
          <w:szCs w:val="20"/>
        </w:rPr>
      </w:pPr>
      <w:r w:rsidDel="00000000" w:rsidR="00000000" w:rsidRPr="00000000">
        <w:rPr>
          <w:sz w:val="20"/>
          <w:szCs w:val="20"/>
          <w:rtl w:val="0"/>
        </w:rPr>
        <w:t xml:space="preserve"> </w:t>
      </w:r>
    </w:p>
    <w:p w:rsidR="00000000" w:rsidDel="00000000" w:rsidP="00000000" w:rsidRDefault="00000000" w:rsidRPr="00000000" w14:paraId="0000004A">
      <w:pPr>
        <w:spacing w:line="240" w:lineRule="auto"/>
        <w:rPr>
          <w:sz w:val="20"/>
          <w:szCs w:val="20"/>
        </w:rPr>
      </w:pPr>
      <w:r w:rsidDel="00000000" w:rsidR="00000000" w:rsidRPr="00000000">
        <w:rPr>
          <w:sz w:val="20"/>
          <w:szCs w:val="20"/>
          <w:rtl w:val="0"/>
        </w:rPr>
        <w:t xml:space="preserve">Sutherland, D V. </w:t>
      </w:r>
      <w:r w:rsidDel="00000000" w:rsidR="00000000" w:rsidRPr="00000000">
        <w:rPr>
          <w:i w:val="1"/>
          <w:sz w:val="20"/>
          <w:szCs w:val="20"/>
          <w:rtl w:val="0"/>
        </w:rPr>
        <w:t xml:space="preserve">The Mummy</w:t>
      </w:r>
      <w:r w:rsidDel="00000000" w:rsidR="00000000" w:rsidRPr="00000000">
        <w:rPr>
          <w:sz w:val="20"/>
          <w:szCs w:val="20"/>
          <w:rtl w:val="0"/>
        </w:rPr>
        <w:t xml:space="preserve">, (Liverpool University Press, 2019,. </w:t>
      </w:r>
      <w:r w:rsidDel="00000000" w:rsidR="00000000" w:rsidRPr="00000000">
        <w:rPr>
          <w:i w:val="1"/>
          <w:sz w:val="20"/>
          <w:szCs w:val="20"/>
          <w:rtl w:val="0"/>
        </w:rPr>
        <w:t xml:space="preserve">JSTOR</w:t>
      </w:r>
      <w:r w:rsidDel="00000000" w:rsidR="00000000" w:rsidRPr="00000000">
        <w:rPr>
          <w:sz w:val="20"/>
          <w:szCs w:val="20"/>
          <w:rtl w:val="0"/>
        </w:rPr>
        <w:t xml:space="preserve">, https://doi.org/10.2307/j.ctv138417x.7. Accessed 23 May 2022.)</w:t>
      </w:r>
    </w:p>
    <w:p w:rsidR="00000000" w:rsidDel="00000000" w:rsidP="00000000" w:rsidRDefault="00000000" w:rsidRPr="00000000" w14:paraId="0000004B">
      <w:pPr>
        <w:spacing w:line="240" w:lineRule="auto"/>
        <w:rPr>
          <w:sz w:val="20"/>
          <w:szCs w:val="20"/>
        </w:rPr>
      </w:pPr>
      <w:r w:rsidDel="00000000" w:rsidR="00000000" w:rsidRPr="00000000">
        <w:rPr>
          <w:rtl w:val="0"/>
        </w:rPr>
      </w:r>
    </w:p>
    <w:p w:rsidR="00000000" w:rsidDel="00000000" w:rsidP="00000000" w:rsidRDefault="00000000" w:rsidRPr="00000000" w14:paraId="0000004C">
      <w:pPr>
        <w:spacing w:line="240" w:lineRule="auto"/>
        <w:rPr>
          <w:sz w:val="20"/>
          <w:szCs w:val="20"/>
        </w:rPr>
      </w:pPr>
      <w:r w:rsidDel="00000000" w:rsidR="00000000" w:rsidRPr="00000000">
        <w:rPr>
          <w:rtl w:val="0"/>
        </w:rPr>
      </w:r>
    </w:p>
    <w:p w:rsidR="00000000" w:rsidDel="00000000" w:rsidP="00000000" w:rsidRDefault="00000000" w:rsidRPr="00000000" w14:paraId="0000004D">
      <w:pPr>
        <w:spacing w:line="240" w:lineRule="auto"/>
        <w:rPr>
          <w:sz w:val="20"/>
          <w:szCs w:val="20"/>
        </w:rPr>
      </w:pPr>
      <w:r w:rsidDel="00000000" w:rsidR="00000000" w:rsidRPr="00000000">
        <w:rPr>
          <w:sz w:val="20"/>
          <w:szCs w:val="20"/>
          <w:rtl w:val="0"/>
        </w:rPr>
        <w:t xml:space="preserve">Uroš Matić. </w:t>
      </w:r>
      <w:r w:rsidDel="00000000" w:rsidR="00000000" w:rsidRPr="00000000">
        <w:rPr>
          <w:i w:val="1"/>
          <w:sz w:val="20"/>
          <w:szCs w:val="20"/>
          <w:rtl w:val="0"/>
        </w:rPr>
        <w:t xml:space="preserve">“Gender in Ancient Egypt: Norms, Ambiguities, and Sensualities.” Near Eastern Archaeology, vol. 79, no. 3</w:t>
      </w:r>
      <w:r w:rsidDel="00000000" w:rsidR="00000000" w:rsidRPr="00000000">
        <w:rPr>
          <w:sz w:val="20"/>
          <w:szCs w:val="20"/>
          <w:rtl w:val="0"/>
        </w:rPr>
        <w:t xml:space="preserve">, (2016,. </w:t>
      </w:r>
      <w:r w:rsidDel="00000000" w:rsidR="00000000" w:rsidRPr="00000000">
        <w:rPr>
          <w:i w:val="1"/>
          <w:sz w:val="20"/>
          <w:szCs w:val="20"/>
          <w:rtl w:val="0"/>
        </w:rPr>
        <w:t xml:space="preserve">JSTOR</w:t>
      </w:r>
      <w:r w:rsidDel="00000000" w:rsidR="00000000" w:rsidRPr="00000000">
        <w:rPr>
          <w:sz w:val="20"/>
          <w:szCs w:val="20"/>
          <w:rtl w:val="0"/>
        </w:rPr>
        <w:t xml:space="preserve">, https://doi.org/10.5615/neareastarch.79.3.0174. Accessed 23 May 2022) </w:t>
      </w:r>
    </w:p>
    <w:p w:rsidR="00000000" w:rsidDel="00000000" w:rsidP="00000000" w:rsidRDefault="00000000" w:rsidRPr="00000000" w14:paraId="0000004E">
      <w:pPr>
        <w:spacing w:line="240" w:lineRule="auto"/>
        <w:rPr>
          <w:sz w:val="20"/>
          <w:szCs w:val="20"/>
        </w:rPr>
      </w:pPr>
      <w:r w:rsidDel="00000000" w:rsidR="00000000" w:rsidRPr="00000000">
        <w:rPr>
          <w:rtl w:val="0"/>
        </w:rPr>
      </w:r>
    </w:p>
    <w:p w:rsidR="00000000" w:rsidDel="00000000" w:rsidP="00000000" w:rsidRDefault="00000000" w:rsidRPr="00000000" w14:paraId="0000004F">
      <w:pPr>
        <w:spacing w:line="240" w:lineRule="auto"/>
        <w:rPr>
          <w:sz w:val="20"/>
          <w:szCs w:val="20"/>
        </w:rPr>
      </w:pPr>
      <w:r w:rsidDel="00000000" w:rsidR="00000000" w:rsidRPr="00000000">
        <w:rPr>
          <w:rtl w:val="0"/>
        </w:rPr>
      </w:r>
    </w:p>
    <w:p w:rsidR="00000000" w:rsidDel="00000000" w:rsidP="00000000" w:rsidRDefault="00000000" w:rsidRPr="00000000" w14:paraId="00000050">
      <w:pPr>
        <w:spacing w:line="240" w:lineRule="auto"/>
        <w:rPr>
          <w:sz w:val="20"/>
          <w:szCs w:val="20"/>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sectPr>
      <w:footerReference r:id="rId11"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4">
    <w:pPr>
      <w:rPr/>
    </w:pPr>
    <w:r w:rsidDel="00000000" w:rsidR="00000000" w:rsidRPr="00000000">
      <w:rPr>
        <w:rtl w:val="0"/>
      </w:rPr>
    </w:r>
  </w:p>
</w:ftr>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52">
      <w:pPr>
        <w:spacing w:line="240" w:lineRule="auto"/>
        <w:rPr>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G. Hart, </w:t>
      </w:r>
      <w:r w:rsidDel="00000000" w:rsidR="00000000" w:rsidRPr="00000000">
        <w:rPr>
          <w:i w:val="1"/>
          <w:sz w:val="20"/>
          <w:szCs w:val="20"/>
          <w:rtl w:val="0"/>
        </w:rPr>
        <w:t xml:space="preserve">A Dictionary of Egyptian Gods and Goddesses</w:t>
      </w:r>
      <w:r w:rsidDel="00000000" w:rsidR="00000000" w:rsidRPr="00000000">
        <w:rPr>
          <w:sz w:val="20"/>
          <w:szCs w:val="20"/>
          <w:rtl w:val="0"/>
        </w:rPr>
        <w:t xml:space="preserve">. (London; New York: Routledge, 1986, revised 2000) p. 44</w:t>
      </w:r>
      <w:r w:rsidDel="00000000" w:rsidR="00000000" w:rsidRPr="00000000">
        <w:rPr>
          <w:rtl w:val="0"/>
        </w:rPr>
      </w:r>
    </w:p>
  </w:footnote>
  <w:footnote w:id="4">
    <w:p w:rsidR="00000000" w:rsidDel="00000000" w:rsidP="00000000" w:rsidRDefault="00000000" w:rsidRPr="00000000" w14:paraId="0000005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Pers. comm   </w:t>
      </w:r>
    </w:p>
  </w:footnote>
  <w:footnote w:id="1">
    <w:p w:rsidR="00000000" w:rsidDel="00000000" w:rsidP="00000000" w:rsidRDefault="00000000" w:rsidRPr="00000000" w14:paraId="0000005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 Silverman,; J Wegner.; Wegner, </w:t>
      </w:r>
      <w:r w:rsidDel="00000000" w:rsidR="00000000" w:rsidRPr="00000000">
        <w:rPr>
          <w:i w:val="1"/>
          <w:sz w:val="20"/>
          <w:szCs w:val="20"/>
          <w:rtl w:val="0"/>
        </w:rPr>
        <w:t xml:space="preserve">Akhenaten and Tutankhamun: Revolution and Restoration</w:t>
      </w:r>
      <w:r w:rsidDel="00000000" w:rsidR="00000000" w:rsidRPr="00000000">
        <w:rPr>
          <w:sz w:val="20"/>
          <w:szCs w:val="20"/>
          <w:rtl w:val="0"/>
        </w:rPr>
        <w:t xml:space="preserve"> (Philadelphia, Pennsylvania: University of Pennsylvania Museum of Archeology and Anthropology, 2006) p. 185–188 </w:t>
      </w:r>
    </w:p>
  </w:footnote>
  <w:footnote w:id="2">
    <w:p w:rsidR="00000000" w:rsidDel="00000000" w:rsidP="00000000" w:rsidRDefault="00000000" w:rsidRPr="00000000" w14:paraId="0000005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 Hill,</w:t>
      </w:r>
      <w:r w:rsidDel="00000000" w:rsidR="00000000" w:rsidRPr="00000000">
        <w:rPr>
          <w:i w:val="1"/>
          <w:sz w:val="20"/>
          <w:szCs w:val="20"/>
          <w:rtl w:val="0"/>
        </w:rPr>
        <w:t xml:space="preserve"> A Statuette of Two Men and a Boy from the Amarna Period, Part I: Face Facts for Understanding the Sculpture, and Part II: Materials Analysis and Imaging  </w:t>
      </w:r>
      <w:r w:rsidDel="00000000" w:rsidR="00000000" w:rsidRPr="00000000">
        <w:rPr>
          <w:sz w:val="20"/>
          <w:szCs w:val="20"/>
          <w:rtl w:val="0"/>
        </w:rPr>
        <w:t xml:space="preserve">p.368</w:t>
      </w:r>
    </w:p>
    <w:p w:rsidR="00000000" w:rsidDel="00000000" w:rsidP="00000000" w:rsidRDefault="00000000" w:rsidRPr="00000000" w14:paraId="00000057">
      <w:pPr>
        <w:spacing w:line="240" w:lineRule="auto"/>
        <w:rPr>
          <w:sz w:val="20"/>
          <w:szCs w:val="20"/>
        </w:rPr>
      </w:pPr>
      <w:r w:rsidDel="00000000" w:rsidR="00000000" w:rsidRPr="00000000">
        <w:rPr>
          <w:rtl w:val="0"/>
        </w:rPr>
      </w:r>
    </w:p>
  </w:footnote>
  <w:footnote w:id="3">
    <w:p w:rsidR="00000000" w:rsidDel="00000000" w:rsidP="00000000" w:rsidRDefault="00000000" w:rsidRPr="00000000" w14:paraId="0000005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Sutherland, Doris V. </w:t>
      </w:r>
      <w:r w:rsidDel="00000000" w:rsidR="00000000" w:rsidRPr="00000000">
        <w:rPr>
          <w:i w:val="1"/>
          <w:sz w:val="20"/>
          <w:szCs w:val="20"/>
          <w:rtl w:val="0"/>
        </w:rPr>
        <w:t xml:space="preserve">The Mummy</w:t>
      </w:r>
      <w:r w:rsidDel="00000000" w:rsidR="00000000" w:rsidRPr="00000000">
        <w:rPr>
          <w:sz w:val="20"/>
          <w:szCs w:val="20"/>
          <w:rtl w:val="0"/>
        </w:rPr>
        <w:t xml:space="preserve">, (Liverpool University Press, 2019,. </w:t>
      </w:r>
      <w:r w:rsidDel="00000000" w:rsidR="00000000" w:rsidRPr="00000000">
        <w:rPr>
          <w:i w:val="1"/>
          <w:sz w:val="20"/>
          <w:szCs w:val="20"/>
          <w:rtl w:val="0"/>
        </w:rPr>
        <w:t xml:space="preserve">JSTOR</w:t>
      </w:r>
      <w:r w:rsidDel="00000000" w:rsidR="00000000" w:rsidRPr="00000000">
        <w:rPr>
          <w:sz w:val="20"/>
          <w:szCs w:val="20"/>
          <w:rtl w:val="0"/>
        </w:rPr>
        <w:t xml:space="preserve">, https://doi.org/10.2307/j.ctv138417x.7. Accessed 23 May 2022.) pp. 55</w:t>
      </w:r>
    </w:p>
  </w:footnote>
  <w:footnote w:id="5">
    <w:p w:rsidR="00000000" w:rsidDel="00000000" w:rsidP="00000000" w:rsidRDefault="00000000" w:rsidRPr="00000000" w14:paraId="0000005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 Hill </w:t>
      </w:r>
      <w:r w:rsidDel="00000000" w:rsidR="00000000" w:rsidRPr="00000000">
        <w:rPr>
          <w:i w:val="1"/>
          <w:sz w:val="20"/>
          <w:szCs w:val="20"/>
          <w:rtl w:val="0"/>
        </w:rPr>
        <w:t xml:space="preserve">‘This Egyptian statue is reminiscent of a family photo | Art, Explained’ </w:t>
      </w:r>
      <w:r w:rsidDel="00000000" w:rsidR="00000000" w:rsidRPr="00000000">
        <w:rPr>
          <w:sz w:val="20"/>
          <w:szCs w:val="20"/>
          <w:rtl w:val="0"/>
        </w:rPr>
        <w:t xml:space="preserve">(</w:t>
      </w:r>
      <w:hyperlink r:id="rId1">
        <w:r w:rsidDel="00000000" w:rsidR="00000000" w:rsidRPr="00000000">
          <w:rPr>
            <w:color w:val="1155cc"/>
            <w:sz w:val="20"/>
            <w:szCs w:val="20"/>
            <w:u w:val="single"/>
            <w:rtl w:val="0"/>
          </w:rPr>
          <w:t xml:space="preserve">https://www.youtube.com/watch?v=DB7jL_2bxag</w:t>
        </w:r>
      </w:hyperlink>
      <w:r w:rsidDel="00000000" w:rsidR="00000000" w:rsidRPr="00000000">
        <w:rPr>
          <w:sz w:val="20"/>
          <w:szCs w:val="20"/>
          <w:rtl w:val="0"/>
        </w:rPr>
        <w:t xml:space="preserve"> </w:t>
      </w:r>
      <w:r w:rsidDel="00000000" w:rsidR="00000000" w:rsidRPr="00000000">
        <w:rPr>
          <w:sz w:val="20"/>
          <w:szCs w:val="20"/>
          <w:rtl w:val="0"/>
        </w:rPr>
        <w:t xml:space="preserve">24 - 30) </w:t>
      </w:r>
    </w:p>
  </w:footnote>
  <w:footnote w:id="8">
    <w:p w:rsidR="00000000" w:rsidDel="00000000" w:rsidP="00000000" w:rsidRDefault="00000000" w:rsidRPr="00000000" w14:paraId="0000005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 Hill,</w:t>
      </w:r>
      <w:r w:rsidDel="00000000" w:rsidR="00000000" w:rsidRPr="00000000">
        <w:rPr>
          <w:i w:val="1"/>
          <w:sz w:val="20"/>
          <w:szCs w:val="20"/>
          <w:rtl w:val="0"/>
        </w:rPr>
        <w:t xml:space="preserve"> A Statuette of Two Men and a Boy from the Amarna Period, Part I: Face Facts for Understanding the Sculpture, and Part II: Materials Analysis and Imaging  </w:t>
      </w:r>
      <w:r w:rsidDel="00000000" w:rsidR="00000000" w:rsidRPr="00000000">
        <w:rPr>
          <w:sz w:val="20"/>
          <w:szCs w:val="20"/>
          <w:rtl w:val="0"/>
        </w:rPr>
        <w:t xml:space="preserve">p.367</w:t>
      </w:r>
    </w:p>
  </w:footnote>
  <w:footnote w:id="6">
    <w:p w:rsidR="00000000" w:rsidDel="00000000" w:rsidP="00000000" w:rsidRDefault="00000000" w:rsidRPr="00000000" w14:paraId="0000005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Uroš Matić. </w:t>
      </w:r>
      <w:r w:rsidDel="00000000" w:rsidR="00000000" w:rsidRPr="00000000">
        <w:rPr>
          <w:i w:val="1"/>
          <w:sz w:val="20"/>
          <w:szCs w:val="20"/>
          <w:rtl w:val="0"/>
        </w:rPr>
        <w:t xml:space="preserve">“Gender in Ancient Egypt: Norms, Ambiguities, and Sensualities.” Near Eastern Archaeology, vol. 79, no. 3</w:t>
      </w:r>
      <w:r w:rsidDel="00000000" w:rsidR="00000000" w:rsidRPr="00000000">
        <w:rPr>
          <w:sz w:val="20"/>
          <w:szCs w:val="20"/>
          <w:rtl w:val="0"/>
        </w:rPr>
        <w:t xml:space="preserve">, (2016,. </w:t>
      </w:r>
      <w:r w:rsidDel="00000000" w:rsidR="00000000" w:rsidRPr="00000000">
        <w:rPr>
          <w:i w:val="1"/>
          <w:sz w:val="20"/>
          <w:szCs w:val="20"/>
          <w:rtl w:val="0"/>
        </w:rPr>
        <w:t xml:space="preserve">JSTOR</w:t>
      </w:r>
      <w:r w:rsidDel="00000000" w:rsidR="00000000" w:rsidRPr="00000000">
        <w:rPr>
          <w:sz w:val="20"/>
          <w:szCs w:val="20"/>
          <w:rtl w:val="0"/>
        </w:rPr>
        <w:t xml:space="preserve">, https://doi.org/10.5615/neareastarch.79.3.0174. Accessed 23 May 2022)  pp. 174–83</w:t>
      </w:r>
    </w:p>
  </w:footnote>
  <w:footnote w:id="7">
    <w:p w:rsidR="00000000" w:rsidDel="00000000" w:rsidP="00000000" w:rsidRDefault="00000000" w:rsidRPr="00000000" w14:paraId="0000005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E McLaughlin..</w:t>
      </w:r>
      <w:hyperlink r:id="rId2">
        <w:r w:rsidDel="00000000" w:rsidR="00000000" w:rsidRPr="00000000">
          <w:rPr>
            <w:sz w:val="20"/>
            <w:szCs w:val="20"/>
            <w:rtl w:val="0"/>
          </w:rPr>
          <w:t xml:space="preserve"> </w:t>
        </w:r>
      </w:hyperlink>
      <w:hyperlink r:id="rId3">
        <w:r w:rsidDel="00000000" w:rsidR="00000000" w:rsidRPr="00000000">
          <w:rPr>
            <w:color w:val="1155cc"/>
            <w:sz w:val="20"/>
            <w:szCs w:val="20"/>
            <w:u w:val="single"/>
            <w:rtl w:val="0"/>
          </w:rPr>
          <w:t xml:space="preserve">Akhenaten &amp; Nefertiti</w:t>
        </w:r>
      </w:hyperlink>
      <w:r w:rsidDel="00000000" w:rsidR="00000000" w:rsidRPr="00000000">
        <w:rPr>
          <w:sz w:val="20"/>
          <w:szCs w:val="20"/>
          <w:rtl w:val="0"/>
        </w:rPr>
        <w:t xml:space="preserve">. </w:t>
      </w:r>
      <w:r w:rsidDel="00000000" w:rsidR="00000000" w:rsidRPr="00000000">
        <w:rPr>
          <w:i w:val="1"/>
          <w:sz w:val="20"/>
          <w:szCs w:val="20"/>
          <w:rtl w:val="0"/>
        </w:rPr>
        <w:t xml:space="preserve">World History Encyclopedia</w:t>
      </w:r>
      <w:r w:rsidDel="00000000" w:rsidR="00000000" w:rsidRPr="00000000">
        <w:rPr>
          <w:sz w:val="20"/>
          <w:szCs w:val="20"/>
          <w:rtl w:val="0"/>
        </w:rPr>
        <w:t xml:space="preserve">. Retrieved from </w:t>
      </w:r>
      <w:hyperlink r:id="rId4">
        <w:r w:rsidDel="00000000" w:rsidR="00000000" w:rsidRPr="00000000">
          <w:rPr>
            <w:color w:val="1155cc"/>
            <w:sz w:val="20"/>
            <w:szCs w:val="20"/>
            <w:u w:val="single"/>
            <w:rtl w:val="0"/>
          </w:rPr>
          <w:t xml:space="preserve">https://www.worldhistory.org/image/6919/akhenaten--nefertiti/</w:t>
        </w:r>
      </w:hyperlink>
      <w:r w:rsidDel="00000000" w:rsidR="00000000" w:rsidRPr="00000000">
        <w:rPr>
          <w:sz w:val="20"/>
          <w:szCs w:val="20"/>
          <w:rtl w:val="0"/>
        </w:rPr>
        <w:t xml:space="preserve"> (2017) </w:t>
      </w:r>
    </w:p>
    <w:p w:rsidR="00000000" w:rsidDel="00000000" w:rsidP="00000000" w:rsidRDefault="00000000" w:rsidRPr="00000000" w14:paraId="0000005D">
      <w:pPr>
        <w:spacing w:line="240" w:lineRule="auto"/>
        <w:rPr>
          <w:sz w:val="20"/>
          <w:szCs w:val="20"/>
        </w:rPr>
      </w:pPr>
      <w:r w:rsidDel="00000000" w:rsidR="00000000" w:rsidRPr="00000000">
        <w:rPr>
          <w:rtl w:val="0"/>
        </w:rPr>
      </w:r>
    </w:p>
  </w:footnote>
  <w:footnote w:id="10">
    <w:p w:rsidR="00000000" w:rsidDel="00000000" w:rsidP="00000000" w:rsidRDefault="00000000" w:rsidRPr="00000000" w14:paraId="0000005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 Hill </w:t>
      </w:r>
      <w:r w:rsidDel="00000000" w:rsidR="00000000" w:rsidRPr="00000000">
        <w:rPr>
          <w:i w:val="1"/>
          <w:sz w:val="20"/>
          <w:szCs w:val="20"/>
          <w:rtl w:val="0"/>
        </w:rPr>
        <w:t xml:space="preserve">‘This Egyptian statue is reminiscent of a family photo | Art, Explained’ </w:t>
      </w:r>
      <w:r w:rsidDel="00000000" w:rsidR="00000000" w:rsidRPr="00000000">
        <w:rPr>
          <w:sz w:val="20"/>
          <w:szCs w:val="20"/>
          <w:rtl w:val="0"/>
        </w:rPr>
        <w:t xml:space="preserve">(</w:t>
      </w:r>
      <w:hyperlink r:id="rId5">
        <w:r w:rsidDel="00000000" w:rsidR="00000000" w:rsidRPr="00000000">
          <w:rPr>
            <w:color w:val="1155cc"/>
            <w:sz w:val="20"/>
            <w:szCs w:val="20"/>
            <w:u w:val="single"/>
            <w:rtl w:val="0"/>
          </w:rPr>
          <w:t xml:space="preserve">https://www.youtube.com/watch?v=DB7jL_2bxag</w:t>
        </w:r>
      </w:hyperlink>
      <w:r w:rsidDel="00000000" w:rsidR="00000000" w:rsidRPr="00000000">
        <w:rPr>
          <w:sz w:val="20"/>
          <w:szCs w:val="20"/>
          <w:rtl w:val="0"/>
        </w:rPr>
        <w:t xml:space="preserve">,1:06 - 1:12)</w:t>
      </w:r>
    </w:p>
  </w:footnote>
  <w:footnote w:id="13">
    <w:p w:rsidR="00000000" w:rsidDel="00000000" w:rsidP="00000000" w:rsidRDefault="00000000" w:rsidRPr="00000000" w14:paraId="0000005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Pers. comm </w:t>
      </w:r>
    </w:p>
  </w:footnote>
  <w:footnote w:id="12">
    <w:p w:rsidR="00000000" w:rsidDel="00000000" w:rsidP="00000000" w:rsidRDefault="00000000" w:rsidRPr="00000000" w14:paraId="0000006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 Hill,</w:t>
      </w:r>
      <w:r w:rsidDel="00000000" w:rsidR="00000000" w:rsidRPr="00000000">
        <w:rPr>
          <w:i w:val="1"/>
          <w:sz w:val="20"/>
          <w:szCs w:val="20"/>
          <w:rtl w:val="0"/>
        </w:rPr>
        <w:t xml:space="preserve"> A Statuette of Two Men and a Boy from the Amarna Period, Part I: Face Facts for Understanding the Sculpture, and Part II: Materials Analysis and Imaging  </w:t>
      </w:r>
      <w:r w:rsidDel="00000000" w:rsidR="00000000" w:rsidRPr="00000000">
        <w:rPr>
          <w:sz w:val="20"/>
          <w:szCs w:val="20"/>
          <w:rtl w:val="0"/>
        </w:rPr>
        <w:t xml:space="preserve">p.369</w:t>
      </w:r>
    </w:p>
  </w:footnote>
  <w:footnote w:id="14">
    <w:p w:rsidR="00000000" w:rsidDel="00000000" w:rsidP="00000000" w:rsidRDefault="00000000" w:rsidRPr="00000000" w14:paraId="0000006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R.B Parkinson,.</w:t>
      </w:r>
      <w:r w:rsidDel="00000000" w:rsidR="00000000" w:rsidRPr="00000000">
        <w:rPr>
          <w:i w:val="1"/>
          <w:sz w:val="20"/>
          <w:szCs w:val="20"/>
          <w:rtl w:val="0"/>
        </w:rPr>
        <w:t xml:space="preserve"> Homosexual’ Desire and Middle Kingdom Literature, The Journal of Egyptian Archaeology</w:t>
      </w:r>
      <w:r w:rsidDel="00000000" w:rsidR="00000000" w:rsidRPr="00000000">
        <w:rPr>
          <w:sz w:val="20"/>
          <w:szCs w:val="20"/>
          <w:rtl w:val="0"/>
        </w:rPr>
        <w:t xml:space="preserve">, (vol. 81, 1995, p63. </w:t>
      </w:r>
      <w:r w:rsidDel="00000000" w:rsidR="00000000" w:rsidRPr="00000000">
        <w:rPr>
          <w:i w:val="1"/>
          <w:sz w:val="20"/>
          <w:szCs w:val="20"/>
          <w:rtl w:val="0"/>
        </w:rPr>
        <w:t xml:space="preserve">JSTOR</w:t>
      </w:r>
      <w:r w:rsidDel="00000000" w:rsidR="00000000" w:rsidRPr="00000000">
        <w:rPr>
          <w:sz w:val="20"/>
          <w:szCs w:val="20"/>
          <w:rtl w:val="0"/>
        </w:rPr>
        <w:t xml:space="preserve">, https://doi.org/10.2307/3821808. Accessed 23 May 2022.)</w:t>
      </w:r>
    </w:p>
    <w:p w:rsidR="00000000" w:rsidDel="00000000" w:rsidP="00000000" w:rsidRDefault="00000000" w:rsidRPr="00000000" w14:paraId="00000062">
      <w:pPr>
        <w:spacing w:line="240" w:lineRule="auto"/>
        <w:rPr>
          <w:sz w:val="20"/>
          <w:szCs w:val="20"/>
        </w:rPr>
      </w:pPr>
      <w:r w:rsidDel="00000000" w:rsidR="00000000" w:rsidRPr="00000000">
        <w:rPr>
          <w:rtl w:val="0"/>
        </w:rPr>
      </w:r>
    </w:p>
  </w:footnote>
  <w:footnote w:id="11">
    <w:p w:rsidR="00000000" w:rsidDel="00000000" w:rsidP="00000000" w:rsidRDefault="00000000" w:rsidRPr="00000000" w14:paraId="0000006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i w:val="1"/>
          <w:sz w:val="20"/>
          <w:szCs w:val="20"/>
          <w:rtl w:val="0"/>
        </w:rPr>
        <w:t xml:space="preserve">Statue of two men and a boy that served as a domestic icon  </w:t>
      </w:r>
      <w:r w:rsidDel="00000000" w:rsidR="00000000" w:rsidRPr="00000000">
        <w:rPr>
          <w:sz w:val="20"/>
          <w:szCs w:val="20"/>
          <w:rtl w:val="0"/>
        </w:rPr>
        <w:t xml:space="preserve">https://www.metmuseum.org/art/collection/search/544683</w:t>
      </w:r>
    </w:p>
  </w:footnote>
  <w:footnote w:id="9">
    <w:p w:rsidR="00000000" w:rsidDel="00000000" w:rsidP="00000000" w:rsidRDefault="00000000" w:rsidRPr="00000000" w14:paraId="00000064">
      <w:pPr>
        <w:spacing w:line="240" w:lineRule="auto"/>
        <w:rPr>
          <w:sz w:val="20"/>
          <w:szCs w:val="20"/>
        </w:rPr>
      </w:pPr>
      <w:r w:rsidDel="00000000" w:rsidR="00000000" w:rsidRPr="00000000">
        <w:rPr>
          <w:rStyle w:val="FootnoteReference"/>
          <w:vertAlign w:val="superscript"/>
        </w:rPr>
        <w:footnoteRef/>
      </w:r>
      <w:r w:rsidDel="00000000" w:rsidR="00000000" w:rsidRPr="00000000">
        <w:rPr>
          <w:i w:val="1"/>
          <w:sz w:val="20"/>
          <w:szCs w:val="20"/>
          <w:rtl w:val="0"/>
        </w:rPr>
        <w:t xml:space="preserve"> Ibid. </w:t>
      </w:r>
      <w:r w:rsidDel="00000000" w:rsidR="00000000" w:rsidRPr="00000000">
        <w:rPr>
          <w:sz w:val="20"/>
          <w:szCs w:val="20"/>
          <w:rtl w:val="0"/>
        </w:rPr>
        <w:t xml:space="preserve">p. 367 -368 </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11" Type="http://schemas.openxmlformats.org/officeDocument/2006/relationships/footer" Target="footer1.xml"/><Relationship Id="rId10" Type="http://schemas.openxmlformats.org/officeDocument/2006/relationships/hyperlink" Target="https://www.worldhistory.org/image/6919/akhenaten--nefertiti/" TargetMode="External"/><Relationship Id="rId9" Type="http://schemas.openxmlformats.org/officeDocument/2006/relationships/hyperlink" Target="https://www.worldhistory.org/image/6919/akhenaten--nefertiti/" TargetMode="Externa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yperlink" Target="https://www.youtube.com/watch?v=DB7jL_2bxag" TargetMode="External"/><Relationship Id="rId8" Type="http://schemas.openxmlformats.org/officeDocument/2006/relationships/hyperlink" Target="https://www.worldhistory.org/image/6919/akhenaten--nefertiti/"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www.youtube.com/watch?v=DB7jL_2bxag" TargetMode="External"/><Relationship Id="rId2" Type="http://schemas.openxmlformats.org/officeDocument/2006/relationships/hyperlink" Target="https://www.worldhistory.org/image/6919/akhenaten--nefertiti/" TargetMode="External"/><Relationship Id="rId3" Type="http://schemas.openxmlformats.org/officeDocument/2006/relationships/hyperlink" Target="https://www.worldhistory.org/image/6919/akhenaten--nefertiti/" TargetMode="External"/><Relationship Id="rId4" Type="http://schemas.openxmlformats.org/officeDocument/2006/relationships/hyperlink" Target="https://www.worldhistory.org/image/6919/akhenaten--nefertiti/" TargetMode="External"/><Relationship Id="rId5" Type="http://schemas.openxmlformats.org/officeDocument/2006/relationships/hyperlink" Target="https://www.youtube.com/watch?v=DB7jL_2bxa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