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Calibri" w:hAnsi="Calibri" w:cs="Calibri" w:eastAsia="Calibri"/>
          <w:color w:val="auto"/>
          <w:spacing w:val="0"/>
          <w:position w:val="0"/>
          <w:sz w:val="22"/>
          <w:shd w:fill="auto" w:val="clear"/>
        </w:rPr>
      </w:pPr>
      <w:r>
        <w:object w:dxaOrig="3381" w:dyaOrig="1377">
          <v:rect xmlns:o="urn:schemas-microsoft-com:office:office" xmlns:v="urn:schemas-microsoft-com:vml" id="rectole0000000000" style="width:169.050000pt;height:68.8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Calibri" w:hAnsi="Calibri" w:cs="Calibri" w:eastAsia="Calibri"/>
          <w:color w:val="auto"/>
          <w:spacing w:val="0"/>
          <w:position w:val="0"/>
          <w:sz w:val="22"/>
          <w:shd w:fill="auto" w:val="clear"/>
        </w:rPr>
      </w:pP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b/>
          <w:color w:val="auto"/>
          <w:spacing w:val="0"/>
          <w:position w:val="0"/>
          <w:sz w:val="48"/>
          <w:shd w:fill="auto" w:val="clear"/>
        </w:rPr>
        <w:t xml:space="preserve">Academic and Employability Skills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Student Name</w:t>
        <w:tab/>
        <w:t xml:space="preserve">: Andrea Kandrova</w:t>
      </w:r>
    </w:p>
    <w:p>
      <w:pPr>
        <w:spacing w:before="0" w:after="200" w:line="360"/>
        <w:ind w:right="0" w:left="0" w:firstLine="0"/>
        <w:jc w:val="both"/>
        <w:rPr>
          <w:rFonts w:ascii="Times New Roman" w:hAnsi="Times New Roman" w:cs="Times New Roman" w:eastAsia="Times New Roman"/>
          <w:color w:val="auto"/>
          <w:spacing w:val="0"/>
          <w:position w:val="0"/>
          <w:sz w:val="3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Reflection on Learning Computer Literacy Skill  </w:t>
      </w:r>
    </w:p>
    <w:p>
      <w:pPr>
        <w:spacing w:before="0" w:after="20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Computer literacy skill has broad learning opportunity and application arena which makes candidates better positioned to be employees (Osgerby, 2013). Thus, computer literacy skills are a combination of several forms e.g., knowing surfing to get desired information, usage of Microsoft Office, Graphics Designing, coding and so on. This reflection is focused on the usage of Microsoft office which is learnt through the accomplishment of academic report preparation. More specifically, the consistent development of this skill is highlighted here. The beginning of this paper is made with a description. Then the link of computer literacy skills from the educational sphere to employment is described and finally, the reflective model of Gibb is elaborated.</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Computer literacy is described as the capacity of using computer technology to perform self-tasks effectively and efficiently (Cottrell, 2019). Otherwise, the knowledge and capability of using a computer and related technologies with skills ranging from elementary to advanced problem solving are defined as computer literacy. For instance, the admission procedures of the university are held online with few browsing activities. It required me to know at least the set of computer literacy to surf to apply and get admitted to the under-graduation program. I developed this by watching YouTube and participating in workshops.</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Undergraduate study all over the world finds computer literacy skill as a fundamental part. It is so basic that almost every course in the undergraduate program requires the usage of this skill (Schmidt, 2016). Since the world has been transformed into computer-centric age, the usage of computers is being integrated with almost every place and every department of a firm. Hence, employers look for candidates who are more advanced skills as it allows employees to accomplish more tasks within a few times (Dincer, 2016). Since computers affect every facet of our lives, every country especially developing countries is now focusing more on its generation to be computer literate.</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Upon graduation, the programme is a source of practising computer literacy skills which will enable me to be efficient in the workplace and at first attract the attention of employers. If I go for applying as a business development employee, I need to have advanced skills in Microsoft PowerPoint usage for preparing presentations and presenting in front of potential customers. I, in fact, accumulated this skill from my instructors as they deliver lectures, organized information in slides or posters and created a few self templates to do tasks faster. Anyone with no such skills will keep passing hours after hours to make a presentation done. The advantage I can offer a firm with my skill of computer literacy cannot be offered by anyone with intermediate or no computer literacy skills.</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 learnt computer literacy skills through different stages which made my learning firm and accurate. It also allows learning from our surroundings and others instead of only books and classroom experiences. Gibb’s reflective cycle is a renowned cycle that guides through the learning path to become productive with a similar experience a second time. This cycle is planned in six stages i.e., description, feelings, evaluation, analysis, conclusion and action plan. The stages provided by Gibb structure the learnings I have from experiences. The framework offers an opportunity for examining experiences, allowing learning from experiences and planning things later on depending on earlier experiences gathered.</w:t>
      </w:r>
    </w:p>
    <w:p>
      <w:pPr>
        <w:keepNext w:val="true"/>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240"/>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Figure 1: Gibb’s Cycle of Reflection</w:t>
        <w:br/>
        <w:t xml:space="preserve">Source: (Markkanen et al., 2020)</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reflection model is prepared for learning from repeated experience. For instance, I face applying computer literacy skills frequently and so applying Gibb’s cycle I flourished my skill further. I followed the rules of this cycle to become better and more efficient day by day.</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Here’s the beginning of my computer literacy skill experience of mine. I was supposed to prepare a group assignment that required preparing an excel and transferring the excel into word to write a description. Finally preparing slides for presenting tasks in front of our instructor and classroom. At the outset, we divided tasks between us to prepare excels and writing explanations and preparation of two or one slides. I watched different training sessions at a stretch and revised the basics taught by the course teacher to prepare for my portion of work. We planned to merge these all together to make a group work. Just before 5 to hours of deadline I received all the separated files from my mates to merge tasks. Merging the files should have been a task of 30 minutes but it took me 3 hours as well as the involvement of other groupmates. The problem was raised during the task distribution since we did not fix a particular format, colour, style or anything. To be more specific, I am explaining the case of slides. One of my mates prepared slides on a black background and I prepared them on white background. Merging two files will either wipe out my contents or his one. Moreover, different styles cannot be kept on a slide. So, we needed to work on making tasks consistent and relatable. Whereas the usage of computer literacy skills was supposed to save time, it actually killed time and I came to learn about considerations of computer literacy skills while working in a team.</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Exploring the experience with Gibb’s model incorporates the second step as feelings. My first thought was, that the task is going to be done easily and fast since I along with my groupmates are instructed primarily by the instructor. When I saw all the files from groupmates are in different styles and will require me long boring hours to fix these. Unfortunately, it took longer than expected to fix all the style errors and make tasks consistent through files.</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next thing to learn from experience is the evaluation of what is done. The best part is that I could be skilled at computer literacy skills and could make productive and effective reports for classwork if I had done any similar work earlier. The inconsistency here became the problem and I had to work more than expected to fix the consistency issues. Besides, I had to link excel files through sheets so that excel sheets do not look separate but integrated.</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Working together is followed in academic spheres as well as in workplaces and so it is compulsory to learn applying skills in the team. During the initial division of tasks, everything went well since I was sure that tasks will be done within the deadline as well as there will be little pressure only. Finally, I could not save time since computer literacy training of myself went individual and this was the first time for me to work in a group.</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What I learned from this experience is that task distribution for computer literacy related tasks should not be made randomly. The formatting style should be analysed earlier to keep files looking coherent. Besides, the first application of this task went slow with less practice of mine. Being skilled with digital performance requires knowing lots of tips and tricks with continuous practice.</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 will be very careful during the next performance of group work for anything with computer literacy. Instead of the random division of topics, I will suggest a group rethink and divide tasks based on the usage of applications. For instance, all excel tasks can be handled by one person to keep information linked fairhandedly. In case of distribution of tasks to be done using Microsoft Word and PowerPoint, I will dictate the formatting style so that the last tasks of report preparation go easier. Another crucial thing is following the numbering and automatic contents table which we did not use this time; I will surely remember this next time.</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Being literate in computer skills has several parts to cover. Here, the usage of computer skills in the group for the first time is elaborated and I came to know lots of important clues. In group work, I came to learn from groupmates about computer skills e.g., the paint tool which can mimic a particular style on everything. Another groupmate taught me to create a table of contents easily. As a group, we came to learn to keep consistent with computer usage in group work.</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200" w:line="360"/>
        <w:ind w:right="0" w:left="0" w:firstLine="0"/>
        <w:jc w:val="both"/>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Cottrell, S., 2019. </w:t>
      </w:r>
      <w:r>
        <w:rPr>
          <w:rFonts w:ascii="Times New Roman" w:hAnsi="Times New Roman" w:cs="Times New Roman" w:eastAsia="Times New Roman"/>
          <w:i/>
          <w:color w:val="222222"/>
          <w:spacing w:val="0"/>
          <w:position w:val="0"/>
          <w:sz w:val="22"/>
          <w:shd w:fill="FFFFFF" w:val="clear"/>
        </w:rPr>
        <w:t xml:space="preserve">The study skills handbook</w:t>
      </w:r>
      <w:r>
        <w:rPr>
          <w:rFonts w:ascii="Times New Roman" w:hAnsi="Times New Roman" w:cs="Times New Roman" w:eastAsia="Times New Roman"/>
          <w:color w:val="222222"/>
          <w:spacing w:val="0"/>
          <w:position w:val="0"/>
          <w:sz w:val="22"/>
          <w:shd w:fill="FFFFFF" w:val="clear"/>
        </w:rPr>
        <w:t xml:space="preserve">. Macmillan International Higher Education.</w:t>
      </w:r>
    </w:p>
    <w:p>
      <w:pPr>
        <w:spacing w:before="0" w:after="200" w:line="360"/>
        <w:ind w:right="0" w:left="0" w:firstLine="0"/>
        <w:jc w:val="both"/>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Dincer, S., 2016. Assessing the computer literacy of university graduates. In </w:t>
      </w:r>
      <w:r>
        <w:rPr>
          <w:rFonts w:ascii="Times New Roman" w:hAnsi="Times New Roman" w:cs="Times New Roman" w:eastAsia="Times New Roman"/>
          <w:i/>
          <w:color w:val="222222"/>
          <w:spacing w:val="0"/>
          <w:position w:val="0"/>
          <w:sz w:val="22"/>
          <w:shd w:fill="FFFFFF" w:val="clear"/>
        </w:rPr>
        <w:t xml:space="preserve">The Third International Conference on Open and Flexible Education</w:t>
      </w:r>
      <w:r>
        <w:rPr>
          <w:rFonts w:ascii="Times New Roman" w:hAnsi="Times New Roman" w:cs="Times New Roman" w:eastAsia="Times New Roman"/>
          <w:color w:val="222222"/>
          <w:spacing w:val="0"/>
          <w:position w:val="0"/>
          <w:sz w:val="22"/>
          <w:shd w:fill="FFFFFF" w:val="clear"/>
        </w:rPr>
        <w:t xml:space="preserve"> (pp. 294-303).</w:t>
      </w:r>
    </w:p>
    <w:p>
      <w:pPr>
        <w:spacing w:before="0" w:after="200" w:line="360"/>
        <w:ind w:right="0" w:left="0" w:firstLine="0"/>
        <w:jc w:val="both"/>
        <w:rPr>
          <w:rFonts w:ascii="Times New Roman" w:hAnsi="Times New Roman" w:cs="Times New Roman" w:eastAsia="Times New Roman"/>
          <w:color w:val="auto"/>
          <w:spacing w:val="0"/>
          <w:position w:val="0"/>
          <w:sz w:val="22"/>
          <w:shd w:fill="FFFFFF" w:val="clear"/>
        </w:rPr>
      </w:pPr>
      <w:r>
        <w:rPr>
          <w:rFonts w:ascii="Times New Roman" w:hAnsi="Times New Roman" w:cs="Times New Roman" w:eastAsia="Times New Roman"/>
          <w:color w:val="auto"/>
          <w:spacing w:val="0"/>
          <w:position w:val="0"/>
          <w:sz w:val="22"/>
          <w:shd w:fill="FFFFFF" w:val="clear"/>
        </w:rPr>
        <w:t xml:space="preserve">Rossier, J., Ginevra, M.C., Bollmann, G. and Nota, L., 2017. The importance of career adaptability, career resilience, and employability in designing a successful life. In </w:t>
      </w:r>
      <w:r>
        <w:rPr>
          <w:rFonts w:ascii="Times New Roman" w:hAnsi="Times New Roman" w:cs="Times New Roman" w:eastAsia="Times New Roman"/>
          <w:i/>
          <w:color w:val="auto"/>
          <w:spacing w:val="0"/>
          <w:position w:val="0"/>
          <w:sz w:val="22"/>
          <w:shd w:fill="FFFFFF" w:val="clear"/>
        </w:rPr>
        <w:t xml:space="preserve">Psychology of career adaptability, employability and resilience</w:t>
      </w:r>
      <w:r>
        <w:rPr>
          <w:rFonts w:ascii="Times New Roman" w:hAnsi="Times New Roman" w:cs="Times New Roman" w:eastAsia="Times New Roman"/>
          <w:color w:val="auto"/>
          <w:spacing w:val="0"/>
          <w:position w:val="0"/>
          <w:sz w:val="22"/>
          <w:shd w:fill="FFFFFF" w:val="clear"/>
        </w:rPr>
        <w:t xml:space="preserve"> (pp. 65-82). Springer, Cham.</w:t>
      </w:r>
    </w:p>
    <w:p>
      <w:pPr>
        <w:spacing w:before="0" w:after="200" w:line="360"/>
        <w:ind w:right="0" w:left="0" w:firstLine="0"/>
        <w:jc w:val="both"/>
        <w:rPr>
          <w:rFonts w:ascii="Times New Roman" w:hAnsi="Times New Roman" w:cs="Times New Roman" w:eastAsia="Times New Roman"/>
          <w:color w:val="auto"/>
          <w:spacing w:val="0"/>
          <w:position w:val="0"/>
          <w:sz w:val="22"/>
          <w:shd w:fill="FFFFFF" w:val="clear"/>
        </w:rPr>
      </w:pPr>
      <w:r>
        <w:rPr>
          <w:rFonts w:ascii="Times New Roman" w:hAnsi="Times New Roman" w:cs="Times New Roman" w:eastAsia="Times New Roman"/>
          <w:color w:val="auto"/>
          <w:spacing w:val="0"/>
          <w:position w:val="0"/>
          <w:sz w:val="22"/>
          <w:shd w:fill="FFFFFF" w:val="clear"/>
        </w:rPr>
        <w:t xml:space="preserve">Suarta, I.M. and Suwintana, I.K., 2021, March. The new framework of employability skills for digital business. In </w:t>
      </w:r>
      <w:r>
        <w:rPr>
          <w:rFonts w:ascii="Times New Roman" w:hAnsi="Times New Roman" w:cs="Times New Roman" w:eastAsia="Times New Roman"/>
          <w:i/>
          <w:color w:val="auto"/>
          <w:spacing w:val="0"/>
          <w:position w:val="0"/>
          <w:sz w:val="22"/>
          <w:shd w:fill="FFFFFF" w:val="clear"/>
        </w:rPr>
        <w:t xml:space="preserve">Journal of Physics: Conference Series</w:t>
      </w:r>
      <w:r>
        <w:rPr>
          <w:rFonts w:ascii="Times New Roman" w:hAnsi="Times New Roman" w:cs="Times New Roman" w:eastAsia="Times New Roman"/>
          <w:color w:val="auto"/>
          <w:spacing w:val="0"/>
          <w:position w:val="0"/>
          <w:sz w:val="22"/>
          <w:shd w:fill="FFFFFF" w:val="clear"/>
        </w:rPr>
        <w:t xml:space="preserve"> (Vol. 1833, No. 1, p. 012034). IOP Publishing.</w:t>
      </w:r>
    </w:p>
    <w:p>
      <w:pPr>
        <w:spacing w:before="0" w:after="200" w:line="360"/>
        <w:ind w:right="0" w:left="0" w:firstLine="0"/>
        <w:jc w:val="both"/>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Markkanen, P., Välimäki, M., Anttila, M. and Kuuskorpi, M., 2020. A reflective cycle: Understanding challenging situations in a school setting. </w:t>
      </w:r>
      <w:r>
        <w:rPr>
          <w:rFonts w:ascii="Times New Roman" w:hAnsi="Times New Roman" w:cs="Times New Roman" w:eastAsia="Times New Roman"/>
          <w:i/>
          <w:color w:val="222222"/>
          <w:spacing w:val="0"/>
          <w:position w:val="0"/>
          <w:sz w:val="22"/>
          <w:shd w:fill="FFFFFF" w:val="clear"/>
        </w:rPr>
        <w:t xml:space="preserve">Educational Research</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62</w:t>
      </w:r>
      <w:r>
        <w:rPr>
          <w:rFonts w:ascii="Times New Roman" w:hAnsi="Times New Roman" w:cs="Times New Roman" w:eastAsia="Times New Roman"/>
          <w:color w:val="222222"/>
          <w:spacing w:val="0"/>
          <w:position w:val="0"/>
          <w:sz w:val="22"/>
          <w:shd w:fill="FFFFFF" w:val="clear"/>
        </w:rPr>
        <w:t xml:space="preserve">(1), pp.46-62.</w:t>
      </w:r>
    </w:p>
    <w:p>
      <w:pPr>
        <w:spacing w:before="0" w:after="200" w:line="360"/>
        <w:ind w:right="0" w:left="0" w:firstLine="0"/>
        <w:jc w:val="both"/>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Osgerby, J., 2013. Students' perceptions of the introduction of a blended learning environment: An exploratory case study. </w:t>
      </w:r>
      <w:r>
        <w:rPr>
          <w:rFonts w:ascii="Times New Roman" w:hAnsi="Times New Roman" w:cs="Times New Roman" w:eastAsia="Times New Roman"/>
          <w:i/>
          <w:color w:val="222222"/>
          <w:spacing w:val="0"/>
          <w:position w:val="0"/>
          <w:sz w:val="22"/>
          <w:shd w:fill="FFFFFF" w:val="clear"/>
        </w:rPr>
        <w:t xml:space="preserve">Accounting Education</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22</w:t>
      </w:r>
      <w:r>
        <w:rPr>
          <w:rFonts w:ascii="Times New Roman" w:hAnsi="Times New Roman" w:cs="Times New Roman" w:eastAsia="Times New Roman"/>
          <w:color w:val="222222"/>
          <w:spacing w:val="0"/>
          <w:position w:val="0"/>
          <w:sz w:val="22"/>
          <w:shd w:fill="FFFFFF" w:val="clear"/>
        </w:rPr>
        <w:t xml:space="preserve">(1), pp.85-99.</w:t>
      </w:r>
    </w:p>
    <w:p>
      <w:pPr>
        <w:spacing w:before="0" w:after="20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222222"/>
          <w:spacing w:val="0"/>
          <w:position w:val="0"/>
          <w:sz w:val="22"/>
          <w:shd w:fill="FFFFFF" w:val="clear"/>
        </w:rPr>
        <w:t xml:space="preserve">Schmidt, A., 2016. Increasing Computer Literacy with the BBC micro: bit. </w:t>
      </w:r>
      <w:r>
        <w:rPr>
          <w:rFonts w:ascii="Times New Roman" w:hAnsi="Times New Roman" w:cs="Times New Roman" w:eastAsia="Times New Roman"/>
          <w:i/>
          <w:color w:val="222222"/>
          <w:spacing w:val="0"/>
          <w:position w:val="0"/>
          <w:sz w:val="22"/>
          <w:shd w:fill="FFFFFF" w:val="clear"/>
        </w:rPr>
        <w:t xml:space="preserve">IEEE Pervasive Computing</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15</w:t>
      </w:r>
      <w:r>
        <w:rPr>
          <w:rFonts w:ascii="Times New Roman" w:hAnsi="Times New Roman" w:cs="Times New Roman" w:eastAsia="Times New Roman"/>
          <w:color w:val="222222"/>
          <w:spacing w:val="0"/>
          <w:position w:val="0"/>
          <w:sz w:val="22"/>
          <w:shd w:fill="FFFFFF" w:val="clear"/>
        </w:rPr>
        <w:t xml:space="preserve">(2), pp.5-7.</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