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66F8E4B6">
      <w:r w:rsidR="6847354F">
        <w:rPr/>
        <w:t xml:space="preserve">Years on years changes in CCC from 2020 to 2024 years. </w:t>
      </w:r>
    </w:p>
    <w:p w:rsidR="7ABA6603" w:rsidRDefault="7ABA6603" w14:paraId="02806227" w14:textId="42EB3BD5"/>
    <w:p w:rsidR="6847354F" w:rsidP="7ABA6603" w:rsidRDefault="6847354F" w14:paraId="3ED1447F" w14:textId="0B60BC5A">
      <w:pPr>
        <w:pStyle w:val="Heading4"/>
        <w:shd w:val="clear" w:color="auto" w:fill="FFFFFF" w:themeFill="background1"/>
        <w:spacing w:before="240" w:beforeAutospacing="off" w:after="120" w:afterAutospacing="off" w:line="420" w:lineRule="auto"/>
      </w:pPr>
      <w:r w:rsidRPr="7ABA6603" w:rsidR="6847354F">
        <w:rPr>
          <w:rFonts w:ascii="system-ui" w:hAnsi="system-ui" w:eastAsia="system-ui" w:cs="system-ui"/>
          <w:b w:val="1"/>
          <w:bCs w:val="1"/>
          <w:i w:val="0"/>
          <w:iCs w:val="0"/>
          <w:caps w:val="0"/>
          <w:smallCaps w:val="0"/>
          <w:noProof w:val="0"/>
          <w:color w:val="0F1115"/>
          <w:sz w:val="24"/>
          <w:szCs w:val="24"/>
          <w:lang w:val="en-US"/>
        </w:rPr>
        <w:t>2019/20 to 2020/21 (COVID-19 Impact)</w:t>
      </w:r>
    </w:p>
    <w:p w:rsidR="6847354F" w:rsidP="7ABA6603" w:rsidRDefault="6847354F" w14:paraId="557FE3DC" w14:textId="30611A0E">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F1115"/>
          <w:sz w:val="24"/>
          <w:szCs w:val="24"/>
          <w:lang w:val="en-US"/>
        </w:rPr>
      </w:pPr>
      <w:r w:rsidRPr="7ABA6603" w:rsidR="6847354F">
        <w:rPr>
          <w:rFonts w:ascii="system-ui" w:hAnsi="system-ui" w:eastAsia="system-ui" w:cs="system-ui"/>
          <w:b w:val="1"/>
          <w:bCs w:val="1"/>
          <w:i w:val="0"/>
          <w:iCs w:val="0"/>
          <w:caps w:val="0"/>
          <w:smallCaps w:val="0"/>
          <w:noProof w:val="0"/>
          <w:color w:val="0F1115"/>
          <w:sz w:val="24"/>
          <w:szCs w:val="24"/>
          <w:lang w:val="en-US"/>
        </w:rPr>
        <w:t>Change in CCC: -</w:t>
      </w:r>
      <w:r w:rsidRPr="7ABA6603" w:rsidR="6847354F">
        <w:rPr>
          <w:rFonts w:ascii="system-ui" w:hAnsi="system-ui" w:eastAsia="system-ui" w:cs="system-ui"/>
          <w:b w:val="1"/>
          <w:bCs w:val="1"/>
          <w:i w:val="0"/>
          <w:iCs w:val="0"/>
          <w:caps w:val="0"/>
          <w:smallCaps w:val="0"/>
          <w:noProof w:val="0"/>
          <w:color w:val="0F1115"/>
          <w:sz w:val="24"/>
          <w:szCs w:val="24"/>
          <w:lang w:val="en-US"/>
        </w:rPr>
        <w:t>52.1 days</w:t>
      </w:r>
      <w:r w:rsidRPr="7ABA6603" w:rsidR="6847354F">
        <w:rPr>
          <w:rFonts w:ascii="system-ui" w:hAnsi="system-ui" w:eastAsia="system-ui" w:cs="system-ui"/>
          <w:b w:val="1"/>
          <w:bCs w:val="1"/>
          <w:i w:val="0"/>
          <w:iCs w:val="0"/>
          <w:caps w:val="0"/>
          <w:smallCaps w:val="0"/>
          <w:noProof w:val="0"/>
          <w:color w:val="0F1115"/>
          <w:sz w:val="24"/>
          <w:szCs w:val="24"/>
          <w:lang w:val="en-US"/>
        </w:rPr>
        <w:t xml:space="preserve"> to -111.2 days (decreased by 59.1 days).</w:t>
      </w:r>
      <w:r w:rsidRPr="7ABA6603" w:rsidR="6847354F">
        <w:rPr>
          <w:rFonts w:ascii="system-ui" w:hAnsi="system-ui" w:eastAsia="system-ui" w:cs="system-ui"/>
          <w:b w:val="0"/>
          <w:bCs w:val="0"/>
          <w:i w:val="0"/>
          <w:iCs w:val="0"/>
          <w:caps w:val="0"/>
          <w:smallCaps w:val="0"/>
          <w:noProof w:val="0"/>
          <w:color w:val="0F1115"/>
          <w:sz w:val="24"/>
          <w:szCs w:val="24"/>
          <w:lang w:val="en-US"/>
        </w:rPr>
        <w:t xml:space="preserve"> This significant decrease is counter-intuitive during a pandemic effect. It is driven </w:t>
      </w:r>
      <w:r w:rsidRPr="7ABA6603" w:rsidR="6847354F">
        <w:rPr>
          <w:rFonts w:ascii="system-ui" w:hAnsi="system-ui" w:eastAsia="system-ui" w:cs="system-ui"/>
          <w:b w:val="0"/>
          <w:bCs w:val="0"/>
          <w:i w:val="0"/>
          <w:iCs w:val="0"/>
          <w:caps w:val="0"/>
          <w:smallCaps w:val="0"/>
          <w:noProof w:val="0"/>
          <w:color w:val="0F1115"/>
          <w:sz w:val="24"/>
          <w:szCs w:val="24"/>
          <w:lang w:val="en-US"/>
        </w:rPr>
        <w:t>almost entirely</w:t>
      </w:r>
      <w:r w:rsidRPr="7ABA6603" w:rsidR="6847354F">
        <w:rPr>
          <w:rFonts w:ascii="system-ui" w:hAnsi="system-ui" w:eastAsia="system-ui" w:cs="system-ui"/>
          <w:b w:val="0"/>
          <w:bCs w:val="0"/>
          <w:i w:val="0"/>
          <w:iCs w:val="0"/>
          <w:caps w:val="0"/>
          <w:smallCaps w:val="0"/>
          <w:noProof w:val="0"/>
          <w:color w:val="0F1115"/>
          <w:sz w:val="24"/>
          <w:szCs w:val="24"/>
          <w:lang w:val="en-US"/>
        </w:rPr>
        <w:t xml:space="preserve"> by a massive increase in payable days from 116.9 to 201.4.</w:t>
      </w:r>
    </w:p>
    <w:p w:rsidR="6847354F" w:rsidP="7ABA6603" w:rsidRDefault="6847354F" w14:paraId="122E38FF" w14:textId="7969474A">
      <w:pPr>
        <w:pStyle w:val="ListParagraph"/>
        <w:numPr>
          <w:ilvl w:val="0"/>
          <w:numId w:val="1"/>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F1115"/>
          <w:sz w:val="24"/>
          <w:szCs w:val="24"/>
          <w:lang w:val="en-US"/>
        </w:rPr>
      </w:pPr>
      <w:r w:rsidRPr="7ABA6603" w:rsidR="6847354F">
        <w:rPr>
          <w:rFonts w:ascii="system-ui" w:hAnsi="system-ui" w:eastAsia="system-ui" w:cs="system-ui"/>
          <w:b w:val="1"/>
          <w:bCs w:val="1"/>
          <w:i w:val="0"/>
          <w:iCs w:val="0"/>
          <w:caps w:val="0"/>
          <w:smallCaps w:val="0"/>
          <w:noProof w:val="0"/>
          <w:color w:val="0F1115"/>
          <w:sz w:val="24"/>
          <w:szCs w:val="24"/>
          <w:lang w:val="en-US"/>
        </w:rPr>
        <w:t>Reason:</w:t>
      </w:r>
      <w:r w:rsidRPr="7ABA6603" w:rsidR="6847354F">
        <w:rPr>
          <w:rFonts w:ascii="system-ui" w:hAnsi="system-ui" w:eastAsia="system-ui" w:cs="system-ui"/>
          <w:b w:val="0"/>
          <w:bCs w:val="0"/>
          <w:i w:val="0"/>
          <w:iCs w:val="0"/>
          <w:caps w:val="0"/>
          <w:smallCaps w:val="0"/>
          <w:noProof w:val="0"/>
          <w:color w:val="0F1115"/>
          <w:sz w:val="24"/>
          <w:szCs w:val="24"/>
          <w:lang w:val="en-US"/>
        </w:rPr>
        <w:t xml:space="preserve"> In FY21, revenue and COGS collapsed by over 70% due to hotel and restaurant closures on effect on covid 19 impact. However, existing trade payables from FY20 were still on the balance sheet at the start of the year. The average payable calculation for FY21 uses the opening balance (from FY20) which was higher than the much lower closing balance. This inflated the average payables, making the payable days appear dramatically higher. It is an accounting distortion from the rapid decline in trade, and does not represent a fundamental improvement in payment terms.</w:t>
      </w:r>
    </w:p>
    <w:p w:rsidR="4DB31715" w:rsidP="7ABA6603" w:rsidRDefault="4DB31715" w14:paraId="03E6E033" w14:textId="2F1C1D74">
      <w:pPr>
        <w:pStyle w:val="Heading4"/>
        <w:shd w:val="clear" w:color="auto" w:fill="FFFFFF" w:themeFill="background1"/>
        <w:spacing w:before="240" w:beforeAutospacing="off" w:after="120" w:afterAutospacing="off" w:line="420" w:lineRule="auto"/>
      </w:pPr>
      <w:r w:rsidRPr="7ABA6603" w:rsidR="4DB31715">
        <w:rPr>
          <w:rFonts w:ascii="system-ui" w:hAnsi="system-ui" w:eastAsia="system-ui" w:cs="system-ui"/>
          <w:b w:val="1"/>
          <w:bCs w:val="1"/>
          <w:i w:val="0"/>
          <w:iCs w:val="0"/>
          <w:caps w:val="0"/>
          <w:smallCaps w:val="0"/>
          <w:noProof w:val="0"/>
          <w:color w:val="0F1115"/>
          <w:sz w:val="24"/>
          <w:szCs w:val="24"/>
          <w:lang w:val="en-US"/>
        </w:rPr>
        <w:t>2020/21 to 2021/22 (Post-COVID Recovery)</w:t>
      </w:r>
    </w:p>
    <w:p w:rsidR="4DB31715" w:rsidP="7ABA6603" w:rsidRDefault="4DB31715" w14:paraId="3A330AC5" w14:textId="4468F33C">
      <w:pPr>
        <w:pStyle w:val="ListParagraph"/>
        <w:numPr>
          <w:ilvl w:val="0"/>
          <w:numId w:val="2"/>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F1115"/>
          <w:sz w:val="24"/>
          <w:szCs w:val="24"/>
          <w:lang w:val="en-US"/>
        </w:rPr>
      </w:pPr>
      <w:r w:rsidRPr="7ABA6603" w:rsidR="4DB31715">
        <w:rPr>
          <w:rFonts w:ascii="system-ui" w:hAnsi="system-ui" w:eastAsia="system-ui" w:cs="system-ui"/>
          <w:b w:val="1"/>
          <w:bCs w:val="1"/>
          <w:i w:val="0"/>
          <w:iCs w:val="0"/>
          <w:caps w:val="0"/>
          <w:smallCaps w:val="0"/>
          <w:noProof w:val="0"/>
          <w:color w:val="0F1115"/>
          <w:sz w:val="24"/>
          <w:szCs w:val="24"/>
          <w:lang w:val="en-US"/>
        </w:rPr>
        <w:t>Change in CCC: -111.2 days to -75.5 days (increased by 35.7 days).</w:t>
      </w:r>
      <w:r w:rsidRPr="7ABA6603" w:rsidR="4DB31715">
        <w:rPr>
          <w:rFonts w:ascii="system-ui" w:hAnsi="system-ui" w:eastAsia="system-ui" w:cs="system-ui"/>
          <w:b w:val="0"/>
          <w:bCs w:val="0"/>
          <w:i w:val="0"/>
          <w:iCs w:val="0"/>
          <w:caps w:val="0"/>
          <w:smallCaps w:val="0"/>
          <w:noProof w:val="0"/>
          <w:color w:val="0F1115"/>
          <w:sz w:val="24"/>
          <w:szCs w:val="24"/>
          <w:lang w:val="en-US"/>
        </w:rPr>
        <w:t xml:space="preserve"> The CCC worsened significantly (became less negative) from the pandemic low point.</w:t>
      </w:r>
    </w:p>
    <w:p w:rsidR="4DB31715" w:rsidP="7ABA6603" w:rsidRDefault="4DB31715" w14:paraId="1DFF4B38" w14:textId="39BCCD09">
      <w:pPr>
        <w:pStyle w:val="ListParagraph"/>
        <w:numPr>
          <w:ilvl w:val="0"/>
          <w:numId w:val="2"/>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F1115"/>
          <w:sz w:val="24"/>
          <w:szCs w:val="24"/>
          <w:lang w:val="en-US"/>
        </w:rPr>
      </w:pPr>
      <w:r w:rsidRPr="7ABA6603" w:rsidR="4DB31715">
        <w:rPr>
          <w:rFonts w:ascii="system-ui" w:hAnsi="system-ui" w:eastAsia="system-ui" w:cs="system-ui"/>
          <w:b w:val="1"/>
          <w:bCs w:val="1"/>
          <w:i w:val="0"/>
          <w:iCs w:val="0"/>
          <w:caps w:val="0"/>
          <w:smallCaps w:val="0"/>
          <w:noProof w:val="0"/>
          <w:color w:val="0F1115"/>
          <w:sz w:val="24"/>
          <w:szCs w:val="24"/>
          <w:lang w:val="en-US"/>
        </w:rPr>
        <w:t>Reason:</w:t>
      </w:r>
      <w:r w:rsidRPr="7ABA6603" w:rsidR="4DB31715">
        <w:rPr>
          <w:rFonts w:ascii="system-ui" w:hAnsi="system-ui" w:eastAsia="system-ui" w:cs="system-ui"/>
          <w:b w:val="0"/>
          <w:bCs w:val="0"/>
          <w:i w:val="0"/>
          <w:iCs w:val="0"/>
          <w:caps w:val="0"/>
          <w:smallCaps w:val="0"/>
          <w:noProof w:val="0"/>
          <w:color w:val="0F1115"/>
          <w:sz w:val="24"/>
          <w:szCs w:val="24"/>
          <w:lang w:val="en-US"/>
        </w:rPr>
        <w:t xml:space="preserve"> This is the mirror image of the previous year. As the business reopened, revenues and COGS recovered strongly. The average trade payables calculation was now based on a low opening balance (from FY21) against a much higher closing balance (from FY22). This led to a </w:t>
      </w:r>
      <w:r w:rsidRPr="7ABA6603" w:rsidR="4DB31715">
        <w:rPr>
          <w:rFonts w:ascii="system-ui" w:hAnsi="system-ui" w:eastAsia="system-ui" w:cs="system-ui"/>
          <w:b w:val="1"/>
          <w:bCs w:val="1"/>
          <w:i w:val="0"/>
          <w:iCs w:val="0"/>
          <w:caps w:val="0"/>
          <w:smallCaps w:val="0"/>
          <w:noProof w:val="0"/>
          <w:color w:val="0F1115"/>
          <w:sz w:val="24"/>
          <w:szCs w:val="24"/>
          <w:lang w:val="en-US"/>
        </w:rPr>
        <w:t>normalisation of payable days</w:t>
      </w:r>
      <w:r w:rsidRPr="7ABA6603" w:rsidR="4DB31715">
        <w:rPr>
          <w:rFonts w:ascii="system-ui" w:hAnsi="system-ui" w:eastAsia="system-ui" w:cs="system-ui"/>
          <w:b w:val="0"/>
          <w:bCs w:val="0"/>
          <w:i w:val="0"/>
          <w:iCs w:val="0"/>
          <w:caps w:val="0"/>
          <w:smallCaps w:val="0"/>
          <w:noProof w:val="0"/>
          <w:color w:val="0F1115"/>
          <w:sz w:val="24"/>
          <w:szCs w:val="24"/>
          <w:lang w:val="en-US"/>
        </w:rPr>
        <w:t xml:space="preserve"> downwards (from 201.4 to 121.9). Inventory days also fell as normal trading resumed.</w:t>
      </w:r>
    </w:p>
    <w:p w:rsidR="4DB31715" w:rsidP="7ABA6603" w:rsidRDefault="4DB31715" w14:paraId="3A99B67F" w14:textId="65169699">
      <w:pPr>
        <w:pStyle w:val="Heading4"/>
        <w:shd w:val="clear" w:color="auto" w:fill="FFFFFF" w:themeFill="background1"/>
        <w:spacing w:before="240" w:beforeAutospacing="off" w:after="120" w:afterAutospacing="off" w:line="420" w:lineRule="auto"/>
      </w:pPr>
      <w:r w:rsidRPr="7ABA6603" w:rsidR="4DB31715">
        <w:rPr>
          <w:rFonts w:ascii="system-ui" w:hAnsi="system-ui" w:eastAsia="system-ui" w:cs="system-ui"/>
          <w:b w:val="1"/>
          <w:bCs w:val="1"/>
          <w:i w:val="0"/>
          <w:iCs w:val="0"/>
          <w:caps w:val="0"/>
          <w:smallCaps w:val="0"/>
          <w:noProof w:val="0"/>
          <w:color w:val="0F1115"/>
          <w:sz w:val="24"/>
          <w:szCs w:val="24"/>
          <w:lang w:val="en-US"/>
        </w:rPr>
        <w:t>2021/22 to 2022/23</w:t>
      </w:r>
    </w:p>
    <w:p w:rsidR="4DB31715" w:rsidP="7ABA6603" w:rsidRDefault="4DB31715" w14:paraId="3D637596" w14:textId="0C0EF94D">
      <w:pPr>
        <w:pStyle w:val="ListParagraph"/>
        <w:numPr>
          <w:ilvl w:val="0"/>
          <w:numId w:val="3"/>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F1115"/>
          <w:sz w:val="24"/>
          <w:szCs w:val="24"/>
          <w:lang w:val="en-US"/>
        </w:rPr>
      </w:pPr>
      <w:r w:rsidRPr="7ABA6603" w:rsidR="4DB31715">
        <w:rPr>
          <w:rFonts w:ascii="system-ui" w:hAnsi="system-ui" w:eastAsia="system-ui" w:cs="system-ui"/>
          <w:b w:val="1"/>
          <w:bCs w:val="1"/>
          <w:i w:val="0"/>
          <w:iCs w:val="0"/>
          <w:caps w:val="0"/>
          <w:smallCaps w:val="0"/>
          <w:noProof w:val="0"/>
          <w:color w:val="0F1115"/>
          <w:sz w:val="24"/>
          <w:szCs w:val="24"/>
          <w:lang w:val="en-US"/>
        </w:rPr>
        <w:t>Change in CCC: -75.5 days to -95.4 days (decreased by 19.9 days).</w:t>
      </w:r>
      <w:r w:rsidRPr="7ABA6603" w:rsidR="4DB31715">
        <w:rPr>
          <w:rFonts w:ascii="system-ui" w:hAnsi="system-ui" w:eastAsia="system-ui" w:cs="system-ui"/>
          <w:b w:val="0"/>
          <w:bCs w:val="0"/>
          <w:i w:val="0"/>
          <w:iCs w:val="0"/>
          <w:caps w:val="0"/>
          <w:smallCaps w:val="0"/>
          <w:noProof w:val="0"/>
          <w:color w:val="0F1115"/>
          <w:sz w:val="24"/>
          <w:szCs w:val="24"/>
          <w:lang w:val="en-US"/>
        </w:rPr>
        <w:t xml:space="preserve"> The CCC improved again as the business continued to grow.</w:t>
      </w:r>
    </w:p>
    <w:p w:rsidR="4DB31715" w:rsidP="7ABA6603" w:rsidRDefault="4DB31715" w14:paraId="41AF1D31" w14:textId="5614F096">
      <w:pPr>
        <w:pStyle w:val="ListParagraph"/>
        <w:numPr>
          <w:ilvl w:val="0"/>
          <w:numId w:val="3"/>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F1115"/>
          <w:sz w:val="24"/>
          <w:szCs w:val="24"/>
          <w:lang w:val="en-US"/>
        </w:rPr>
      </w:pPr>
      <w:r w:rsidRPr="7ABA6603" w:rsidR="4DB31715">
        <w:rPr>
          <w:rFonts w:ascii="system-ui" w:hAnsi="system-ui" w:eastAsia="system-ui" w:cs="system-ui"/>
          <w:b w:val="1"/>
          <w:bCs w:val="1"/>
          <w:i w:val="0"/>
          <w:iCs w:val="0"/>
          <w:caps w:val="0"/>
          <w:smallCaps w:val="0"/>
          <w:noProof w:val="0"/>
          <w:color w:val="0F1115"/>
          <w:sz w:val="24"/>
          <w:szCs w:val="24"/>
          <w:lang w:val="en-US"/>
        </w:rPr>
        <w:t>Reason:</w:t>
      </w:r>
      <w:r w:rsidRPr="7ABA6603" w:rsidR="4DB31715">
        <w:rPr>
          <w:rFonts w:ascii="system-ui" w:hAnsi="system-ui" w:eastAsia="system-ui" w:cs="system-ui"/>
          <w:b w:val="0"/>
          <w:bCs w:val="0"/>
          <w:i w:val="0"/>
          <w:iCs w:val="0"/>
          <w:caps w:val="0"/>
          <w:smallCaps w:val="0"/>
          <w:noProof w:val="0"/>
          <w:color w:val="0F1115"/>
          <w:sz w:val="24"/>
          <w:szCs w:val="24"/>
          <w:lang w:val="en-US"/>
        </w:rPr>
        <w:t xml:space="preserve"> Revenue and COGS grew further. Payable days increased to 134.6 days, likely due to improved payment terms or a build-up of trade payables from increased activity and inflation (higher invoices). This resulted in a more efficient cycle.</w:t>
      </w:r>
    </w:p>
    <w:p w:rsidR="4DB31715" w:rsidP="7ABA6603" w:rsidRDefault="4DB31715" w14:paraId="57D40028" w14:textId="7780BE66">
      <w:pPr>
        <w:pStyle w:val="Heading4"/>
        <w:shd w:val="clear" w:color="auto" w:fill="FFFFFF" w:themeFill="background1"/>
        <w:spacing w:before="240" w:beforeAutospacing="off" w:after="120" w:afterAutospacing="off" w:line="420" w:lineRule="auto"/>
      </w:pPr>
      <w:r w:rsidRPr="7ABA6603" w:rsidR="4DB31715">
        <w:rPr>
          <w:rFonts w:ascii="system-ui" w:hAnsi="system-ui" w:eastAsia="system-ui" w:cs="system-ui"/>
          <w:b w:val="1"/>
          <w:bCs w:val="1"/>
          <w:i w:val="0"/>
          <w:iCs w:val="0"/>
          <w:caps w:val="0"/>
          <w:smallCaps w:val="0"/>
          <w:noProof w:val="0"/>
          <w:color w:val="0F1115"/>
          <w:sz w:val="24"/>
          <w:szCs w:val="24"/>
          <w:lang w:val="en-US"/>
        </w:rPr>
        <w:t>2022/23 to 2023/24</w:t>
      </w:r>
    </w:p>
    <w:p w:rsidR="4DB31715" w:rsidP="7ABA6603" w:rsidRDefault="4DB31715" w14:paraId="7F6CA863" w14:textId="3B820F10">
      <w:pPr>
        <w:pStyle w:val="ListParagraph"/>
        <w:numPr>
          <w:ilvl w:val="0"/>
          <w:numId w:val="4"/>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F1115"/>
          <w:sz w:val="24"/>
          <w:szCs w:val="24"/>
          <w:lang w:val="en-US"/>
        </w:rPr>
      </w:pPr>
      <w:r w:rsidRPr="7ABA6603" w:rsidR="4DB31715">
        <w:rPr>
          <w:rFonts w:ascii="system-ui" w:hAnsi="system-ui" w:eastAsia="system-ui" w:cs="system-ui"/>
          <w:b w:val="1"/>
          <w:bCs w:val="1"/>
          <w:i w:val="0"/>
          <w:iCs w:val="0"/>
          <w:caps w:val="0"/>
          <w:smallCaps w:val="0"/>
          <w:noProof w:val="0"/>
          <w:color w:val="0F1115"/>
          <w:sz w:val="24"/>
          <w:szCs w:val="24"/>
          <w:lang w:val="en-US"/>
        </w:rPr>
        <w:t>Change in CCC: -95.4 days to -97.0 days (decreased by 1.6 days).</w:t>
      </w:r>
      <w:r w:rsidRPr="7ABA6603" w:rsidR="4DB31715">
        <w:rPr>
          <w:rFonts w:ascii="system-ui" w:hAnsi="system-ui" w:eastAsia="system-ui" w:cs="system-ui"/>
          <w:b w:val="0"/>
          <w:bCs w:val="0"/>
          <w:i w:val="0"/>
          <w:iCs w:val="0"/>
          <w:caps w:val="0"/>
          <w:smallCaps w:val="0"/>
          <w:noProof w:val="0"/>
          <w:color w:val="0F1115"/>
          <w:sz w:val="24"/>
          <w:szCs w:val="24"/>
          <w:lang w:val="en-US"/>
        </w:rPr>
        <w:t xml:space="preserve"> The CCC remained relatively stable and strong.</w:t>
      </w:r>
    </w:p>
    <w:p w:rsidR="4DB31715" w:rsidP="7ABA6603" w:rsidRDefault="4DB31715" w14:paraId="6868EBE8" w14:textId="392EC449">
      <w:pPr>
        <w:pStyle w:val="ListParagraph"/>
        <w:numPr>
          <w:ilvl w:val="0"/>
          <w:numId w:val="4"/>
        </w:numPr>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F1115"/>
          <w:sz w:val="24"/>
          <w:szCs w:val="24"/>
          <w:lang w:val="en-US"/>
        </w:rPr>
      </w:pPr>
      <w:r w:rsidRPr="7ABA6603" w:rsidR="4DB31715">
        <w:rPr>
          <w:rFonts w:ascii="system-ui" w:hAnsi="system-ui" w:eastAsia="system-ui" w:cs="system-ui"/>
          <w:b w:val="1"/>
          <w:bCs w:val="1"/>
          <w:i w:val="0"/>
          <w:iCs w:val="0"/>
          <w:caps w:val="0"/>
          <w:smallCaps w:val="0"/>
          <w:noProof w:val="0"/>
          <w:color w:val="0F1115"/>
          <w:sz w:val="24"/>
          <w:szCs w:val="24"/>
          <w:lang w:val="en-US"/>
        </w:rPr>
        <w:t>Reason:</w:t>
      </w:r>
      <w:r w:rsidRPr="7ABA6603" w:rsidR="4DB31715">
        <w:rPr>
          <w:rFonts w:ascii="system-ui" w:hAnsi="system-ui" w:eastAsia="system-ui" w:cs="system-ui"/>
          <w:b w:val="0"/>
          <w:bCs w:val="0"/>
          <w:i w:val="0"/>
          <w:iCs w:val="0"/>
          <w:caps w:val="0"/>
          <w:smallCaps w:val="0"/>
          <w:noProof w:val="0"/>
          <w:color w:val="0F1115"/>
          <w:sz w:val="24"/>
          <w:szCs w:val="24"/>
          <w:lang w:val="en-US"/>
        </w:rPr>
        <w:t xml:space="preserve"> All components remained steady. Inventory days stayed flat at ~31 days, and payable days held steady at ~134 days. This indicates Whitbread has achieved a mature and highly efficient cash management structure following the volatility of the pandemic years.</w:t>
      </w:r>
    </w:p>
    <w:p w:rsidR="7ABA6603" w:rsidP="7ABA6603" w:rsidRDefault="7ABA6603" w14:paraId="62303657" w14:textId="55E67AB8">
      <w:pPr>
        <w:pStyle w:val="Normal"/>
        <w:shd w:val="clear" w:color="auto" w:fill="FFFFFF" w:themeFill="background1"/>
        <w:spacing w:before="240" w:beforeAutospacing="off" w:after="240" w:afterAutospacing="off"/>
        <w:ind w:left="0"/>
        <w:rPr>
          <w:rFonts w:ascii="system-ui" w:hAnsi="system-ui" w:eastAsia="system-ui" w:cs="system-ui"/>
          <w:b w:val="0"/>
          <w:bCs w:val="0"/>
          <w:i w:val="0"/>
          <w:iCs w:val="0"/>
          <w:caps w:val="0"/>
          <w:smallCaps w:val="0"/>
          <w:noProof w:val="0"/>
          <w:color w:val="0F1115"/>
          <w:sz w:val="24"/>
          <w:szCs w:val="24"/>
          <w:lang w:val="en-US"/>
        </w:rPr>
      </w:pPr>
    </w:p>
    <w:p w:rsidR="7ABA6603" w:rsidRDefault="7ABA6603" w14:paraId="157D603C" w14:textId="4766933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3d28e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0c9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4ac0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c91d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195D43"/>
    <w:rsid w:val="09B7F809"/>
    <w:rsid w:val="256474E4"/>
    <w:rsid w:val="2C6367D0"/>
    <w:rsid w:val="4880F943"/>
    <w:rsid w:val="4DB31715"/>
    <w:rsid w:val="6847354F"/>
    <w:rsid w:val="68B01387"/>
    <w:rsid w:val="72195D43"/>
    <w:rsid w:val="7ABA6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FAC27"/>
  <w15:chartTrackingRefBased/>
  <w15:docId w15:val="{DE70198D-6CEE-4105-A09B-BCDC0A094E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4">
    <w:uiPriority w:val="9"/>
    <w:name w:val="heading 4"/>
    <w:basedOn w:val="Normal"/>
    <w:next w:val="Normal"/>
    <w:unhideWhenUsed/>
    <w:qFormat/>
    <w:rsid w:val="7ABA660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7ABA660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0806ead5dc24b7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2026-07-28T09:40:34.4143942Z</dcterms:created>
  <dcterms:modified xsi:type="dcterms:W3CDTF">2026-07-28T09:43:30.3298452Z</dcterms:modified>
  <dc:creator>Akashkumar Harshadkumar Patel (2538074)</dc:creator>
  <lastModifiedBy>Akashkumar Harshadkumar Patel (2538074)</lastModifiedBy>
</coreProperties>
</file>