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6987AC" w14:textId="77777777" w:rsidR="00643529" w:rsidRDefault="00643529" w:rsidP="00643529">
      <w:pPr>
        <w:spacing w:line="360" w:lineRule="auto"/>
        <w:jc w:val="both"/>
        <w:rPr>
          <w:rFonts w:ascii="Arial" w:hAnsi="Arial" w:cs="Arial"/>
          <w:b/>
          <w:bCs/>
        </w:rPr>
      </w:pPr>
    </w:p>
    <w:p w14:paraId="1B7DB1D4" w14:textId="20FBBBAC" w:rsidR="00643529" w:rsidRDefault="00643529" w:rsidP="00643529">
      <w:pPr>
        <w:spacing w:line="360" w:lineRule="auto"/>
        <w:jc w:val="both"/>
        <w:rPr>
          <w:rFonts w:ascii="Arial" w:hAnsi="Arial" w:cs="Arial"/>
          <w:b/>
          <w:bCs/>
        </w:rPr>
      </w:pPr>
      <w:r>
        <w:rPr>
          <w:rFonts w:ascii="Arial" w:hAnsi="Arial" w:cs="Arial"/>
          <w:b/>
          <w:bCs/>
        </w:rPr>
        <w:t xml:space="preserve">Name: Lauren Garraghan </w:t>
      </w:r>
    </w:p>
    <w:p w14:paraId="593A3A0C" w14:textId="17500ED8" w:rsidR="00643529" w:rsidRDefault="00643529" w:rsidP="00643529">
      <w:pPr>
        <w:spacing w:line="360" w:lineRule="auto"/>
        <w:jc w:val="both"/>
        <w:rPr>
          <w:rFonts w:ascii="Arial" w:hAnsi="Arial" w:cs="Arial"/>
          <w:b/>
          <w:bCs/>
        </w:rPr>
      </w:pPr>
      <w:r>
        <w:rPr>
          <w:rFonts w:ascii="Arial" w:hAnsi="Arial" w:cs="Arial"/>
          <w:b/>
          <w:bCs/>
        </w:rPr>
        <w:t>Student number: 2212964</w:t>
      </w:r>
    </w:p>
    <w:p w14:paraId="47D7A43D" w14:textId="77777777" w:rsidR="00643529" w:rsidRDefault="00643529" w:rsidP="00643529">
      <w:pPr>
        <w:spacing w:line="360" w:lineRule="auto"/>
        <w:jc w:val="both"/>
        <w:rPr>
          <w:rFonts w:ascii="Arial" w:hAnsi="Arial" w:cs="Arial"/>
          <w:b/>
          <w:bCs/>
        </w:rPr>
      </w:pPr>
      <w:r w:rsidRPr="00643529">
        <w:rPr>
          <w:rFonts w:ascii="Arial" w:hAnsi="Arial" w:cs="Arial"/>
          <w:b/>
          <w:bCs/>
        </w:rPr>
        <w:t xml:space="preserve">Module: Sustainable Hospitality &amp; Tourism Management </w:t>
      </w:r>
    </w:p>
    <w:p w14:paraId="05559FF1" w14:textId="601CB1A3" w:rsidR="00643529" w:rsidRDefault="00643529" w:rsidP="00643529">
      <w:pPr>
        <w:spacing w:line="360" w:lineRule="auto"/>
        <w:jc w:val="both"/>
        <w:rPr>
          <w:rFonts w:ascii="Arial" w:hAnsi="Arial" w:cs="Arial"/>
          <w:b/>
          <w:bCs/>
        </w:rPr>
      </w:pPr>
      <w:r w:rsidRPr="00643529">
        <w:rPr>
          <w:rFonts w:ascii="Arial" w:hAnsi="Arial" w:cs="Arial"/>
          <w:b/>
          <w:bCs/>
        </w:rPr>
        <w:t>Module code: BMIH5006</w:t>
      </w:r>
    </w:p>
    <w:p w14:paraId="40BFBD1E" w14:textId="6F105374" w:rsidR="00E3245F" w:rsidRDefault="00E3245F" w:rsidP="00643529">
      <w:pPr>
        <w:spacing w:line="360" w:lineRule="auto"/>
        <w:jc w:val="both"/>
        <w:rPr>
          <w:rFonts w:ascii="Arial" w:hAnsi="Arial" w:cs="Arial"/>
          <w:b/>
          <w:bCs/>
        </w:rPr>
      </w:pPr>
      <w:r>
        <w:rPr>
          <w:rFonts w:ascii="Arial" w:hAnsi="Arial" w:cs="Arial"/>
          <w:b/>
          <w:bCs/>
        </w:rPr>
        <w:t xml:space="preserve">Lecturer: Huw Thomas </w:t>
      </w:r>
    </w:p>
    <w:p w14:paraId="04D8DFEC" w14:textId="77777777" w:rsidR="00643529" w:rsidRDefault="00643529" w:rsidP="00643529">
      <w:pPr>
        <w:spacing w:line="360" w:lineRule="auto"/>
        <w:jc w:val="both"/>
        <w:rPr>
          <w:rFonts w:ascii="Arial" w:hAnsi="Arial" w:cs="Arial"/>
          <w:b/>
          <w:bCs/>
        </w:rPr>
      </w:pPr>
    </w:p>
    <w:p w14:paraId="6B4B7E28" w14:textId="77777777" w:rsidR="00643529" w:rsidRDefault="00643529" w:rsidP="00643529">
      <w:pPr>
        <w:spacing w:line="360" w:lineRule="auto"/>
        <w:jc w:val="both"/>
        <w:rPr>
          <w:rFonts w:ascii="Arial" w:hAnsi="Arial" w:cs="Arial"/>
          <w:b/>
          <w:bCs/>
        </w:rPr>
      </w:pPr>
    </w:p>
    <w:p w14:paraId="3BB97887" w14:textId="77777777" w:rsidR="00643529" w:rsidRDefault="00643529" w:rsidP="00643529">
      <w:pPr>
        <w:spacing w:line="360" w:lineRule="auto"/>
        <w:jc w:val="both"/>
        <w:rPr>
          <w:rFonts w:ascii="Arial" w:hAnsi="Arial" w:cs="Arial"/>
          <w:b/>
          <w:bCs/>
        </w:rPr>
      </w:pPr>
    </w:p>
    <w:p w14:paraId="3ADABAD5" w14:textId="77777777" w:rsidR="00643529" w:rsidRDefault="00643529" w:rsidP="00643529">
      <w:pPr>
        <w:spacing w:line="360" w:lineRule="auto"/>
        <w:jc w:val="both"/>
        <w:rPr>
          <w:rFonts w:ascii="Arial" w:hAnsi="Arial" w:cs="Arial"/>
          <w:b/>
          <w:bCs/>
        </w:rPr>
      </w:pPr>
    </w:p>
    <w:p w14:paraId="16293694" w14:textId="77777777" w:rsidR="00643529" w:rsidRDefault="00643529" w:rsidP="00643529">
      <w:pPr>
        <w:spacing w:line="360" w:lineRule="auto"/>
        <w:jc w:val="both"/>
        <w:rPr>
          <w:rFonts w:ascii="Arial" w:hAnsi="Arial" w:cs="Arial"/>
          <w:b/>
          <w:bCs/>
        </w:rPr>
      </w:pPr>
    </w:p>
    <w:p w14:paraId="44E216D8" w14:textId="77777777" w:rsidR="00643529" w:rsidRDefault="00643529" w:rsidP="00643529">
      <w:pPr>
        <w:spacing w:line="360" w:lineRule="auto"/>
        <w:jc w:val="both"/>
        <w:rPr>
          <w:rFonts w:ascii="Arial" w:hAnsi="Arial" w:cs="Arial"/>
          <w:b/>
          <w:bCs/>
        </w:rPr>
      </w:pPr>
    </w:p>
    <w:p w14:paraId="1D4EE714" w14:textId="77777777" w:rsidR="00643529" w:rsidRDefault="00643529" w:rsidP="00643529">
      <w:pPr>
        <w:spacing w:line="360" w:lineRule="auto"/>
        <w:jc w:val="both"/>
        <w:rPr>
          <w:rFonts w:ascii="Arial" w:hAnsi="Arial" w:cs="Arial"/>
          <w:b/>
          <w:bCs/>
        </w:rPr>
      </w:pPr>
    </w:p>
    <w:p w14:paraId="60BBD436" w14:textId="77777777" w:rsidR="00643529" w:rsidRDefault="00643529" w:rsidP="00643529">
      <w:pPr>
        <w:spacing w:line="360" w:lineRule="auto"/>
        <w:jc w:val="both"/>
        <w:rPr>
          <w:rFonts w:ascii="Arial" w:hAnsi="Arial" w:cs="Arial"/>
          <w:b/>
          <w:bCs/>
        </w:rPr>
      </w:pPr>
    </w:p>
    <w:p w14:paraId="5AEA3F3D" w14:textId="77777777" w:rsidR="00643529" w:rsidRDefault="00643529" w:rsidP="00643529">
      <w:pPr>
        <w:spacing w:line="360" w:lineRule="auto"/>
        <w:jc w:val="both"/>
        <w:rPr>
          <w:rFonts w:ascii="Arial" w:hAnsi="Arial" w:cs="Arial"/>
          <w:b/>
          <w:bCs/>
        </w:rPr>
      </w:pPr>
    </w:p>
    <w:p w14:paraId="0DB01AB0" w14:textId="77777777" w:rsidR="00643529" w:rsidRDefault="00643529" w:rsidP="00643529">
      <w:pPr>
        <w:spacing w:line="360" w:lineRule="auto"/>
        <w:jc w:val="both"/>
        <w:rPr>
          <w:rFonts w:ascii="Arial" w:hAnsi="Arial" w:cs="Arial"/>
          <w:b/>
          <w:bCs/>
        </w:rPr>
      </w:pPr>
    </w:p>
    <w:p w14:paraId="6C77921C" w14:textId="77777777" w:rsidR="00643529" w:rsidRDefault="00643529" w:rsidP="00643529">
      <w:pPr>
        <w:spacing w:line="360" w:lineRule="auto"/>
        <w:jc w:val="both"/>
        <w:rPr>
          <w:rFonts w:ascii="Arial" w:hAnsi="Arial" w:cs="Arial"/>
          <w:b/>
          <w:bCs/>
        </w:rPr>
      </w:pPr>
    </w:p>
    <w:p w14:paraId="5AE55278" w14:textId="77777777" w:rsidR="00643529" w:rsidRDefault="00643529" w:rsidP="00643529">
      <w:pPr>
        <w:spacing w:line="360" w:lineRule="auto"/>
        <w:jc w:val="both"/>
        <w:rPr>
          <w:rFonts w:ascii="Arial" w:hAnsi="Arial" w:cs="Arial"/>
          <w:b/>
          <w:bCs/>
        </w:rPr>
      </w:pPr>
    </w:p>
    <w:p w14:paraId="627D9762" w14:textId="77777777" w:rsidR="00643529" w:rsidRDefault="00643529" w:rsidP="00643529">
      <w:pPr>
        <w:spacing w:line="360" w:lineRule="auto"/>
        <w:jc w:val="both"/>
        <w:rPr>
          <w:rFonts w:ascii="Arial" w:hAnsi="Arial" w:cs="Arial"/>
          <w:b/>
          <w:bCs/>
        </w:rPr>
      </w:pPr>
    </w:p>
    <w:p w14:paraId="42542029" w14:textId="77777777" w:rsidR="00643529" w:rsidRDefault="00643529" w:rsidP="00643529">
      <w:pPr>
        <w:spacing w:line="360" w:lineRule="auto"/>
        <w:jc w:val="both"/>
        <w:rPr>
          <w:rFonts w:ascii="Arial" w:hAnsi="Arial" w:cs="Arial"/>
          <w:b/>
          <w:bCs/>
        </w:rPr>
      </w:pPr>
    </w:p>
    <w:p w14:paraId="51E94A0C" w14:textId="77777777" w:rsidR="00643529" w:rsidRDefault="00643529" w:rsidP="00643529">
      <w:pPr>
        <w:spacing w:line="360" w:lineRule="auto"/>
        <w:jc w:val="both"/>
        <w:rPr>
          <w:rFonts w:ascii="Arial" w:hAnsi="Arial" w:cs="Arial"/>
          <w:b/>
          <w:bCs/>
        </w:rPr>
      </w:pPr>
    </w:p>
    <w:p w14:paraId="5E0E7BBE" w14:textId="77777777" w:rsidR="00643529" w:rsidRDefault="00643529" w:rsidP="00643529">
      <w:pPr>
        <w:spacing w:line="360" w:lineRule="auto"/>
        <w:jc w:val="both"/>
        <w:rPr>
          <w:rFonts w:ascii="Arial" w:hAnsi="Arial" w:cs="Arial"/>
          <w:b/>
          <w:bCs/>
        </w:rPr>
      </w:pPr>
    </w:p>
    <w:p w14:paraId="6A3F9051" w14:textId="77777777" w:rsidR="00643529" w:rsidRDefault="00643529" w:rsidP="00643529">
      <w:pPr>
        <w:spacing w:line="360" w:lineRule="auto"/>
        <w:jc w:val="both"/>
        <w:rPr>
          <w:rFonts w:ascii="Arial" w:hAnsi="Arial" w:cs="Arial"/>
          <w:b/>
          <w:bCs/>
        </w:rPr>
      </w:pPr>
    </w:p>
    <w:p w14:paraId="766EC7A4" w14:textId="77777777" w:rsidR="00643529" w:rsidRDefault="00643529" w:rsidP="00643529">
      <w:pPr>
        <w:spacing w:line="360" w:lineRule="auto"/>
        <w:jc w:val="both"/>
        <w:rPr>
          <w:rFonts w:ascii="Arial" w:hAnsi="Arial" w:cs="Arial"/>
          <w:b/>
          <w:bCs/>
        </w:rPr>
      </w:pPr>
    </w:p>
    <w:p w14:paraId="4AA52F1C" w14:textId="77777777" w:rsidR="00643529" w:rsidRDefault="00643529" w:rsidP="00643529">
      <w:pPr>
        <w:spacing w:line="360" w:lineRule="auto"/>
        <w:jc w:val="both"/>
        <w:rPr>
          <w:rFonts w:ascii="Arial" w:hAnsi="Arial" w:cs="Arial"/>
          <w:b/>
          <w:bCs/>
        </w:rPr>
      </w:pPr>
    </w:p>
    <w:p w14:paraId="18F8616D" w14:textId="77777777" w:rsidR="00643529" w:rsidRDefault="00643529" w:rsidP="00643529">
      <w:pPr>
        <w:spacing w:line="360" w:lineRule="auto"/>
        <w:jc w:val="both"/>
        <w:rPr>
          <w:rFonts w:ascii="Arial" w:hAnsi="Arial" w:cs="Arial"/>
          <w:b/>
          <w:bCs/>
        </w:rPr>
      </w:pPr>
    </w:p>
    <w:p w14:paraId="21BD8899" w14:textId="77777777" w:rsidR="00643529" w:rsidRDefault="00643529" w:rsidP="00643529">
      <w:pPr>
        <w:spacing w:line="360" w:lineRule="auto"/>
        <w:jc w:val="both"/>
        <w:rPr>
          <w:rFonts w:ascii="Arial" w:hAnsi="Arial" w:cs="Arial"/>
          <w:b/>
          <w:bCs/>
        </w:rPr>
      </w:pPr>
    </w:p>
    <w:p w14:paraId="24E4AD33" w14:textId="77777777" w:rsidR="00643529" w:rsidRDefault="00643529" w:rsidP="00643529">
      <w:pPr>
        <w:spacing w:line="360" w:lineRule="auto"/>
        <w:jc w:val="both"/>
        <w:rPr>
          <w:rFonts w:ascii="Arial" w:hAnsi="Arial" w:cs="Arial"/>
          <w:b/>
          <w:bCs/>
        </w:rPr>
      </w:pPr>
    </w:p>
    <w:p w14:paraId="0C7D20DF" w14:textId="438F3372" w:rsidR="00EB163C" w:rsidRPr="00DB2297" w:rsidRDefault="00EB163C" w:rsidP="00643529">
      <w:pPr>
        <w:spacing w:line="360" w:lineRule="auto"/>
        <w:jc w:val="both"/>
        <w:rPr>
          <w:rFonts w:ascii="Arial" w:hAnsi="Arial" w:cs="Arial"/>
          <w:b/>
          <w:bCs/>
        </w:rPr>
      </w:pPr>
      <w:r w:rsidRPr="00DB2297">
        <w:rPr>
          <w:rFonts w:ascii="Arial" w:hAnsi="Arial" w:cs="Arial"/>
          <w:b/>
          <w:bCs/>
        </w:rPr>
        <w:t xml:space="preserve">Introduction </w:t>
      </w:r>
    </w:p>
    <w:p w14:paraId="649117CB" w14:textId="530507A1" w:rsidR="00EB163C" w:rsidRPr="00DB2297" w:rsidRDefault="00EB163C" w:rsidP="00643529">
      <w:pPr>
        <w:spacing w:line="360" w:lineRule="auto"/>
        <w:jc w:val="both"/>
        <w:rPr>
          <w:rFonts w:ascii="Arial" w:hAnsi="Arial" w:cs="Arial"/>
        </w:rPr>
      </w:pPr>
      <w:r w:rsidRPr="00DB2297">
        <w:rPr>
          <w:rFonts w:ascii="Arial" w:hAnsi="Arial" w:cs="Arial"/>
        </w:rPr>
        <w:t xml:space="preserve">In contemporary business landscapes, the concept of Corporate Social Responsibility (CSR) has garnered significant attention and traction, particularly within sectors like hospitality, where the imperative for sustainable practices is paramount (Porter &amp; Kramer, 2011). CSR, broadly defined, refers to a company's commitment to operating ethically, transparently, and responsibly, while also considering the interests of various stakeholders, including employees, communities, and the environment (World Tourism Organization, 2020). This essay </w:t>
      </w:r>
      <w:r w:rsidRPr="00DB2297">
        <w:rPr>
          <w:rFonts w:ascii="Arial" w:hAnsi="Arial" w:cs="Arial"/>
        </w:rPr>
        <w:t>endeavours</w:t>
      </w:r>
      <w:r w:rsidRPr="00DB2297">
        <w:rPr>
          <w:rFonts w:ascii="Arial" w:hAnsi="Arial" w:cs="Arial"/>
        </w:rPr>
        <w:t xml:space="preserve"> to explore the multifaceted role of CSR in advancing sustainability within the hospitality sector, with a particular focus on the initiatives undertaken by Hilton Hotels.</w:t>
      </w:r>
      <w:r w:rsidRPr="00DB2297">
        <w:rPr>
          <w:rFonts w:ascii="Arial" w:hAnsi="Arial" w:cs="Arial"/>
        </w:rPr>
        <w:t xml:space="preserve"> </w:t>
      </w:r>
      <w:r w:rsidRPr="00DB2297">
        <w:rPr>
          <w:rFonts w:ascii="Arial" w:hAnsi="Arial" w:cs="Arial"/>
        </w:rPr>
        <w:t xml:space="preserve">Through an examination of Hilton's sustainability programs, this analysis aims to shed light on the ways in which responsible business practices can positively impact environmental and social outcomes in the hospitality industry (Hilton, n.d.). By delving into specific CSR initiatives, such as community engagement projects and environmental stewardship programs, this study will assess the effectiveness of Hilton's efforts in promoting sustainable practices while also considering the challenges and opportunities inherent in implementing robust CSR </w:t>
      </w:r>
      <w:r w:rsidRPr="00DB2297">
        <w:rPr>
          <w:rFonts w:ascii="Arial" w:hAnsi="Arial" w:cs="Arial"/>
        </w:rPr>
        <w:t>policies. Drawing</w:t>
      </w:r>
      <w:r w:rsidRPr="00DB2297">
        <w:rPr>
          <w:rFonts w:ascii="Arial" w:hAnsi="Arial" w:cs="Arial"/>
        </w:rPr>
        <w:t xml:space="preserve"> on insights from scholarly literature and industry reports, this essay seeks to provide a comprehensive understanding of the complex interplay between CSR strategies and sustainability outcomes within the hospitality sector. By critically evaluating Hilton's CSR initiatives and their implications for sustainability, this analysis aims to contribute to the ongoing discourse on responsible business practices and their role in fostering long-term environmental and social resilience in the hospitality industry.</w:t>
      </w:r>
    </w:p>
    <w:p w14:paraId="6C99441D" w14:textId="6F2D52D4" w:rsidR="00EB163C" w:rsidRPr="00DB2297" w:rsidRDefault="008130CF" w:rsidP="00643529">
      <w:pPr>
        <w:spacing w:line="360" w:lineRule="auto"/>
        <w:jc w:val="both"/>
        <w:rPr>
          <w:rFonts w:ascii="Arial" w:hAnsi="Arial" w:cs="Arial"/>
          <w:b/>
          <w:bCs/>
        </w:rPr>
      </w:pPr>
      <w:r w:rsidRPr="00DB2297">
        <w:rPr>
          <w:rFonts w:ascii="Arial" w:hAnsi="Arial" w:cs="Arial"/>
          <w:b/>
          <w:bCs/>
        </w:rPr>
        <w:t>Main body</w:t>
      </w:r>
    </w:p>
    <w:p w14:paraId="49B270DA" w14:textId="467D8307" w:rsidR="00347C1C" w:rsidRPr="00347C1C" w:rsidRDefault="00347C1C" w:rsidP="00643529">
      <w:pPr>
        <w:spacing w:line="360" w:lineRule="auto"/>
        <w:jc w:val="both"/>
        <w:rPr>
          <w:rFonts w:ascii="Arial" w:hAnsi="Arial" w:cs="Arial"/>
        </w:rPr>
      </w:pPr>
      <w:r w:rsidRPr="00347C1C">
        <w:rPr>
          <w:rFonts w:ascii="Arial" w:hAnsi="Arial" w:cs="Arial"/>
        </w:rPr>
        <w:t>A key idea driving modern business operations is corporate social responsibility, or CSR, which emphasises an organi</w:t>
      </w:r>
      <w:r w:rsidR="00643529">
        <w:rPr>
          <w:rFonts w:ascii="Arial" w:hAnsi="Arial" w:cs="Arial"/>
        </w:rPr>
        <w:t>s</w:t>
      </w:r>
      <w:r w:rsidRPr="00347C1C">
        <w:rPr>
          <w:rFonts w:ascii="Arial" w:hAnsi="Arial" w:cs="Arial"/>
        </w:rPr>
        <w:t xml:space="preserve">ation's obligation to conduct itself morally and make constructive contributions to the environment and society. Corporate Social </w:t>
      </w:r>
      <w:r w:rsidRPr="00347C1C">
        <w:rPr>
          <w:rFonts w:ascii="Arial" w:hAnsi="Arial" w:cs="Arial"/>
        </w:rPr>
        <w:lastRenderedPageBreak/>
        <w:t>Responsibility is a proactive approach to business management that takes into account social, economic, and environmental factors (Porter &amp; Kramer, 2011). Employers, consumers, communities, and investors are just a few of the stakeholders whose interests are served by corporate social responsibility (CSR) when businesses conduct their operations in a way that strikes a balance between societal and environmental concerns and profit-making goals (Dolnicar &amp; Leisch, 2008).</w:t>
      </w:r>
    </w:p>
    <w:p w14:paraId="320602F8" w14:textId="174945D5" w:rsidR="005973BF" w:rsidRPr="00DB2297" w:rsidRDefault="00347C1C" w:rsidP="00643529">
      <w:pPr>
        <w:spacing w:line="360" w:lineRule="auto"/>
        <w:jc w:val="both"/>
        <w:rPr>
          <w:rFonts w:ascii="Arial" w:hAnsi="Arial" w:cs="Arial"/>
        </w:rPr>
      </w:pPr>
      <w:r w:rsidRPr="00347C1C">
        <w:rPr>
          <w:rFonts w:ascii="Arial" w:hAnsi="Arial" w:cs="Arial"/>
        </w:rPr>
        <w:t>Contrarily, sustainability is the ability to satisfy current demands without endangering the potential of future generations to satisfy their own (World Tourism Organisation, 2020). The three interconnected components of sustainability are social, economic, and environmental. Sustainability is defined from an environmental standpoint as reducing the influence on the environment, protecting natural resources, and slowing down climate change. While economic sustainability is concerned with long-term economic prosperity and resilience, social sustainability is concerned with advancing social equality, justice, and well-being (Jones, Hillier, &amp; Comfort, 2016).</w:t>
      </w:r>
      <w:r w:rsidR="005973BF" w:rsidRPr="00DB2297">
        <w:rPr>
          <w:rFonts w:ascii="Arial" w:hAnsi="Arial" w:cs="Arial"/>
        </w:rPr>
        <w:t xml:space="preserve"> </w:t>
      </w:r>
      <w:r w:rsidR="005973BF" w:rsidRPr="005973BF">
        <w:rPr>
          <w:rFonts w:ascii="Arial" w:hAnsi="Arial" w:cs="Arial"/>
        </w:rPr>
        <w:t>Essentially, corporate social responsibility (CSR) and sustainability are related ideas that aim to advance moral and ethical business conduct. Sustainability is a larger vision for attaining long-term prosperity and well-being for society and the environment, whereas corporate social responsibility (CSR) shows a company's dedication to corporate citizenship and stakeholder involvement (Telfer &amp; Sharpley, 2008). Companies can improve their reputation, reduce risks, and help accomplish the global sustainable development goals by incorporating CSR and sustainability principles into their operations (Liu &amp; Wei, 2018).</w:t>
      </w:r>
    </w:p>
    <w:p w14:paraId="65951289" w14:textId="77777777" w:rsidR="00785618" w:rsidRPr="00DB2297" w:rsidRDefault="00785618" w:rsidP="00643529">
      <w:pPr>
        <w:spacing w:line="360" w:lineRule="auto"/>
        <w:jc w:val="both"/>
        <w:rPr>
          <w:rFonts w:ascii="Arial" w:hAnsi="Arial" w:cs="Arial"/>
        </w:rPr>
      </w:pPr>
    </w:p>
    <w:p w14:paraId="7E6BCB6C" w14:textId="768FF7C1" w:rsidR="00785618" w:rsidRPr="00785618" w:rsidRDefault="00785618" w:rsidP="00643529">
      <w:pPr>
        <w:spacing w:line="360" w:lineRule="auto"/>
        <w:jc w:val="both"/>
        <w:rPr>
          <w:rFonts w:ascii="Arial" w:hAnsi="Arial" w:cs="Arial"/>
        </w:rPr>
      </w:pPr>
      <w:r w:rsidRPr="00785618">
        <w:rPr>
          <w:rFonts w:ascii="Arial" w:hAnsi="Arial" w:cs="Arial"/>
        </w:rPr>
        <w:t>Hilton Hotels is a well-known entity in the international hospitality sector, renowned for its dedication to sustainability and Corporate Social Responsibility (CSR). Hilton has incorporated sustainability activities into its core business strategy within the scope of its corporate social responsibility policies. This method demonstrates a comprehensive commitment to environmental stewardship, community participation, and ethical business practices (Hilton, n.d.).</w:t>
      </w:r>
      <w:r w:rsidRPr="00DB2297">
        <w:rPr>
          <w:rFonts w:ascii="Arial" w:eastAsia="Times New Roman" w:hAnsi="Arial" w:cs="Arial"/>
          <w:kern w:val="0"/>
          <w:lang w:eastAsia="en-GB"/>
          <w14:ligatures w14:val="none"/>
        </w:rPr>
        <w:t xml:space="preserve"> </w:t>
      </w:r>
      <w:r w:rsidRPr="00DB2297">
        <w:rPr>
          <w:rFonts w:ascii="Arial" w:hAnsi="Arial" w:cs="Arial"/>
        </w:rPr>
        <w:t xml:space="preserve">Hilton's CSR approach has a strong emphasis on environmental sustainability, which is exemplified by the introduction of </w:t>
      </w:r>
      <w:r w:rsidRPr="00DB2297">
        <w:rPr>
          <w:rFonts w:ascii="Arial" w:hAnsi="Arial" w:cs="Arial"/>
        </w:rPr>
        <w:t>Light Stay</w:t>
      </w:r>
      <w:r w:rsidRPr="00DB2297">
        <w:rPr>
          <w:rFonts w:ascii="Arial" w:hAnsi="Arial" w:cs="Arial"/>
        </w:rPr>
        <w:t xml:space="preserve">. As a cutting-edge sustainability performance system, </w:t>
      </w:r>
      <w:r w:rsidRPr="00DB2297">
        <w:rPr>
          <w:rFonts w:ascii="Arial" w:hAnsi="Arial" w:cs="Arial"/>
        </w:rPr>
        <w:t>Light Stay</w:t>
      </w:r>
      <w:r w:rsidRPr="00DB2297">
        <w:rPr>
          <w:rFonts w:ascii="Arial" w:hAnsi="Arial" w:cs="Arial"/>
        </w:rPr>
        <w:t xml:space="preserve"> enables Hilton to track and evaluate important environmental indicators for all of its properties, </w:t>
      </w:r>
      <w:r w:rsidRPr="00DB2297">
        <w:rPr>
          <w:rFonts w:ascii="Arial" w:hAnsi="Arial" w:cs="Arial"/>
        </w:rPr>
        <w:lastRenderedPageBreak/>
        <w:t xml:space="preserve">including trash management, water use, and energy consumption (Hilton, n.d.). By employing </w:t>
      </w:r>
      <w:r w:rsidRPr="00DB2297">
        <w:rPr>
          <w:rFonts w:ascii="Arial" w:hAnsi="Arial" w:cs="Arial"/>
        </w:rPr>
        <w:t>Light Stay</w:t>
      </w:r>
      <w:r w:rsidRPr="00DB2297">
        <w:rPr>
          <w:rFonts w:ascii="Arial" w:hAnsi="Arial" w:cs="Arial"/>
        </w:rPr>
        <w:t>, Hilton is able to obtain valuable insights into its environmental footprint, which in turn supports data-driven decision-making with the goal of optimising resource utilisation and mitigating environmental effect.</w:t>
      </w:r>
      <w:r w:rsidRPr="00DB2297">
        <w:rPr>
          <w:rFonts w:ascii="Arial" w:hAnsi="Arial" w:cs="Arial"/>
        </w:rPr>
        <w:t xml:space="preserve"> Light Stay’s</w:t>
      </w:r>
      <w:r w:rsidRPr="00785618">
        <w:rPr>
          <w:rFonts w:ascii="Arial" w:hAnsi="Arial" w:cs="Arial"/>
        </w:rPr>
        <w:t xml:space="preserve"> efficacy in promoting environmental sustainability is emphasised by its capacity to enable ongoing enhancement via insights derived from data. Hilton finds chances for waste reduction and energy conservation by utilising the data gathered through </w:t>
      </w:r>
      <w:r w:rsidRPr="00DB2297">
        <w:rPr>
          <w:rFonts w:ascii="Arial" w:hAnsi="Arial" w:cs="Arial"/>
        </w:rPr>
        <w:t>Light Stay</w:t>
      </w:r>
      <w:r w:rsidRPr="00785618">
        <w:rPr>
          <w:rFonts w:ascii="Arial" w:hAnsi="Arial" w:cs="Arial"/>
        </w:rPr>
        <w:t>. Then, it implements focused actions that result in noticeable environmental advantages (Hilton, n.d.). For example, Hilton can find areas for efficiency improvements that will result in lower energy usage and related cost reductions by analysing patterns of energy consumption.</w:t>
      </w:r>
    </w:p>
    <w:p w14:paraId="145C42A4" w14:textId="77777777" w:rsidR="00785618" w:rsidRPr="00DB2297" w:rsidRDefault="00785618" w:rsidP="00643529">
      <w:pPr>
        <w:spacing w:line="360" w:lineRule="auto"/>
        <w:jc w:val="both"/>
        <w:rPr>
          <w:rFonts w:ascii="Arial" w:hAnsi="Arial" w:cs="Arial"/>
        </w:rPr>
      </w:pPr>
    </w:p>
    <w:p w14:paraId="1B026050" w14:textId="77777777" w:rsidR="00785618" w:rsidRPr="00DB2297" w:rsidRDefault="00785618" w:rsidP="00643529">
      <w:pPr>
        <w:spacing w:line="360" w:lineRule="auto"/>
        <w:jc w:val="both"/>
        <w:rPr>
          <w:rFonts w:ascii="Arial" w:hAnsi="Arial" w:cs="Arial"/>
        </w:rPr>
      </w:pPr>
      <w:r w:rsidRPr="00785618">
        <w:rPr>
          <w:rFonts w:ascii="Arial" w:hAnsi="Arial" w:cs="Arial"/>
        </w:rPr>
        <w:t>Apart from its environmental endeavours, Hilton exhibits an unwavering dedication to community involvement and social influence by establishing the Hilton Effect Foundation. Hilton allocates funds through this foundation to a variety of community-supporting projects, such as wellness campaigns, education programmes, and disaster relief operations (Hilton, n.d.). Hilton contributes to the betterment of society and fortifies its brand's reputation as a conscientious corporate citizen by funding community development initiatives and forming alliances with non-governmental organisations (NGOs).</w:t>
      </w:r>
      <w:r w:rsidRPr="00DB2297">
        <w:rPr>
          <w:rFonts w:ascii="Arial" w:hAnsi="Arial" w:cs="Arial"/>
        </w:rPr>
        <w:t xml:space="preserve"> </w:t>
      </w:r>
      <w:r w:rsidRPr="00DB2297">
        <w:rPr>
          <w:rFonts w:ascii="Arial" w:hAnsi="Arial" w:cs="Arial"/>
        </w:rPr>
        <w:t>Hilton also maintains strict guidelines for moral business behaviour and corporate governance, guaranteeing accountability and openness in all facets of the business. Hilton reduces the risks associated with unethical behaviour by upholding ethical standards and building confidence and trust with all of its stakeholders, including partners, workers, investors, and guests (Hilton, n.d.). Hilton's CSR framework is based on this dedication to ethical business practices, which supports the company's endeavours towards sustainable long-term operations and responsible corporate conduct.</w:t>
      </w:r>
    </w:p>
    <w:p w14:paraId="2B60F5EE" w14:textId="5B5F81CA" w:rsidR="00785618" w:rsidRPr="00DB2297" w:rsidRDefault="00785618" w:rsidP="00643529">
      <w:pPr>
        <w:spacing w:line="360" w:lineRule="auto"/>
        <w:jc w:val="both"/>
        <w:rPr>
          <w:rFonts w:ascii="Arial" w:hAnsi="Arial" w:cs="Arial"/>
        </w:rPr>
      </w:pPr>
      <w:r w:rsidRPr="00785618">
        <w:rPr>
          <w:rFonts w:ascii="Arial" w:hAnsi="Arial" w:cs="Arial"/>
        </w:rPr>
        <w:t xml:space="preserve">Furthermore, Hilton Hotels offers a fascinating example of a diversified approach to sustainability and is a great case study for CSR in the hospitality sector. Hilton exhibits its commitment to environmental stewardship and social impact through programmes like </w:t>
      </w:r>
      <w:r w:rsidRPr="00DB2297">
        <w:rPr>
          <w:rFonts w:ascii="Arial" w:hAnsi="Arial" w:cs="Arial"/>
        </w:rPr>
        <w:t>Light Stay</w:t>
      </w:r>
      <w:r w:rsidRPr="00785618">
        <w:rPr>
          <w:rFonts w:ascii="Arial" w:hAnsi="Arial" w:cs="Arial"/>
        </w:rPr>
        <w:t xml:space="preserve">, community involvement initiatives, and ethical business practices. It also underscores the inherent link between CSR and commercial success. Hilton's </w:t>
      </w:r>
      <w:r w:rsidRPr="00785618">
        <w:rPr>
          <w:rFonts w:ascii="Arial" w:hAnsi="Arial" w:cs="Arial"/>
        </w:rPr>
        <w:lastRenderedPageBreak/>
        <w:t>commitment to sustainability and corporate social responsibility (CSR) sets the standard for ethical business practices in the global hospitality sector, encouraging imitation and fostering good change in the sector as a whole.</w:t>
      </w:r>
      <w:r w:rsidR="008130CF" w:rsidRPr="00DB2297">
        <w:rPr>
          <w:rFonts w:ascii="Arial" w:hAnsi="Arial" w:cs="Arial"/>
        </w:rPr>
        <w:t xml:space="preserve"> </w:t>
      </w:r>
      <w:r w:rsidR="008130CF" w:rsidRPr="00DB2297">
        <w:rPr>
          <w:rFonts w:ascii="Arial" w:hAnsi="Arial" w:cs="Arial"/>
        </w:rPr>
        <w:t>The Corporate Social Responsibility  efforts of Hilton Hotels comprise a diverse range of activities that are designed to encourage sustainability in the hospitality sector. Hilton may have a big influence on sustainability practices by emphasising community involvement, environmental responsibility, and moral business practices. Effective CSR policy implementation is not without difficulties, though.</w:t>
      </w:r>
      <w:r w:rsidR="008130CF" w:rsidRPr="00DB2297">
        <w:rPr>
          <w:rFonts w:ascii="Arial" w:hAnsi="Arial" w:cs="Arial"/>
        </w:rPr>
        <w:t xml:space="preserve"> </w:t>
      </w:r>
      <w:r w:rsidR="008130CF" w:rsidRPr="00DB2297">
        <w:rPr>
          <w:rFonts w:ascii="Arial" w:hAnsi="Arial" w:cs="Arial"/>
        </w:rPr>
        <w:t xml:space="preserve">The environmental care that Hilton's CSR initiatives focus on extends beyond the </w:t>
      </w:r>
      <w:r w:rsidR="008130CF" w:rsidRPr="00DB2297">
        <w:rPr>
          <w:rFonts w:ascii="Arial" w:hAnsi="Arial" w:cs="Arial"/>
        </w:rPr>
        <w:t>Light Stay</w:t>
      </w:r>
      <w:r w:rsidR="008130CF" w:rsidRPr="00DB2297">
        <w:rPr>
          <w:rFonts w:ascii="Arial" w:hAnsi="Arial" w:cs="Arial"/>
        </w:rPr>
        <w:t xml:space="preserve"> platform. Although </w:t>
      </w:r>
      <w:r w:rsidR="008130CF" w:rsidRPr="00DB2297">
        <w:rPr>
          <w:rFonts w:ascii="Arial" w:hAnsi="Arial" w:cs="Arial"/>
        </w:rPr>
        <w:t>Light Stay</w:t>
      </w:r>
      <w:r w:rsidR="008130CF" w:rsidRPr="00DB2297">
        <w:rPr>
          <w:rFonts w:ascii="Arial" w:hAnsi="Arial" w:cs="Arial"/>
        </w:rPr>
        <w:t xml:space="preserve"> is a signature initiative, Hilton is dedicated to sustainability in ways that go beyond this platform. Hilton, for instance, has incorporated energy-efficient practices and technology into its hotels, like water-saving fixtures, smart thermostats, and LED lighting (Hilton, n.d.). By lowering energy use and greenhouse gas emissions, these programmes help to lessen Hilton's operational impact on the environment.</w:t>
      </w:r>
    </w:p>
    <w:p w14:paraId="0A3E8EB8" w14:textId="77777777" w:rsidR="008130CF" w:rsidRPr="00DB2297" w:rsidRDefault="008130CF" w:rsidP="00643529">
      <w:pPr>
        <w:spacing w:line="360" w:lineRule="auto"/>
        <w:jc w:val="both"/>
        <w:rPr>
          <w:rFonts w:ascii="Arial" w:hAnsi="Arial" w:cs="Arial"/>
        </w:rPr>
      </w:pPr>
    </w:p>
    <w:p w14:paraId="123E691D" w14:textId="713CFF74" w:rsidR="008130CF" w:rsidRPr="00DB2297" w:rsidRDefault="008130CF" w:rsidP="00643529">
      <w:pPr>
        <w:spacing w:line="360" w:lineRule="auto"/>
        <w:jc w:val="both"/>
        <w:rPr>
          <w:rFonts w:ascii="Arial" w:hAnsi="Arial" w:cs="Arial"/>
        </w:rPr>
      </w:pPr>
      <w:r w:rsidRPr="008130CF">
        <w:rPr>
          <w:rFonts w:ascii="Arial" w:hAnsi="Arial" w:cs="Arial"/>
        </w:rPr>
        <w:t>Hilton's community engagement programmes also significantly contribute to the improvement of social well-being. In addition to the Hilton Effect Foundation, the business works with neighbourhood groups to promote projects including youth empowerment, job training, and cultural preservation (Hilton, n.d.). Hilton enhances the well-being of local residents and fortifies its operating licence by funding community development initiatives and cultivating alliances with relevant parties.</w:t>
      </w:r>
      <w:r w:rsidRPr="00DB2297">
        <w:rPr>
          <w:rFonts w:ascii="Arial" w:eastAsia="Times New Roman" w:hAnsi="Arial" w:cs="Arial"/>
          <w:kern w:val="0"/>
          <w:lang w:eastAsia="en-GB"/>
          <w14:ligatures w14:val="none"/>
        </w:rPr>
        <w:t xml:space="preserve"> </w:t>
      </w:r>
      <w:r w:rsidRPr="00DB2297">
        <w:rPr>
          <w:rFonts w:ascii="Arial" w:hAnsi="Arial" w:cs="Arial"/>
        </w:rPr>
        <w:t>Moreover, Hilton prioritises corporate governance and moral business practices. The organisation has put strong policies and processes in place to guarantee adherence to legal and ethical requirements. Hilton, for instance, has a Supplier Code of Conduct that describes its requirements with reference to labour laws, human rights, and ethical sourcing procedures (Hilton, n.d.). Hilton maintains its commitment to moral business practices and cultivates stakeholder trust by holding both itself and its suppliers to these standards.</w:t>
      </w:r>
      <w:r w:rsidRPr="00DB2297">
        <w:rPr>
          <w:rFonts w:ascii="Arial" w:eastAsia="Times New Roman" w:hAnsi="Arial" w:cs="Arial"/>
          <w:kern w:val="0"/>
          <w:lang w:eastAsia="en-GB"/>
          <w14:ligatures w14:val="none"/>
        </w:rPr>
        <w:t xml:space="preserve"> </w:t>
      </w:r>
      <w:r w:rsidRPr="00DB2297">
        <w:rPr>
          <w:rFonts w:ascii="Arial" w:hAnsi="Arial" w:cs="Arial"/>
        </w:rPr>
        <w:t xml:space="preserve">Hilton faces a number of obstacles in putting into practice successful CSR practices, despite the potential for great results. The intricacy of supply chain management is a major obstacle, especially in the international hospitality sector. It takes intensive coordination and monitoring across many geographic regions and supplier networks to ensure ethical sourcing practices and responsible supply chain management (Kizildag &amp; Nusair, 2010). Additionally, because investments in </w:t>
      </w:r>
      <w:r w:rsidRPr="00DB2297">
        <w:rPr>
          <w:rFonts w:ascii="Arial" w:hAnsi="Arial" w:cs="Arial"/>
        </w:rPr>
        <w:lastRenderedPageBreak/>
        <w:t>sustainability efforts may involve upfront expenditures and profitability trade-offs, striking a balance between economic viability and social and environmental objectives can be difficult (Font &amp; Harris, 2018).</w:t>
      </w:r>
      <w:r w:rsidRPr="00DB2297">
        <w:rPr>
          <w:rFonts w:ascii="Arial" w:eastAsia="Times New Roman" w:hAnsi="Arial" w:cs="Arial"/>
          <w:kern w:val="0"/>
          <w:lang w:eastAsia="en-GB"/>
          <w14:ligatures w14:val="none"/>
        </w:rPr>
        <w:t xml:space="preserve"> </w:t>
      </w:r>
      <w:r w:rsidRPr="00DB2297">
        <w:rPr>
          <w:rFonts w:ascii="Arial" w:hAnsi="Arial" w:cs="Arial"/>
        </w:rPr>
        <w:t>The CSR programmes of Hilton Hotels have the opportunity to influence the hospitality sector's sustainable practices for the better. Hilton may lessen its environmental impact, improve social well-being, and encourage ethical business practices through environmental stewardship, community involvement, and ethical corporate conduct. Nevertheless, there are obstacles to overcome in order to execute successful CSR policies, such as supply chain complexity, ethical sourcing, and financial concerns. It will take sustained dedication, creativity, and cooperation from the organi</w:t>
      </w:r>
      <w:r w:rsidR="006C3C87" w:rsidRPr="00DB2297">
        <w:rPr>
          <w:rFonts w:ascii="Arial" w:hAnsi="Arial" w:cs="Arial"/>
        </w:rPr>
        <w:t>s</w:t>
      </w:r>
      <w:r w:rsidRPr="00DB2297">
        <w:rPr>
          <w:rFonts w:ascii="Arial" w:hAnsi="Arial" w:cs="Arial"/>
        </w:rPr>
        <w:t>ation's stakeholders to overcome these obstacles.</w:t>
      </w:r>
    </w:p>
    <w:p w14:paraId="552F2E4E" w14:textId="7F532B50" w:rsidR="008130CF" w:rsidRPr="00DB2297" w:rsidRDefault="008130CF" w:rsidP="00643529">
      <w:pPr>
        <w:spacing w:line="360" w:lineRule="auto"/>
        <w:jc w:val="both"/>
        <w:rPr>
          <w:rFonts w:ascii="Arial" w:hAnsi="Arial" w:cs="Arial"/>
        </w:rPr>
      </w:pPr>
    </w:p>
    <w:p w14:paraId="54D700B6" w14:textId="456D08D5" w:rsidR="006C3C87" w:rsidRPr="00DB2297" w:rsidRDefault="006C3C87" w:rsidP="00643529">
      <w:pPr>
        <w:spacing w:line="360" w:lineRule="auto"/>
        <w:jc w:val="both"/>
        <w:rPr>
          <w:rFonts w:ascii="Arial" w:hAnsi="Arial" w:cs="Arial"/>
        </w:rPr>
      </w:pPr>
      <w:r w:rsidRPr="006C3C87">
        <w:rPr>
          <w:rFonts w:ascii="Arial" w:hAnsi="Arial" w:cs="Arial"/>
        </w:rPr>
        <w:t>Hilton Hotels and the larger hospitality industry can benefit greatly from adopting Corporate Social Responsibility (CSR), since it presents numerous chances for innovation and expansion. Hotels can save expenses, increase operational effectiveness, and draw in eco-aware guests by incorporating sustainability into their basic business plans (Jones, Hillier, &amp; Comfort, 2016). For instance, Hilton's long-term utility costs are decreased in addition to reducing energy consumption through the use of energy-efficient technology like solar panels and LED lighting (Hilton, n.d.). Furthermore, as evidenced by Hilton's dedication to obtaining organic and locally sourced products for its food and beverage offerings, proactive CSR actions can distinguish businesses and improve market competitiveness (Hilton, n.d.).</w:t>
      </w:r>
      <w:r w:rsidRPr="00DB2297">
        <w:rPr>
          <w:rFonts w:ascii="Arial" w:eastAsia="Times New Roman" w:hAnsi="Arial" w:cs="Arial"/>
          <w:kern w:val="0"/>
          <w:lang w:eastAsia="en-GB"/>
          <w14:ligatures w14:val="none"/>
        </w:rPr>
        <w:t xml:space="preserve"> </w:t>
      </w:r>
      <w:r w:rsidRPr="00DB2297">
        <w:rPr>
          <w:rFonts w:ascii="Arial" w:hAnsi="Arial" w:cs="Arial"/>
        </w:rPr>
        <w:t>Hilton creates a distinctive brand identity that appeals to socially conscious tourists and encourages customer loyalty and favourable word-of-mouth recommendations by supporting sustainable practices and ethical sourcing. Adopting CSR also makes it possible for Hilton to enter into strategic alliances and partnerships, utilising the resources and know-how of partners like trade associations and non-governmental organisations (NGOs) to further common sustainability objectives (Dolnicar &amp; Leisch, 2008). In general, corporate social responsibility (CSR) encourages innovation and expansion in the hotel industry, enabling Hilton to generate shared value for the environment, society, and its own operations.</w:t>
      </w:r>
    </w:p>
    <w:p w14:paraId="1D09563A" w14:textId="5743219B" w:rsidR="006C3C87" w:rsidRPr="00DB2297" w:rsidRDefault="006C3C87" w:rsidP="00643529">
      <w:pPr>
        <w:spacing w:line="360" w:lineRule="auto"/>
        <w:jc w:val="both"/>
        <w:rPr>
          <w:rFonts w:ascii="Arial" w:hAnsi="Arial" w:cs="Arial"/>
        </w:rPr>
      </w:pPr>
    </w:p>
    <w:p w14:paraId="13774F2D" w14:textId="77777777" w:rsidR="00DB2297" w:rsidRPr="00DB2297" w:rsidRDefault="00DB2297" w:rsidP="00643529">
      <w:pPr>
        <w:spacing w:line="360" w:lineRule="auto"/>
        <w:jc w:val="both"/>
        <w:rPr>
          <w:rFonts w:ascii="Arial" w:hAnsi="Arial" w:cs="Arial"/>
        </w:rPr>
      </w:pPr>
    </w:p>
    <w:p w14:paraId="2306CBE4" w14:textId="77777777" w:rsidR="00AF14B0" w:rsidRDefault="00AF14B0" w:rsidP="00643529">
      <w:pPr>
        <w:spacing w:line="360" w:lineRule="auto"/>
        <w:jc w:val="both"/>
        <w:rPr>
          <w:rFonts w:ascii="Arial" w:hAnsi="Arial" w:cs="Arial"/>
          <w:b/>
          <w:bCs/>
        </w:rPr>
      </w:pPr>
    </w:p>
    <w:p w14:paraId="10EB400C" w14:textId="693EA32C" w:rsidR="00DB2297" w:rsidRPr="00DB2297" w:rsidRDefault="00DB2297" w:rsidP="00643529">
      <w:pPr>
        <w:spacing w:line="360" w:lineRule="auto"/>
        <w:jc w:val="both"/>
        <w:rPr>
          <w:rFonts w:ascii="Arial" w:hAnsi="Arial" w:cs="Arial"/>
          <w:b/>
          <w:bCs/>
        </w:rPr>
      </w:pPr>
      <w:r w:rsidRPr="00DB2297">
        <w:rPr>
          <w:rFonts w:ascii="Arial" w:hAnsi="Arial" w:cs="Arial"/>
          <w:b/>
          <w:bCs/>
        </w:rPr>
        <w:t xml:space="preserve">Conclusion </w:t>
      </w:r>
    </w:p>
    <w:p w14:paraId="40306C7D" w14:textId="60A4C7F4" w:rsidR="00DB2297" w:rsidRPr="00DB2297" w:rsidRDefault="00DB2297" w:rsidP="00643529">
      <w:pPr>
        <w:spacing w:line="360" w:lineRule="auto"/>
        <w:jc w:val="both"/>
        <w:rPr>
          <w:rFonts w:ascii="Arial" w:hAnsi="Arial" w:cs="Arial"/>
        </w:rPr>
      </w:pPr>
      <w:r w:rsidRPr="00DB2297">
        <w:rPr>
          <w:rFonts w:ascii="Arial" w:hAnsi="Arial" w:cs="Arial"/>
        </w:rPr>
        <w:t xml:space="preserve">To </w:t>
      </w:r>
      <w:r w:rsidRPr="00DB2297">
        <w:rPr>
          <w:rFonts w:ascii="Arial" w:hAnsi="Arial" w:cs="Arial"/>
        </w:rPr>
        <w:t>conclude,</w:t>
      </w:r>
      <w:r w:rsidRPr="00DB2297">
        <w:rPr>
          <w:rFonts w:ascii="Arial" w:hAnsi="Arial" w:cs="Arial"/>
        </w:rPr>
        <w:t xml:space="preserve"> Hilton Hotels is a shining example of Corporate Social Responsibility  in the hospitality sector, demonstrating the revolutionary power of sustainability-focused programmes. Hilton has demonstrated its commitment to sustainable operations and achieved significant benefits in terms of operational efficiency, brand differentiation, and stakeholder engagement by implementing a comprehensive approach that includes environmental stewardship, community engagement, and ethical business practices (Font &amp; Harris, 2018).</w:t>
      </w:r>
      <w:r w:rsidRPr="00DB2297">
        <w:rPr>
          <w:rFonts w:ascii="Arial" w:eastAsia="Times New Roman" w:hAnsi="Arial" w:cs="Arial"/>
          <w:kern w:val="0"/>
          <w:lang w:eastAsia="en-GB"/>
          <w14:ligatures w14:val="none"/>
        </w:rPr>
        <w:t xml:space="preserve"> </w:t>
      </w:r>
      <w:r w:rsidRPr="00DB2297">
        <w:rPr>
          <w:rFonts w:ascii="Arial" w:hAnsi="Arial" w:cs="Arial"/>
        </w:rPr>
        <w:t>Hilton has successfully decreased its environmental impact while simultaneously improving guest experiences and building strong relationships with customers by implementing cutting-edge technologies like energy-efficient systems and supporting sustainable sourcing practices ( Kim, Uysal, &amp; Sirgy, 2013). Moreover, Hilton's proactive CSR initiatives have established it as a leader in ethical business practices, sparking widespread imitation and establishing a standard for peers in the sector (Dolnicar &amp; Leisch, 2008).</w:t>
      </w:r>
      <w:r w:rsidRPr="00DB2297">
        <w:rPr>
          <w:rFonts w:ascii="Arial" w:eastAsia="Times New Roman" w:hAnsi="Arial" w:cs="Arial"/>
          <w:kern w:val="0"/>
          <w:lang w:eastAsia="en-GB"/>
          <w14:ligatures w14:val="none"/>
        </w:rPr>
        <w:t xml:space="preserve"> </w:t>
      </w:r>
      <w:r w:rsidRPr="00DB2297">
        <w:rPr>
          <w:rFonts w:ascii="Arial" w:hAnsi="Arial" w:cs="Arial"/>
        </w:rPr>
        <w:t>Hilton's success story is a remarkable example of how corporate social responsibility (CSR) can produce shared benefit for businesses, the environment, and society at large, as the hospitality sector navigates changing consumer expectations and global sustainability issues. Hilton steers the hospitality sector and beyond towards a more sustainable and prosperous future via cooperation, innovation, and an uncompromising commitment to ethical standards.</w:t>
      </w:r>
    </w:p>
    <w:p w14:paraId="11C3AF9A" w14:textId="1CBED958" w:rsidR="00DB2297" w:rsidRDefault="00DB2297" w:rsidP="00643529">
      <w:pPr>
        <w:jc w:val="both"/>
      </w:pPr>
    </w:p>
    <w:p w14:paraId="6DD9765F" w14:textId="77777777" w:rsidR="00AF14B0" w:rsidRDefault="00AF14B0" w:rsidP="00643529">
      <w:pPr>
        <w:jc w:val="both"/>
      </w:pPr>
    </w:p>
    <w:p w14:paraId="509AC0A6" w14:textId="77777777" w:rsidR="00AF14B0" w:rsidRDefault="00AF14B0" w:rsidP="00643529">
      <w:pPr>
        <w:jc w:val="both"/>
      </w:pPr>
    </w:p>
    <w:p w14:paraId="5C333D23" w14:textId="77777777" w:rsidR="00AF14B0" w:rsidRDefault="00AF14B0" w:rsidP="00643529">
      <w:pPr>
        <w:jc w:val="both"/>
      </w:pPr>
    </w:p>
    <w:p w14:paraId="5BDC1282" w14:textId="77777777" w:rsidR="00AF14B0" w:rsidRDefault="00AF14B0" w:rsidP="00643529">
      <w:pPr>
        <w:jc w:val="both"/>
      </w:pPr>
    </w:p>
    <w:p w14:paraId="48C58941" w14:textId="77777777" w:rsidR="00AF14B0" w:rsidRDefault="00AF14B0" w:rsidP="00643529">
      <w:pPr>
        <w:jc w:val="both"/>
      </w:pPr>
    </w:p>
    <w:p w14:paraId="7CCF81C0" w14:textId="77777777" w:rsidR="00AF14B0" w:rsidRDefault="00AF14B0" w:rsidP="00643529">
      <w:pPr>
        <w:jc w:val="both"/>
      </w:pPr>
    </w:p>
    <w:p w14:paraId="1A77F6FA" w14:textId="77777777" w:rsidR="00AF14B0" w:rsidRDefault="00AF14B0" w:rsidP="00643529">
      <w:pPr>
        <w:jc w:val="both"/>
      </w:pPr>
    </w:p>
    <w:p w14:paraId="5380A494" w14:textId="77777777" w:rsidR="00AF14B0" w:rsidRDefault="00AF14B0" w:rsidP="00643529">
      <w:pPr>
        <w:jc w:val="both"/>
      </w:pPr>
    </w:p>
    <w:p w14:paraId="11B11BD1" w14:textId="77777777" w:rsidR="00AF14B0" w:rsidRDefault="00AF14B0" w:rsidP="00643529">
      <w:pPr>
        <w:jc w:val="both"/>
      </w:pPr>
    </w:p>
    <w:p w14:paraId="4D67DE7E" w14:textId="77777777" w:rsidR="00AF14B0" w:rsidRDefault="00AF14B0" w:rsidP="00643529">
      <w:pPr>
        <w:jc w:val="both"/>
      </w:pPr>
    </w:p>
    <w:p w14:paraId="71551D98" w14:textId="050DC868" w:rsidR="00AF14B0" w:rsidRPr="00DB2297" w:rsidRDefault="00AF14B0" w:rsidP="00643529">
      <w:pPr>
        <w:jc w:val="both"/>
      </w:pPr>
    </w:p>
    <w:p w14:paraId="312C3EA1" w14:textId="1B345720" w:rsidR="00DB2297" w:rsidRPr="00DB2297" w:rsidRDefault="00DB2297" w:rsidP="00643529">
      <w:pPr>
        <w:jc w:val="both"/>
      </w:pPr>
    </w:p>
    <w:p w14:paraId="101A81C3" w14:textId="77777777" w:rsidR="00AF14B0" w:rsidRPr="00AF14B0" w:rsidRDefault="00AF14B0" w:rsidP="00643529">
      <w:pPr>
        <w:jc w:val="both"/>
        <w:rPr>
          <w:b/>
          <w:bCs/>
        </w:rPr>
      </w:pPr>
      <w:r w:rsidRPr="00AF14B0">
        <w:rPr>
          <w:b/>
          <w:bCs/>
        </w:rPr>
        <w:t>Reference list</w:t>
      </w:r>
    </w:p>
    <w:p w14:paraId="63F0D00F" w14:textId="77777777" w:rsidR="00AF14B0" w:rsidRPr="00AF14B0" w:rsidRDefault="00AF14B0" w:rsidP="00643529">
      <w:pPr>
        <w:jc w:val="both"/>
      </w:pPr>
      <w:r w:rsidRPr="00AF14B0">
        <w:t xml:space="preserve">Dolnicar, S., &amp; Leisch, F. (2008). Selecting, Combining, and Evaluating CSR Activities: Insights from a Choice-Based Conjoint Study. Journal of Business Ethics, 82(4), 899–906. </w:t>
      </w:r>
    </w:p>
    <w:p w14:paraId="286AAE76" w14:textId="77777777" w:rsidR="00AF14B0" w:rsidRPr="00AF14B0" w:rsidRDefault="00AF14B0" w:rsidP="00643529">
      <w:pPr>
        <w:jc w:val="both"/>
      </w:pPr>
      <w:r w:rsidRPr="00AF14B0">
        <w:t xml:space="preserve">Font, X., &amp; Harris, C. (2018). Corporate Social Responsibility in Tourism and Hospitality: A Critical Review of Current Research. International Journal of Contemporary Hospitality Management, 30(1), 51–75. </w:t>
      </w:r>
    </w:p>
    <w:p w14:paraId="1FB3A4A2" w14:textId="77777777" w:rsidR="00AF14B0" w:rsidRPr="00AF14B0" w:rsidRDefault="00AF14B0" w:rsidP="00643529">
      <w:pPr>
        <w:jc w:val="both"/>
      </w:pPr>
      <w:r w:rsidRPr="00AF14B0">
        <w:t xml:space="preserve">Font, X., &amp; Harris, C. (2018). Corporate Social Responsibility in Tourism and Hospitality: A Critical Review of Current Research. International Journal of Contemporary Hospitality Management, 30(1), 51–75. </w:t>
      </w:r>
    </w:p>
    <w:p w14:paraId="49BFA46E" w14:textId="44F3FF20" w:rsidR="00AF14B0" w:rsidRPr="00AF14B0" w:rsidRDefault="00AF14B0" w:rsidP="00643529">
      <w:pPr>
        <w:jc w:val="both"/>
      </w:pPr>
      <w:r w:rsidRPr="00AF14B0">
        <w:t xml:space="preserve">Hilton. (n.d.). Corporate Responsibility. Retrieved from </w:t>
      </w:r>
      <w:r w:rsidR="00643529" w:rsidRPr="00AF14B0">
        <w:t>https://cr.hilton.com/.</w:t>
      </w:r>
      <w:r w:rsidRPr="00AF14B0">
        <w:t xml:space="preserve"> </w:t>
      </w:r>
    </w:p>
    <w:p w14:paraId="5813F809" w14:textId="77777777" w:rsidR="00AF14B0" w:rsidRPr="00AF14B0" w:rsidRDefault="00AF14B0" w:rsidP="00643529">
      <w:pPr>
        <w:jc w:val="both"/>
      </w:pPr>
      <w:r w:rsidRPr="00AF14B0">
        <w:t xml:space="preserve">Jones, P., Hillier, D., &amp; Comfort, D. (2016). Sustainability in the Hospitality Industry: Some Personal Reflections on Corporate Challenges and Research Opportunities. International Journal of Contemporary Hospitality Management, 28(1), 36–67. </w:t>
      </w:r>
    </w:p>
    <w:p w14:paraId="111F5693" w14:textId="77777777" w:rsidR="00AF14B0" w:rsidRPr="00AF14B0" w:rsidRDefault="00AF14B0" w:rsidP="00643529">
      <w:pPr>
        <w:jc w:val="both"/>
      </w:pPr>
      <w:r w:rsidRPr="00AF14B0">
        <w:t xml:space="preserve">Kim, Y., Uysal, M., &amp; Sirgy, M. J. (2013). How Does Corporate Social Responsibility Contribute to Firm Financial Performance? The Mediating Role of Competitive Differentiation, Brand Image, and Customer Loyalty. Journal of Travel Research, 52(2), 214–228. </w:t>
      </w:r>
    </w:p>
    <w:p w14:paraId="7A490F0E" w14:textId="77777777" w:rsidR="00AF14B0" w:rsidRPr="00AF14B0" w:rsidRDefault="00AF14B0" w:rsidP="00643529">
      <w:pPr>
        <w:jc w:val="both"/>
      </w:pPr>
      <w:r w:rsidRPr="00AF14B0">
        <w:t xml:space="preserve">Kizildag, M., &amp; Nusair, K. (2010). Environmental Responsibility Practices in the Lodging Industry: An Analysis of Progress. Cornell Hospitality Quarterly, 51(3), 344–360. </w:t>
      </w:r>
    </w:p>
    <w:p w14:paraId="5FD37B21" w14:textId="77777777" w:rsidR="00AF14B0" w:rsidRPr="00AF14B0" w:rsidRDefault="00AF14B0" w:rsidP="00643529">
      <w:pPr>
        <w:jc w:val="both"/>
      </w:pPr>
      <w:r w:rsidRPr="00AF14B0">
        <w:t xml:space="preserve">Liu, Y., &amp; Wei, Z. (2018). Corporate Social Responsibility and Hotel Performance: A Non-linear Approach. International Journal of Contemporary Hospitality Management, 30(3), 1511–1531. </w:t>
      </w:r>
    </w:p>
    <w:p w14:paraId="4F278252" w14:textId="77777777" w:rsidR="00AF14B0" w:rsidRPr="00AF14B0" w:rsidRDefault="00AF14B0" w:rsidP="00643529">
      <w:pPr>
        <w:jc w:val="both"/>
      </w:pPr>
      <w:r w:rsidRPr="00AF14B0">
        <w:t xml:space="preserve">Porter, M. E., &amp; Kramer, M. R. (2011). Creating Shared Value. Harvard Business Review, 89(1/2), 62–77. </w:t>
      </w:r>
    </w:p>
    <w:p w14:paraId="39BF5BC1" w14:textId="77777777" w:rsidR="00AF14B0" w:rsidRPr="00AF14B0" w:rsidRDefault="00AF14B0" w:rsidP="00643529">
      <w:pPr>
        <w:jc w:val="both"/>
      </w:pPr>
      <w:r w:rsidRPr="00AF14B0">
        <w:t xml:space="preserve">Telfer, D. J., &amp; Sharpley, R. (2008). Tourism and Development in the Developing World. London: Routledge. </w:t>
      </w:r>
    </w:p>
    <w:p w14:paraId="7D2FDE64" w14:textId="77777777" w:rsidR="00AF14B0" w:rsidRPr="00AF14B0" w:rsidRDefault="00AF14B0" w:rsidP="00643529">
      <w:pPr>
        <w:jc w:val="both"/>
      </w:pPr>
      <w:r w:rsidRPr="00AF14B0">
        <w:t xml:space="preserve">World Tourism Organization. (2020). Global Report on Public-Private Partnerships for Sustainable Tourism Development. Madrid: UNWTO. </w:t>
      </w:r>
    </w:p>
    <w:p w14:paraId="2660F488" w14:textId="77777777" w:rsidR="00DB2297" w:rsidRDefault="00DB2297" w:rsidP="00643529">
      <w:pPr>
        <w:jc w:val="both"/>
      </w:pPr>
    </w:p>
    <w:p w14:paraId="55B45311" w14:textId="77777777" w:rsidR="00DB2297" w:rsidRPr="006C3C87" w:rsidRDefault="00DB2297" w:rsidP="006C3C87"/>
    <w:p w14:paraId="595AE3E7" w14:textId="0E104101" w:rsidR="008130CF" w:rsidRPr="008130CF" w:rsidRDefault="008130CF" w:rsidP="008130CF"/>
    <w:p w14:paraId="797EB9F7" w14:textId="0EE5F428" w:rsidR="008130CF" w:rsidRPr="008130CF" w:rsidRDefault="008130CF" w:rsidP="008130CF"/>
    <w:p w14:paraId="1A3AB033" w14:textId="77777777" w:rsidR="008130CF" w:rsidRDefault="008130CF" w:rsidP="005973BF"/>
    <w:p w14:paraId="60703E6B" w14:textId="77777777" w:rsidR="008130CF" w:rsidRPr="005973BF" w:rsidRDefault="008130CF" w:rsidP="005973BF"/>
    <w:p w14:paraId="2941B54E" w14:textId="77777777" w:rsidR="00EB163C" w:rsidRPr="00643529" w:rsidRDefault="00EB163C" w:rsidP="00643529">
      <w:pPr>
        <w:spacing w:line="360" w:lineRule="auto"/>
        <w:rPr>
          <w:rFonts w:ascii="Arial" w:hAnsi="Arial" w:cs="Arial"/>
        </w:rPr>
      </w:pPr>
    </w:p>
    <w:sectPr w:rsidR="00EB163C" w:rsidRPr="006435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639A"/>
    <w:rsid w:val="00347C1C"/>
    <w:rsid w:val="004424BB"/>
    <w:rsid w:val="004F639A"/>
    <w:rsid w:val="005973BF"/>
    <w:rsid w:val="00643529"/>
    <w:rsid w:val="006C3C87"/>
    <w:rsid w:val="00785618"/>
    <w:rsid w:val="008130CF"/>
    <w:rsid w:val="00AF14B0"/>
    <w:rsid w:val="00DB2297"/>
    <w:rsid w:val="00E3245F"/>
    <w:rsid w:val="00EB16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BFB9C"/>
  <w15:chartTrackingRefBased/>
  <w15:docId w15:val="{B5711727-B650-4E95-A152-9303EE304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63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63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63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63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63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63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63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63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63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63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63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63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63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63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63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63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63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639A"/>
    <w:rPr>
      <w:rFonts w:eastAsiaTheme="majorEastAsia" w:cstheme="majorBidi"/>
      <w:color w:val="272727" w:themeColor="text1" w:themeTint="D8"/>
    </w:rPr>
  </w:style>
  <w:style w:type="paragraph" w:styleId="Title">
    <w:name w:val="Title"/>
    <w:basedOn w:val="Normal"/>
    <w:next w:val="Normal"/>
    <w:link w:val="TitleChar"/>
    <w:uiPriority w:val="10"/>
    <w:qFormat/>
    <w:rsid w:val="004F63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63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63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63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639A"/>
    <w:pPr>
      <w:spacing w:before="160"/>
      <w:jc w:val="center"/>
    </w:pPr>
    <w:rPr>
      <w:i/>
      <w:iCs/>
      <w:color w:val="404040" w:themeColor="text1" w:themeTint="BF"/>
    </w:rPr>
  </w:style>
  <w:style w:type="character" w:customStyle="1" w:styleId="QuoteChar">
    <w:name w:val="Quote Char"/>
    <w:basedOn w:val="DefaultParagraphFont"/>
    <w:link w:val="Quote"/>
    <w:uiPriority w:val="29"/>
    <w:rsid w:val="004F639A"/>
    <w:rPr>
      <w:i/>
      <w:iCs/>
      <w:color w:val="404040" w:themeColor="text1" w:themeTint="BF"/>
    </w:rPr>
  </w:style>
  <w:style w:type="paragraph" w:styleId="ListParagraph">
    <w:name w:val="List Paragraph"/>
    <w:basedOn w:val="Normal"/>
    <w:uiPriority w:val="34"/>
    <w:qFormat/>
    <w:rsid w:val="004F639A"/>
    <w:pPr>
      <w:ind w:left="720"/>
      <w:contextualSpacing/>
    </w:pPr>
  </w:style>
  <w:style w:type="character" w:styleId="IntenseEmphasis">
    <w:name w:val="Intense Emphasis"/>
    <w:basedOn w:val="DefaultParagraphFont"/>
    <w:uiPriority w:val="21"/>
    <w:qFormat/>
    <w:rsid w:val="004F639A"/>
    <w:rPr>
      <w:i/>
      <w:iCs/>
      <w:color w:val="0F4761" w:themeColor="accent1" w:themeShade="BF"/>
    </w:rPr>
  </w:style>
  <w:style w:type="paragraph" w:styleId="IntenseQuote">
    <w:name w:val="Intense Quote"/>
    <w:basedOn w:val="Normal"/>
    <w:next w:val="Normal"/>
    <w:link w:val="IntenseQuoteChar"/>
    <w:uiPriority w:val="30"/>
    <w:qFormat/>
    <w:rsid w:val="004F63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639A"/>
    <w:rPr>
      <w:i/>
      <w:iCs/>
      <w:color w:val="0F4761" w:themeColor="accent1" w:themeShade="BF"/>
    </w:rPr>
  </w:style>
  <w:style w:type="character" w:styleId="IntenseReference">
    <w:name w:val="Intense Reference"/>
    <w:basedOn w:val="DefaultParagraphFont"/>
    <w:uiPriority w:val="32"/>
    <w:qFormat/>
    <w:rsid w:val="004F639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436067">
      <w:bodyDiv w:val="1"/>
      <w:marLeft w:val="0"/>
      <w:marRight w:val="0"/>
      <w:marTop w:val="0"/>
      <w:marBottom w:val="0"/>
      <w:divBdr>
        <w:top w:val="none" w:sz="0" w:space="0" w:color="auto"/>
        <w:left w:val="none" w:sz="0" w:space="0" w:color="auto"/>
        <w:bottom w:val="none" w:sz="0" w:space="0" w:color="auto"/>
        <w:right w:val="none" w:sz="0" w:space="0" w:color="auto"/>
      </w:divBdr>
    </w:div>
    <w:div w:id="75981217">
      <w:bodyDiv w:val="1"/>
      <w:marLeft w:val="0"/>
      <w:marRight w:val="0"/>
      <w:marTop w:val="0"/>
      <w:marBottom w:val="0"/>
      <w:divBdr>
        <w:top w:val="none" w:sz="0" w:space="0" w:color="auto"/>
        <w:left w:val="none" w:sz="0" w:space="0" w:color="auto"/>
        <w:bottom w:val="none" w:sz="0" w:space="0" w:color="auto"/>
        <w:right w:val="none" w:sz="0" w:space="0" w:color="auto"/>
      </w:divBdr>
    </w:div>
    <w:div w:id="178743676">
      <w:bodyDiv w:val="1"/>
      <w:marLeft w:val="0"/>
      <w:marRight w:val="0"/>
      <w:marTop w:val="0"/>
      <w:marBottom w:val="0"/>
      <w:divBdr>
        <w:top w:val="none" w:sz="0" w:space="0" w:color="auto"/>
        <w:left w:val="none" w:sz="0" w:space="0" w:color="auto"/>
        <w:bottom w:val="none" w:sz="0" w:space="0" w:color="auto"/>
        <w:right w:val="none" w:sz="0" w:space="0" w:color="auto"/>
      </w:divBdr>
    </w:div>
    <w:div w:id="255484122">
      <w:bodyDiv w:val="1"/>
      <w:marLeft w:val="0"/>
      <w:marRight w:val="0"/>
      <w:marTop w:val="0"/>
      <w:marBottom w:val="0"/>
      <w:divBdr>
        <w:top w:val="none" w:sz="0" w:space="0" w:color="auto"/>
        <w:left w:val="none" w:sz="0" w:space="0" w:color="auto"/>
        <w:bottom w:val="none" w:sz="0" w:space="0" w:color="auto"/>
        <w:right w:val="none" w:sz="0" w:space="0" w:color="auto"/>
      </w:divBdr>
    </w:div>
    <w:div w:id="297228115">
      <w:bodyDiv w:val="1"/>
      <w:marLeft w:val="0"/>
      <w:marRight w:val="0"/>
      <w:marTop w:val="0"/>
      <w:marBottom w:val="0"/>
      <w:divBdr>
        <w:top w:val="none" w:sz="0" w:space="0" w:color="auto"/>
        <w:left w:val="none" w:sz="0" w:space="0" w:color="auto"/>
        <w:bottom w:val="none" w:sz="0" w:space="0" w:color="auto"/>
        <w:right w:val="none" w:sz="0" w:space="0" w:color="auto"/>
      </w:divBdr>
    </w:div>
    <w:div w:id="320930109">
      <w:bodyDiv w:val="1"/>
      <w:marLeft w:val="0"/>
      <w:marRight w:val="0"/>
      <w:marTop w:val="0"/>
      <w:marBottom w:val="0"/>
      <w:divBdr>
        <w:top w:val="none" w:sz="0" w:space="0" w:color="auto"/>
        <w:left w:val="none" w:sz="0" w:space="0" w:color="auto"/>
        <w:bottom w:val="none" w:sz="0" w:space="0" w:color="auto"/>
        <w:right w:val="none" w:sz="0" w:space="0" w:color="auto"/>
      </w:divBdr>
    </w:div>
    <w:div w:id="331762648">
      <w:bodyDiv w:val="1"/>
      <w:marLeft w:val="0"/>
      <w:marRight w:val="0"/>
      <w:marTop w:val="0"/>
      <w:marBottom w:val="0"/>
      <w:divBdr>
        <w:top w:val="none" w:sz="0" w:space="0" w:color="auto"/>
        <w:left w:val="none" w:sz="0" w:space="0" w:color="auto"/>
        <w:bottom w:val="none" w:sz="0" w:space="0" w:color="auto"/>
        <w:right w:val="none" w:sz="0" w:space="0" w:color="auto"/>
      </w:divBdr>
    </w:div>
    <w:div w:id="547453810">
      <w:bodyDiv w:val="1"/>
      <w:marLeft w:val="0"/>
      <w:marRight w:val="0"/>
      <w:marTop w:val="0"/>
      <w:marBottom w:val="0"/>
      <w:divBdr>
        <w:top w:val="none" w:sz="0" w:space="0" w:color="auto"/>
        <w:left w:val="none" w:sz="0" w:space="0" w:color="auto"/>
        <w:bottom w:val="none" w:sz="0" w:space="0" w:color="auto"/>
        <w:right w:val="none" w:sz="0" w:space="0" w:color="auto"/>
      </w:divBdr>
    </w:div>
    <w:div w:id="770508604">
      <w:bodyDiv w:val="1"/>
      <w:marLeft w:val="0"/>
      <w:marRight w:val="0"/>
      <w:marTop w:val="0"/>
      <w:marBottom w:val="0"/>
      <w:divBdr>
        <w:top w:val="none" w:sz="0" w:space="0" w:color="auto"/>
        <w:left w:val="none" w:sz="0" w:space="0" w:color="auto"/>
        <w:bottom w:val="none" w:sz="0" w:space="0" w:color="auto"/>
        <w:right w:val="none" w:sz="0" w:space="0" w:color="auto"/>
      </w:divBdr>
    </w:div>
    <w:div w:id="784157591">
      <w:bodyDiv w:val="1"/>
      <w:marLeft w:val="0"/>
      <w:marRight w:val="0"/>
      <w:marTop w:val="0"/>
      <w:marBottom w:val="0"/>
      <w:divBdr>
        <w:top w:val="none" w:sz="0" w:space="0" w:color="auto"/>
        <w:left w:val="none" w:sz="0" w:space="0" w:color="auto"/>
        <w:bottom w:val="none" w:sz="0" w:space="0" w:color="auto"/>
        <w:right w:val="none" w:sz="0" w:space="0" w:color="auto"/>
      </w:divBdr>
    </w:div>
    <w:div w:id="1207836434">
      <w:bodyDiv w:val="1"/>
      <w:marLeft w:val="0"/>
      <w:marRight w:val="0"/>
      <w:marTop w:val="0"/>
      <w:marBottom w:val="0"/>
      <w:divBdr>
        <w:top w:val="none" w:sz="0" w:space="0" w:color="auto"/>
        <w:left w:val="none" w:sz="0" w:space="0" w:color="auto"/>
        <w:bottom w:val="none" w:sz="0" w:space="0" w:color="auto"/>
        <w:right w:val="none" w:sz="0" w:space="0" w:color="auto"/>
      </w:divBdr>
    </w:div>
    <w:div w:id="1254822797">
      <w:bodyDiv w:val="1"/>
      <w:marLeft w:val="0"/>
      <w:marRight w:val="0"/>
      <w:marTop w:val="0"/>
      <w:marBottom w:val="0"/>
      <w:divBdr>
        <w:top w:val="none" w:sz="0" w:space="0" w:color="auto"/>
        <w:left w:val="none" w:sz="0" w:space="0" w:color="auto"/>
        <w:bottom w:val="none" w:sz="0" w:space="0" w:color="auto"/>
        <w:right w:val="none" w:sz="0" w:space="0" w:color="auto"/>
      </w:divBdr>
      <w:divsChild>
        <w:div w:id="279844547">
          <w:marLeft w:val="0"/>
          <w:marRight w:val="0"/>
          <w:marTop w:val="0"/>
          <w:marBottom w:val="0"/>
          <w:divBdr>
            <w:top w:val="none" w:sz="0" w:space="0" w:color="auto"/>
            <w:left w:val="none" w:sz="0" w:space="0" w:color="auto"/>
            <w:bottom w:val="none" w:sz="0" w:space="0" w:color="auto"/>
            <w:right w:val="none" w:sz="0" w:space="0" w:color="auto"/>
          </w:divBdr>
        </w:div>
      </w:divsChild>
    </w:div>
    <w:div w:id="1305504438">
      <w:bodyDiv w:val="1"/>
      <w:marLeft w:val="0"/>
      <w:marRight w:val="0"/>
      <w:marTop w:val="0"/>
      <w:marBottom w:val="0"/>
      <w:divBdr>
        <w:top w:val="none" w:sz="0" w:space="0" w:color="auto"/>
        <w:left w:val="none" w:sz="0" w:space="0" w:color="auto"/>
        <w:bottom w:val="none" w:sz="0" w:space="0" w:color="auto"/>
        <w:right w:val="none" w:sz="0" w:space="0" w:color="auto"/>
      </w:divBdr>
    </w:div>
    <w:div w:id="1442459902">
      <w:bodyDiv w:val="1"/>
      <w:marLeft w:val="0"/>
      <w:marRight w:val="0"/>
      <w:marTop w:val="0"/>
      <w:marBottom w:val="0"/>
      <w:divBdr>
        <w:top w:val="none" w:sz="0" w:space="0" w:color="auto"/>
        <w:left w:val="none" w:sz="0" w:space="0" w:color="auto"/>
        <w:bottom w:val="none" w:sz="0" w:space="0" w:color="auto"/>
        <w:right w:val="none" w:sz="0" w:space="0" w:color="auto"/>
      </w:divBdr>
    </w:div>
    <w:div w:id="1562059207">
      <w:bodyDiv w:val="1"/>
      <w:marLeft w:val="0"/>
      <w:marRight w:val="0"/>
      <w:marTop w:val="0"/>
      <w:marBottom w:val="0"/>
      <w:divBdr>
        <w:top w:val="none" w:sz="0" w:space="0" w:color="auto"/>
        <w:left w:val="none" w:sz="0" w:space="0" w:color="auto"/>
        <w:bottom w:val="none" w:sz="0" w:space="0" w:color="auto"/>
        <w:right w:val="none" w:sz="0" w:space="0" w:color="auto"/>
      </w:divBdr>
    </w:div>
    <w:div w:id="1597400242">
      <w:bodyDiv w:val="1"/>
      <w:marLeft w:val="0"/>
      <w:marRight w:val="0"/>
      <w:marTop w:val="0"/>
      <w:marBottom w:val="0"/>
      <w:divBdr>
        <w:top w:val="none" w:sz="0" w:space="0" w:color="auto"/>
        <w:left w:val="none" w:sz="0" w:space="0" w:color="auto"/>
        <w:bottom w:val="none" w:sz="0" w:space="0" w:color="auto"/>
        <w:right w:val="none" w:sz="0" w:space="0" w:color="auto"/>
      </w:divBdr>
    </w:div>
    <w:div w:id="1680816589">
      <w:bodyDiv w:val="1"/>
      <w:marLeft w:val="0"/>
      <w:marRight w:val="0"/>
      <w:marTop w:val="0"/>
      <w:marBottom w:val="0"/>
      <w:divBdr>
        <w:top w:val="none" w:sz="0" w:space="0" w:color="auto"/>
        <w:left w:val="none" w:sz="0" w:space="0" w:color="auto"/>
        <w:bottom w:val="none" w:sz="0" w:space="0" w:color="auto"/>
        <w:right w:val="none" w:sz="0" w:space="0" w:color="auto"/>
      </w:divBdr>
    </w:div>
    <w:div w:id="1712076817">
      <w:bodyDiv w:val="1"/>
      <w:marLeft w:val="0"/>
      <w:marRight w:val="0"/>
      <w:marTop w:val="0"/>
      <w:marBottom w:val="0"/>
      <w:divBdr>
        <w:top w:val="none" w:sz="0" w:space="0" w:color="auto"/>
        <w:left w:val="none" w:sz="0" w:space="0" w:color="auto"/>
        <w:bottom w:val="none" w:sz="0" w:space="0" w:color="auto"/>
        <w:right w:val="none" w:sz="0" w:space="0" w:color="auto"/>
      </w:divBdr>
    </w:div>
    <w:div w:id="1714386529">
      <w:bodyDiv w:val="1"/>
      <w:marLeft w:val="0"/>
      <w:marRight w:val="0"/>
      <w:marTop w:val="0"/>
      <w:marBottom w:val="0"/>
      <w:divBdr>
        <w:top w:val="none" w:sz="0" w:space="0" w:color="auto"/>
        <w:left w:val="none" w:sz="0" w:space="0" w:color="auto"/>
        <w:bottom w:val="none" w:sz="0" w:space="0" w:color="auto"/>
        <w:right w:val="none" w:sz="0" w:space="0" w:color="auto"/>
      </w:divBdr>
    </w:div>
    <w:div w:id="1930892803">
      <w:bodyDiv w:val="1"/>
      <w:marLeft w:val="0"/>
      <w:marRight w:val="0"/>
      <w:marTop w:val="0"/>
      <w:marBottom w:val="0"/>
      <w:divBdr>
        <w:top w:val="none" w:sz="0" w:space="0" w:color="auto"/>
        <w:left w:val="none" w:sz="0" w:space="0" w:color="auto"/>
        <w:bottom w:val="none" w:sz="0" w:space="0" w:color="auto"/>
        <w:right w:val="none" w:sz="0" w:space="0" w:color="auto"/>
      </w:divBdr>
    </w:div>
    <w:div w:id="2020035463">
      <w:bodyDiv w:val="1"/>
      <w:marLeft w:val="0"/>
      <w:marRight w:val="0"/>
      <w:marTop w:val="0"/>
      <w:marBottom w:val="0"/>
      <w:divBdr>
        <w:top w:val="none" w:sz="0" w:space="0" w:color="auto"/>
        <w:left w:val="none" w:sz="0" w:space="0" w:color="auto"/>
        <w:bottom w:val="none" w:sz="0" w:space="0" w:color="auto"/>
        <w:right w:val="none" w:sz="0" w:space="0" w:color="auto"/>
      </w:divBdr>
    </w:div>
    <w:div w:id="2073964001">
      <w:bodyDiv w:val="1"/>
      <w:marLeft w:val="0"/>
      <w:marRight w:val="0"/>
      <w:marTop w:val="0"/>
      <w:marBottom w:val="0"/>
      <w:divBdr>
        <w:top w:val="none" w:sz="0" w:space="0" w:color="auto"/>
        <w:left w:val="none" w:sz="0" w:space="0" w:color="auto"/>
        <w:bottom w:val="none" w:sz="0" w:space="0" w:color="auto"/>
        <w:right w:val="none" w:sz="0" w:space="0" w:color="auto"/>
      </w:divBdr>
    </w:div>
    <w:div w:id="2106805112">
      <w:bodyDiv w:val="1"/>
      <w:marLeft w:val="0"/>
      <w:marRight w:val="0"/>
      <w:marTop w:val="0"/>
      <w:marBottom w:val="0"/>
      <w:divBdr>
        <w:top w:val="none" w:sz="0" w:space="0" w:color="auto"/>
        <w:left w:val="none" w:sz="0" w:space="0" w:color="auto"/>
        <w:bottom w:val="none" w:sz="0" w:space="0" w:color="auto"/>
        <w:right w:val="none" w:sz="0" w:space="0" w:color="auto"/>
      </w:divBdr>
    </w:div>
    <w:div w:id="2145583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2087</Words>
  <Characters>13651</Characters>
  <Application>Microsoft Office Word</Application>
  <DocSecurity>0</DocSecurity>
  <Lines>206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Garraghan (2212964)</dc:creator>
  <cp:keywords/>
  <dc:description/>
  <cp:lastModifiedBy>Lauren Garraghan (2212964)</cp:lastModifiedBy>
  <cp:revision>2</cp:revision>
  <dcterms:created xsi:type="dcterms:W3CDTF">2024-04-20T18:33:00Z</dcterms:created>
  <dcterms:modified xsi:type="dcterms:W3CDTF">2024-04-20T18:33:00Z</dcterms:modified>
</cp:coreProperties>
</file>