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DAC73E" w14:textId="115078E3" w:rsidR="002F6974" w:rsidRDefault="002F6974">
      <w:pPr>
        <w:pBdr>
          <w:top w:val="nil"/>
          <w:left w:val="nil"/>
          <w:bottom w:val="nil"/>
          <w:right w:val="nil"/>
          <w:between w:val="nil"/>
        </w:pBdr>
        <w:rPr>
          <w:color w:val="000000"/>
        </w:rPr>
      </w:pPr>
    </w:p>
    <w:p w14:paraId="791A51C3" w14:textId="77777777" w:rsidR="002F6974" w:rsidRDefault="002F6974">
      <w:pPr>
        <w:pBdr>
          <w:top w:val="nil"/>
          <w:left w:val="nil"/>
          <w:bottom w:val="nil"/>
          <w:right w:val="nil"/>
          <w:between w:val="nil"/>
        </w:pBdr>
        <w:rPr>
          <w:color w:val="000000"/>
        </w:rPr>
      </w:pPr>
    </w:p>
    <w:p w14:paraId="01BFA78B" w14:textId="77777777" w:rsidR="002F6974" w:rsidRDefault="002F6974">
      <w:pPr>
        <w:pBdr>
          <w:top w:val="nil"/>
          <w:left w:val="nil"/>
          <w:bottom w:val="nil"/>
          <w:right w:val="nil"/>
          <w:between w:val="nil"/>
        </w:pBdr>
        <w:rPr>
          <w:color w:val="000000"/>
        </w:rPr>
      </w:pPr>
    </w:p>
    <w:p w14:paraId="308B4328" w14:textId="77777777" w:rsidR="002F6974" w:rsidRDefault="002F6974">
      <w:pPr>
        <w:pBdr>
          <w:top w:val="nil"/>
          <w:left w:val="nil"/>
          <w:bottom w:val="nil"/>
          <w:right w:val="nil"/>
          <w:between w:val="nil"/>
        </w:pBdr>
        <w:rPr>
          <w:color w:val="000000"/>
        </w:rPr>
      </w:pPr>
    </w:p>
    <w:p w14:paraId="699C3032" w14:textId="77777777" w:rsidR="002F6974" w:rsidRDefault="002F6974">
      <w:pPr>
        <w:pBdr>
          <w:top w:val="nil"/>
          <w:left w:val="nil"/>
          <w:bottom w:val="nil"/>
          <w:right w:val="nil"/>
          <w:between w:val="nil"/>
        </w:pBdr>
        <w:jc w:val="center"/>
        <w:rPr>
          <w:b/>
          <w:bCs/>
          <w:color w:val="000000"/>
          <w:sz w:val="32"/>
          <w:szCs w:val="32"/>
        </w:rPr>
      </w:pPr>
    </w:p>
    <w:p w14:paraId="27F1D6C4" w14:textId="77777777" w:rsidR="002F6974" w:rsidRDefault="002F6974">
      <w:pPr>
        <w:pBdr>
          <w:top w:val="nil"/>
          <w:left w:val="nil"/>
          <w:bottom w:val="nil"/>
          <w:right w:val="nil"/>
          <w:between w:val="nil"/>
        </w:pBdr>
        <w:jc w:val="center"/>
        <w:rPr>
          <w:b/>
          <w:bCs/>
          <w:color w:val="000000"/>
          <w:sz w:val="32"/>
          <w:szCs w:val="32"/>
        </w:rPr>
      </w:pPr>
    </w:p>
    <w:p w14:paraId="03C8E690" w14:textId="77777777" w:rsidR="002F6974" w:rsidRDefault="002F6974">
      <w:pPr>
        <w:pBdr>
          <w:top w:val="nil"/>
          <w:left w:val="nil"/>
          <w:bottom w:val="nil"/>
          <w:right w:val="nil"/>
          <w:between w:val="nil"/>
        </w:pBdr>
        <w:jc w:val="center"/>
        <w:rPr>
          <w:b/>
          <w:bCs/>
          <w:color w:val="000000"/>
          <w:sz w:val="32"/>
          <w:szCs w:val="32"/>
        </w:rPr>
      </w:pPr>
    </w:p>
    <w:p w14:paraId="4D41CF1E" w14:textId="77777777" w:rsidR="002F6974" w:rsidRDefault="002F6974">
      <w:pPr>
        <w:pBdr>
          <w:top w:val="nil"/>
          <w:left w:val="nil"/>
          <w:bottom w:val="nil"/>
          <w:right w:val="nil"/>
          <w:between w:val="nil"/>
        </w:pBdr>
        <w:jc w:val="center"/>
        <w:rPr>
          <w:b/>
          <w:bCs/>
          <w:color w:val="000000"/>
          <w:sz w:val="32"/>
          <w:szCs w:val="32"/>
        </w:rPr>
      </w:pPr>
    </w:p>
    <w:p w14:paraId="70B3A390" w14:textId="77777777" w:rsidR="002F6974" w:rsidRDefault="00567E4E">
      <w:pPr>
        <w:pBdr>
          <w:top w:val="nil"/>
          <w:left w:val="nil"/>
          <w:bottom w:val="nil"/>
          <w:right w:val="nil"/>
          <w:between w:val="nil"/>
        </w:pBdr>
        <w:jc w:val="center"/>
        <w:rPr>
          <w:b/>
          <w:bCs/>
          <w:color w:val="000000"/>
          <w:sz w:val="32"/>
          <w:szCs w:val="32"/>
        </w:rPr>
      </w:pPr>
      <w:r>
        <w:rPr>
          <w:b/>
          <w:bCs/>
          <w:color w:val="000000"/>
          <w:sz w:val="32"/>
          <w:szCs w:val="32"/>
        </w:rPr>
        <w:t>INNOVATION AND CUSTOMER</w:t>
      </w:r>
    </w:p>
    <w:p w14:paraId="3696BA35" w14:textId="77777777" w:rsidR="002F6974" w:rsidRDefault="00567E4E">
      <w:pPr>
        <w:pBdr>
          <w:top w:val="nil"/>
          <w:left w:val="nil"/>
          <w:bottom w:val="nil"/>
          <w:right w:val="nil"/>
          <w:between w:val="nil"/>
        </w:pBdr>
        <w:jc w:val="center"/>
        <w:rPr>
          <w:b/>
          <w:bCs/>
          <w:color w:val="000000"/>
          <w:sz w:val="32"/>
          <w:szCs w:val="32"/>
        </w:rPr>
      </w:pPr>
      <w:r>
        <w:rPr>
          <w:b/>
          <w:bCs/>
          <w:color w:val="000000"/>
          <w:sz w:val="32"/>
          <w:szCs w:val="32"/>
        </w:rPr>
        <w:t>JOURNEY OF DIAGEO</w:t>
      </w:r>
    </w:p>
    <w:p w14:paraId="4F725680" w14:textId="77777777" w:rsidR="002F6974" w:rsidRDefault="00567E4E">
      <w:pPr>
        <w:pBdr>
          <w:top w:val="nil"/>
          <w:left w:val="nil"/>
          <w:bottom w:val="nil"/>
          <w:right w:val="nil"/>
          <w:between w:val="nil"/>
        </w:pBdr>
        <w:jc w:val="center"/>
        <w:rPr>
          <w:b/>
          <w:bCs/>
          <w:color w:val="000000"/>
          <w:sz w:val="32"/>
          <w:szCs w:val="32"/>
        </w:rPr>
      </w:pPr>
      <w:r>
        <w:rPr>
          <w:b/>
          <w:bCs/>
          <w:color w:val="000000"/>
          <w:sz w:val="32"/>
          <w:szCs w:val="32"/>
        </w:rPr>
        <w:t>MODULE CODE: LCLM 6002</w:t>
      </w:r>
    </w:p>
    <w:p w14:paraId="706D3EC5" w14:textId="77777777" w:rsidR="002F6974" w:rsidRDefault="00567E4E">
      <w:pPr>
        <w:pBdr>
          <w:top w:val="nil"/>
          <w:left w:val="nil"/>
          <w:bottom w:val="nil"/>
          <w:right w:val="nil"/>
          <w:between w:val="nil"/>
        </w:pBdr>
        <w:jc w:val="center"/>
        <w:rPr>
          <w:b/>
          <w:bCs/>
          <w:color w:val="000000"/>
          <w:sz w:val="32"/>
          <w:szCs w:val="32"/>
        </w:rPr>
      </w:pPr>
      <w:r>
        <w:rPr>
          <w:b/>
          <w:bCs/>
          <w:color w:val="000000"/>
          <w:sz w:val="32"/>
          <w:szCs w:val="32"/>
        </w:rPr>
        <w:t>MODULE TITLE: DESIGN THINKING AND INNOVATION</w:t>
      </w:r>
    </w:p>
    <w:p w14:paraId="2A0DF657" w14:textId="4F2A72AB" w:rsidR="002F6974" w:rsidRDefault="00567E4E">
      <w:pPr>
        <w:pBdr>
          <w:top w:val="nil"/>
          <w:left w:val="nil"/>
          <w:bottom w:val="nil"/>
          <w:right w:val="nil"/>
          <w:between w:val="nil"/>
        </w:pBdr>
        <w:jc w:val="center"/>
        <w:rPr>
          <w:b/>
          <w:bCs/>
          <w:color w:val="000000"/>
          <w:sz w:val="32"/>
          <w:szCs w:val="32"/>
        </w:rPr>
      </w:pPr>
      <w:r>
        <w:rPr>
          <w:b/>
          <w:bCs/>
          <w:color w:val="000000"/>
          <w:sz w:val="32"/>
          <w:szCs w:val="32"/>
        </w:rPr>
        <w:t>STUDENT NAME:</w:t>
      </w:r>
      <w:r w:rsidR="008779D6">
        <w:rPr>
          <w:b/>
          <w:bCs/>
          <w:color w:val="000000"/>
          <w:sz w:val="32"/>
          <w:szCs w:val="32"/>
        </w:rPr>
        <w:t xml:space="preserve"> Ancuta Bahnean</w:t>
      </w:r>
    </w:p>
    <w:p w14:paraId="74B03B4C" w14:textId="0D9B36D9" w:rsidR="002F6974" w:rsidRDefault="00567E4E">
      <w:pPr>
        <w:pBdr>
          <w:top w:val="nil"/>
          <w:left w:val="nil"/>
          <w:bottom w:val="nil"/>
          <w:right w:val="nil"/>
          <w:between w:val="nil"/>
        </w:pBdr>
        <w:jc w:val="center"/>
        <w:rPr>
          <w:b/>
          <w:bCs/>
          <w:color w:val="000000"/>
          <w:sz w:val="32"/>
          <w:szCs w:val="32"/>
        </w:rPr>
      </w:pPr>
      <w:r>
        <w:rPr>
          <w:b/>
          <w:bCs/>
          <w:color w:val="000000"/>
          <w:sz w:val="32"/>
          <w:szCs w:val="32"/>
        </w:rPr>
        <w:t>STUDENT ID:</w:t>
      </w:r>
      <w:r w:rsidR="008779D6">
        <w:rPr>
          <w:b/>
          <w:bCs/>
          <w:color w:val="000000"/>
          <w:sz w:val="32"/>
          <w:szCs w:val="32"/>
        </w:rPr>
        <w:t>2315167</w:t>
      </w:r>
      <w:r>
        <w:br w:type="page"/>
      </w:r>
    </w:p>
    <w:p w14:paraId="27DFCEB1" w14:textId="77777777" w:rsidR="002F6974" w:rsidRDefault="00567E4E">
      <w:pPr>
        <w:jc w:val="center"/>
        <w:rPr>
          <w:b/>
          <w:bCs/>
          <w:sz w:val="28"/>
          <w:szCs w:val="28"/>
        </w:rPr>
      </w:pPr>
      <w:r>
        <w:rPr>
          <w:b/>
          <w:bCs/>
          <w:sz w:val="28"/>
          <w:szCs w:val="28"/>
        </w:rPr>
        <w:lastRenderedPageBreak/>
        <w:t xml:space="preserve">Executive Summary </w:t>
      </w:r>
    </w:p>
    <w:p w14:paraId="50092E59" w14:textId="77777777" w:rsidR="002F6974" w:rsidRPr="00FD70C5" w:rsidRDefault="00567E4E">
      <w:pPr>
        <w:keepLines/>
      </w:pPr>
      <w:r>
        <w:t xml:space="preserve">The report has demonstrated the impact of innovation on business operations. </w:t>
      </w:r>
      <w:r w:rsidRPr="00FD70C5">
        <w:t xml:space="preserve">To illustrate this, Diageo has been selected as the case study. The report begins with an overview of Diageo and outlines the study’s purpose. The second section examines key consumer and industry trends impacting Diageo’s operations. The third section applies the Innovation Ambition Matrix and Customer Journey Mapping to Diageo, highlighting current practices and future opportunities. The fourth section proposes digital transformation initiatives and evaluates their potential benefits for Diageo. The conclusion summarises key findings and outlines future strategic directions. </w:t>
      </w:r>
      <w:r w:rsidRPr="00FD70C5">
        <w:br w:type="page"/>
      </w:r>
    </w:p>
    <w:p w14:paraId="0B43E234" w14:textId="77777777" w:rsidR="002F6974" w:rsidRDefault="00567E4E">
      <w:pPr>
        <w:keepNext/>
        <w:keepLines/>
        <w:pBdr>
          <w:top w:val="nil"/>
          <w:left w:val="nil"/>
          <w:bottom w:val="nil"/>
          <w:right w:val="nil"/>
          <w:between w:val="nil"/>
        </w:pBdr>
        <w:spacing w:before="480" w:line="276" w:lineRule="auto"/>
        <w:jc w:val="center"/>
        <w:rPr>
          <w:rFonts w:ascii="Calibri" w:eastAsia="Calibri" w:hAnsi="Calibri" w:cs="Calibri"/>
          <w:b/>
          <w:bCs/>
          <w:color w:val="000000"/>
          <w:sz w:val="28"/>
          <w:szCs w:val="28"/>
        </w:rPr>
      </w:pPr>
      <w:r>
        <w:rPr>
          <w:rFonts w:ascii="Calibri" w:eastAsia="Calibri" w:hAnsi="Calibri" w:cs="Calibri"/>
          <w:b/>
          <w:bCs/>
          <w:color w:val="000000"/>
          <w:sz w:val="28"/>
          <w:szCs w:val="28"/>
        </w:rPr>
        <w:lastRenderedPageBreak/>
        <w:t>Table of Contents</w:t>
      </w:r>
    </w:p>
    <w:sdt>
      <w:sdtPr>
        <w:id w:val="1025206998"/>
        <w:docPartObj>
          <w:docPartGallery w:val="Table of Contents"/>
          <w:docPartUnique/>
        </w:docPartObj>
      </w:sdtPr>
      <w:sdtContent>
        <w:p w14:paraId="46499E83" w14:textId="77777777" w:rsidR="002F6974" w:rsidRDefault="002F6974">
          <w:pPr>
            <w:pBdr>
              <w:top w:val="nil"/>
              <w:left w:val="nil"/>
              <w:bottom w:val="nil"/>
              <w:right w:val="nil"/>
              <w:between w:val="nil"/>
            </w:pBdr>
            <w:tabs>
              <w:tab w:val="left" w:pos="480"/>
              <w:tab w:val="right" w:leader="dot" w:pos="9019"/>
            </w:tabs>
            <w:spacing w:after="100"/>
            <w:rPr>
              <w:rFonts w:ascii="Cambria" w:eastAsia="Cambria" w:hAnsi="Cambria" w:cs="Cambria"/>
              <w:noProof/>
              <w:color w:val="000000"/>
              <w:sz w:val="24"/>
              <w:szCs w:val="24"/>
            </w:rPr>
          </w:pPr>
          <w:r>
            <w:fldChar w:fldCharType="begin"/>
          </w:r>
          <w:r w:rsidR="00567E4E">
            <w:instrText xml:space="preserve"> TOC \h \u \z \t "Heading 1,1,Heading 2,2,Heading 3,3,"</w:instrText>
          </w:r>
          <w:r>
            <w:fldChar w:fldCharType="separate"/>
          </w:r>
          <w:hyperlink w:anchor="_heading=h.2l0vi1sstukb">
            <w:r w:rsidR="00567E4E">
              <w:rPr>
                <w:noProof/>
                <w:color w:val="000000"/>
              </w:rPr>
              <w:t>1.</w:t>
            </w:r>
          </w:hyperlink>
          <w:hyperlink w:anchor="_heading=h.2l0vi1sstukb">
            <w:r w:rsidR="00567E4E">
              <w:rPr>
                <w:rFonts w:ascii="Cambria" w:eastAsia="Cambria" w:hAnsi="Cambria" w:cs="Cambria"/>
                <w:noProof/>
                <w:color w:val="000000"/>
                <w:sz w:val="24"/>
                <w:szCs w:val="24"/>
              </w:rPr>
              <w:tab/>
            </w:r>
          </w:hyperlink>
          <w:r>
            <w:rPr>
              <w:noProof/>
            </w:rPr>
            <w:fldChar w:fldCharType="begin"/>
          </w:r>
          <w:r w:rsidR="00567E4E">
            <w:rPr>
              <w:noProof/>
            </w:rPr>
            <w:instrText xml:space="preserve"> PAGEREF _heading=h.2l0vi1sstukb \h </w:instrText>
          </w:r>
          <w:r>
            <w:rPr>
              <w:noProof/>
            </w:rPr>
          </w:r>
          <w:r>
            <w:rPr>
              <w:noProof/>
            </w:rPr>
            <w:fldChar w:fldCharType="separate"/>
          </w:r>
          <w:r w:rsidR="001760A9">
            <w:rPr>
              <w:noProof/>
            </w:rPr>
            <w:t>4</w:t>
          </w:r>
          <w:r>
            <w:rPr>
              <w:noProof/>
            </w:rPr>
            <w:fldChar w:fldCharType="end"/>
          </w:r>
        </w:p>
        <w:p w14:paraId="1152D538" w14:textId="77777777" w:rsidR="002F6974" w:rsidRDefault="00567E4E">
          <w:pPr>
            <w:pBdr>
              <w:top w:val="nil"/>
              <w:left w:val="nil"/>
              <w:bottom w:val="nil"/>
              <w:right w:val="nil"/>
              <w:between w:val="nil"/>
            </w:pBdr>
            <w:tabs>
              <w:tab w:val="right" w:leader="dot" w:pos="9019"/>
            </w:tabs>
            <w:spacing w:after="100"/>
            <w:ind w:left="220"/>
            <w:rPr>
              <w:rFonts w:ascii="Cambria" w:eastAsia="Cambria" w:hAnsi="Cambria" w:cs="Cambria"/>
              <w:noProof/>
              <w:color w:val="000000"/>
              <w:sz w:val="24"/>
              <w:szCs w:val="24"/>
            </w:rPr>
          </w:pPr>
          <w:hyperlink w:anchor="_heading=h.ddma59ivub8m">
            <w:r>
              <w:rPr>
                <w:noProof/>
                <w:color w:val="000000"/>
              </w:rPr>
              <w:t>1.1 Purpose of the study</w:t>
            </w:r>
            <w:r>
              <w:rPr>
                <w:noProof/>
                <w:color w:val="000000"/>
              </w:rPr>
              <w:tab/>
              <w:t>4</w:t>
            </w:r>
          </w:hyperlink>
        </w:p>
        <w:p w14:paraId="31CA7FB7" w14:textId="77777777" w:rsidR="002F6974" w:rsidRDefault="00567E4E">
          <w:pPr>
            <w:pBdr>
              <w:top w:val="nil"/>
              <w:left w:val="nil"/>
              <w:bottom w:val="nil"/>
              <w:right w:val="nil"/>
              <w:between w:val="nil"/>
            </w:pBdr>
            <w:tabs>
              <w:tab w:val="right" w:leader="dot" w:pos="9019"/>
            </w:tabs>
            <w:spacing w:after="100"/>
            <w:ind w:left="220"/>
            <w:rPr>
              <w:rFonts w:ascii="Cambria" w:eastAsia="Cambria" w:hAnsi="Cambria" w:cs="Cambria"/>
              <w:noProof/>
              <w:color w:val="000000"/>
              <w:sz w:val="24"/>
              <w:szCs w:val="24"/>
            </w:rPr>
          </w:pPr>
          <w:hyperlink w:anchor="_heading=h.ozmkk5nu99t2">
            <w:r>
              <w:rPr>
                <w:noProof/>
                <w:color w:val="000000"/>
              </w:rPr>
              <w:t>1.2 Overview of the chosen organisation</w:t>
            </w:r>
            <w:r>
              <w:rPr>
                <w:noProof/>
                <w:color w:val="000000"/>
              </w:rPr>
              <w:tab/>
              <w:t>4</w:t>
            </w:r>
          </w:hyperlink>
        </w:p>
        <w:p w14:paraId="40925610" w14:textId="77777777" w:rsidR="002F6974" w:rsidRDefault="00567E4E">
          <w:pPr>
            <w:pBdr>
              <w:top w:val="nil"/>
              <w:left w:val="nil"/>
              <w:bottom w:val="nil"/>
              <w:right w:val="nil"/>
              <w:between w:val="nil"/>
            </w:pBdr>
            <w:tabs>
              <w:tab w:val="right" w:leader="dot" w:pos="9019"/>
            </w:tabs>
            <w:spacing w:after="100"/>
            <w:rPr>
              <w:rFonts w:ascii="Cambria" w:eastAsia="Cambria" w:hAnsi="Cambria" w:cs="Cambria"/>
              <w:noProof/>
              <w:color w:val="000000"/>
              <w:sz w:val="24"/>
              <w:szCs w:val="24"/>
            </w:rPr>
          </w:pPr>
          <w:hyperlink w:anchor="_heading=h.gs4q8y9mstyk">
            <w:r>
              <w:rPr>
                <w:noProof/>
                <w:color w:val="000000"/>
              </w:rPr>
              <w:t>2. Relevant trends affecting the organisation</w:t>
            </w:r>
            <w:r>
              <w:rPr>
                <w:noProof/>
                <w:color w:val="000000"/>
              </w:rPr>
              <w:tab/>
              <w:t>5</w:t>
            </w:r>
          </w:hyperlink>
        </w:p>
        <w:p w14:paraId="48FC81B3" w14:textId="77777777" w:rsidR="002F6974" w:rsidRDefault="00567E4E">
          <w:pPr>
            <w:pBdr>
              <w:top w:val="nil"/>
              <w:left w:val="nil"/>
              <w:bottom w:val="nil"/>
              <w:right w:val="nil"/>
              <w:between w:val="nil"/>
            </w:pBdr>
            <w:tabs>
              <w:tab w:val="right" w:leader="dot" w:pos="9019"/>
            </w:tabs>
            <w:spacing w:after="100"/>
            <w:ind w:left="220"/>
            <w:rPr>
              <w:rFonts w:ascii="Cambria" w:eastAsia="Cambria" w:hAnsi="Cambria" w:cs="Cambria"/>
              <w:noProof/>
              <w:color w:val="000000"/>
              <w:sz w:val="24"/>
              <w:szCs w:val="24"/>
            </w:rPr>
          </w:pPr>
          <w:hyperlink w:anchor="_heading=h.qqgxt2slrc7c">
            <w:r>
              <w:rPr>
                <w:noProof/>
                <w:color w:val="000000"/>
              </w:rPr>
              <w:t>2.1 Key Consumer Trends</w:t>
            </w:r>
            <w:r>
              <w:rPr>
                <w:noProof/>
                <w:color w:val="000000"/>
              </w:rPr>
              <w:tab/>
              <w:t>5</w:t>
            </w:r>
          </w:hyperlink>
        </w:p>
        <w:p w14:paraId="1A087A5C" w14:textId="77777777" w:rsidR="002F6974" w:rsidRDefault="00567E4E">
          <w:pPr>
            <w:pBdr>
              <w:top w:val="nil"/>
              <w:left w:val="nil"/>
              <w:bottom w:val="nil"/>
              <w:right w:val="nil"/>
              <w:between w:val="nil"/>
            </w:pBdr>
            <w:tabs>
              <w:tab w:val="right" w:leader="dot" w:pos="9019"/>
            </w:tabs>
            <w:spacing w:after="100"/>
            <w:ind w:left="220"/>
            <w:rPr>
              <w:rFonts w:ascii="Cambria" w:eastAsia="Cambria" w:hAnsi="Cambria" w:cs="Cambria"/>
              <w:noProof/>
              <w:color w:val="000000"/>
              <w:sz w:val="24"/>
              <w:szCs w:val="24"/>
            </w:rPr>
          </w:pPr>
          <w:hyperlink w:anchor="_heading=h.niska8f0xzag">
            <w:r>
              <w:rPr>
                <w:noProof/>
                <w:color w:val="000000"/>
              </w:rPr>
              <w:t>2.2 Industry trends</w:t>
            </w:r>
            <w:r>
              <w:rPr>
                <w:noProof/>
                <w:color w:val="000000"/>
              </w:rPr>
              <w:tab/>
              <w:t>6</w:t>
            </w:r>
          </w:hyperlink>
        </w:p>
        <w:p w14:paraId="524AD617" w14:textId="77777777" w:rsidR="002F6974" w:rsidRDefault="00567E4E">
          <w:pPr>
            <w:pBdr>
              <w:top w:val="nil"/>
              <w:left w:val="nil"/>
              <w:bottom w:val="nil"/>
              <w:right w:val="nil"/>
              <w:between w:val="nil"/>
            </w:pBdr>
            <w:tabs>
              <w:tab w:val="right" w:leader="dot" w:pos="9019"/>
            </w:tabs>
            <w:spacing w:after="100"/>
            <w:rPr>
              <w:rFonts w:ascii="Cambria" w:eastAsia="Cambria" w:hAnsi="Cambria" w:cs="Cambria"/>
              <w:noProof/>
              <w:color w:val="000000"/>
              <w:sz w:val="24"/>
              <w:szCs w:val="24"/>
            </w:rPr>
          </w:pPr>
          <w:hyperlink w:anchor="_heading=h.klu29c33zql2">
            <w:r>
              <w:rPr>
                <w:noProof/>
                <w:color w:val="000000"/>
              </w:rPr>
              <w:t>3. Part 1: Application of frameworks in the chosen organisation</w:t>
            </w:r>
            <w:r>
              <w:rPr>
                <w:noProof/>
                <w:color w:val="000000"/>
              </w:rPr>
              <w:tab/>
              <w:t>11</w:t>
            </w:r>
          </w:hyperlink>
        </w:p>
        <w:p w14:paraId="1C0412D0" w14:textId="77777777" w:rsidR="002F6974" w:rsidRDefault="00567E4E">
          <w:pPr>
            <w:pBdr>
              <w:top w:val="nil"/>
              <w:left w:val="nil"/>
              <w:bottom w:val="nil"/>
              <w:right w:val="nil"/>
              <w:between w:val="nil"/>
            </w:pBdr>
            <w:tabs>
              <w:tab w:val="right" w:leader="dot" w:pos="9019"/>
            </w:tabs>
            <w:spacing w:after="100"/>
            <w:ind w:left="220"/>
            <w:rPr>
              <w:rFonts w:ascii="Cambria" w:eastAsia="Cambria" w:hAnsi="Cambria" w:cs="Cambria"/>
              <w:noProof/>
              <w:color w:val="000000"/>
              <w:sz w:val="24"/>
              <w:szCs w:val="24"/>
            </w:rPr>
          </w:pPr>
          <w:hyperlink w:anchor="_heading=h.yuk5a6nc7zll">
            <w:r>
              <w:rPr>
                <w:noProof/>
                <w:color w:val="000000"/>
              </w:rPr>
              <w:t>3.1 Innovation Ambition Matrix</w:t>
            </w:r>
            <w:r>
              <w:rPr>
                <w:noProof/>
                <w:color w:val="000000"/>
              </w:rPr>
              <w:tab/>
              <w:t>11</w:t>
            </w:r>
          </w:hyperlink>
        </w:p>
        <w:p w14:paraId="635282F6" w14:textId="77777777" w:rsidR="002F6974" w:rsidRDefault="00567E4E">
          <w:pPr>
            <w:pBdr>
              <w:top w:val="nil"/>
              <w:left w:val="nil"/>
              <w:bottom w:val="nil"/>
              <w:right w:val="nil"/>
              <w:between w:val="nil"/>
            </w:pBdr>
            <w:tabs>
              <w:tab w:val="right" w:leader="dot" w:pos="9019"/>
            </w:tabs>
            <w:spacing w:after="100"/>
            <w:ind w:left="220"/>
            <w:rPr>
              <w:rFonts w:ascii="Cambria" w:eastAsia="Cambria" w:hAnsi="Cambria" w:cs="Cambria"/>
              <w:noProof/>
              <w:color w:val="000000"/>
              <w:sz w:val="24"/>
              <w:szCs w:val="24"/>
            </w:rPr>
          </w:pPr>
          <w:hyperlink w:anchor="_heading=h.91rgqn8a39rg">
            <w:r>
              <w:rPr>
                <w:noProof/>
                <w:color w:val="000000"/>
              </w:rPr>
              <w:t>3.2 Customer Journey Mapping</w:t>
            </w:r>
            <w:r>
              <w:rPr>
                <w:noProof/>
                <w:color w:val="000000"/>
              </w:rPr>
              <w:tab/>
              <w:t>13</w:t>
            </w:r>
          </w:hyperlink>
        </w:p>
        <w:p w14:paraId="6F77098E" w14:textId="77777777" w:rsidR="002F6974" w:rsidRDefault="00567E4E">
          <w:pPr>
            <w:pBdr>
              <w:top w:val="nil"/>
              <w:left w:val="nil"/>
              <w:bottom w:val="nil"/>
              <w:right w:val="nil"/>
              <w:between w:val="nil"/>
            </w:pBdr>
            <w:tabs>
              <w:tab w:val="right" w:leader="dot" w:pos="9019"/>
            </w:tabs>
            <w:spacing w:after="100"/>
            <w:rPr>
              <w:rFonts w:ascii="Cambria" w:eastAsia="Cambria" w:hAnsi="Cambria" w:cs="Cambria"/>
              <w:noProof/>
              <w:color w:val="000000"/>
              <w:sz w:val="24"/>
              <w:szCs w:val="24"/>
            </w:rPr>
          </w:pPr>
          <w:hyperlink w:anchor="_heading=h.mbrtkdg7c89b">
            <w:r>
              <w:rPr>
                <w:noProof/>
                <w:color w:val="000000"/>
              </w:rPr>
              <w:t>4. Part 2: Analysis of innovation approach through application of frameworks</w:t>
            </w:r>
            <w:r>
              <w:rPr>
                <w:noProof/>
                <w:color w:val="000000"/>
              </w:rPr>
              <w:tab/>
              <w:t>15</w:t>
            </w:r>
          </w:hyperlink>
        </w:p>
        <w:p w14:paraId="44B685E5" w14:textId="77777777" w:rsidR="002F6974" w:rsidRDefault="00567E4E">
          <w:pPr>
            <w:pBdr>
              <w:top w:val="nil"/>
              <w:left w:val="nil"/>
              <w:bottom w:val="nil"/>
              <w:right w:val="nil"/>
              <w:between w:val="nil"/>
            </w:pBdr>
            <w:tabs>
              <w:tab w:val="right" w:leader="dot" w:pos="9019"/>
            </w:tabs>
            <w:spacing w:after="100"/>
            <w:ind w:left="220"/>
            <w:rPr>
              <w:rFonts w:ascii="Cambria" w:eastAsia="Cambria" w:hAnsi="Cambria" w:cs="Cambria"/>
              <w:noProof/>
              <w:color w:val="000000"/>
              <w:sz w:val="24"/>
              <w:szCs w:val="24"/>
            </w:rPr>
          </w:pPr>
          <w:hyperlink w:anchor="_heading=h.g36i9leqqy9l">
            <w:r>
              <w:rPr>
                <w:noProof/>
                <w:color w:val="000000"/>
              </w:rPr>
              <w:t>4.1 Innovation approach</w:t>
            </w:r>
            <w:r>
              <w:rPr>
                <w:noProof/>
                <w:color w:val="000000"/>
              </w:rPr>
              <w:tab/>
              <w:t>15</w:t>
            </w:r>
          </w:hyperlink>
        </w:p>
        <w:p w14:paraId="293B7F07" w14:textId="77777777" w:rsidR="002F6974" w:rsidRDefault="00567E4E">
          <w:pPr>
            <w:pBdr>
              <w:top w:val="nil"/>
              <w:left w:val="nil"/>
              <w:bottom w:val="nil"/>
              <w:right w:val="nil"/>
              <w:between w:val="nil"/>
            </w:pBdr>
            <w:tabs>
              <w:tab w:val="right" w:leader="dot" w:pos="9019"/>
            </w:tabs>
            <w:spacing w:after="100"/>
            <w:ind w:left="220"/>
            <w:rPr>
              <w:rFonts w:ascii="Cambria" w:eastAsia="Cambria" w:hAnsi="Cambria" w:cs="Cambria"/>
              <w:noProof/>
              <w:color w:val="000000"/>
              <w:sz w:val="24"/>
              <w:szCs w:val="24"/>
            </w:rPr>
          </w:pPr>
          <w:hyperlink w:anchor="_heading=h.n3op9rp61p8o">
            <w:r>
              <w:rPr>
                <w:noProof/>
                <w:color w:val="000000"/>
              </w:rPr>
              <w:t>4.2 Application of innovation ambition matrix</w:t>
            </w:r>
            <w:r>
              <w:rPr>
                <w:noProof/>
                <w:color w:val="000000"/>
              </w:rPr>
              <w:tab/>
              <w:t>16</w:t>
            </w:r>
          </w:hyperlink>
        </w:p>
        <w:p w14:paraId="6A850B67" w14:textId="77777777" w:rsidR="002F6974" w:rsidRDefault="00567E4E">
          <w:pPr>
            <w:pBdr>
              <w:top w:val="nil"/>
              <w:left w:val="nil"/>
              <w:bottom w:val="nil"/>
              <w:right w:val="nil"/>
              <w:between w:val="nil"/>
            </w:pBdr>
            <w:tabs>
              <w:tab w:val="right" w:leader="dot" w:pos="9019"/>
            </w:tabs>
            <w:spacing w:after="100"/>
            <w:ind w:left="220"/>
            <w:rPr>
              <w:rFonts w:ascii="Cambria" w:eastAsia="Cambria" w:hAnsi="Cambria" w:cs="Cambria"/>
              <w:noProof/>
              <w:color w:val="000000"/>
              <w:sz w:val="24"/>
              <w:szCs w:val="24"/>
            </w:rPr>
          </w:pPr>
          <w:hyperlink w:anchor="_heading=h.vueirfgtav3">
            <w:r>
              <w:rPr>
                <w:noProof/>
                <w:color w:val="000000"/>
              </w:rPr>
              <w:t>4.3 Application of customer journey map</w:t>
            </w:r>
            <w:r>
              <w:rPr>
                <w:noProof/>
                <w:color w:val="000000"/>
              </w:rPr>
              <w:tab/>
              <w:t>18</w:t>
            </w:r>
          </w:hyperlink>
        </w:p>
        <w:p w14:paraId="0D1362C9" w14:textId="77777777" w:rsidR="002F6974" w:rsidRDefault="00567E4E">
          <w:pPr>
            <w:pBdr>
              <w:top w:val="nil"/>
              <w:left w:val="nil"/>
              <w:bottom w:val="nil"/>
              <w:right w:val="nil"/>
              <w:between w:val="nil"/>
            </w:pBdr>
            <w:tabs>
              <w:tab w:val="right" w:leader="dot" w:pos="9019"/>
            </w:tabs>
            <w:spacing w:after="100"/>
            <w:ind w:left="220"/>
            <w:rPr>
              <w:rFonts w:ascii="Cambria" w:eastAsia="Cambria" w:hAnsi="Cambria" w:cs="Cambria"/>
              <w:noProof/>
              <w:color w:val="000000"/>
              <w:sz w:val="24"/>
              <w:szCs w:val="24"/>
            </w:rPr>
          </w:pPr>
          <w:hyperlink w:anchor="_heading=h.k0zl9bgdy4nf">
            <w:r>
              <w:rPr>
                <w:noProof/>
                <w:color w:val="000000"/>
              </w:rPr>
              <w:t>4.4 Identification of digital transformation initiative</w:t>
            </w:r>
            <w:r>
              <w:rPr>
                <w:noProof/>
                <w:color w:val="000000"/>
              </w:rPr>
              <w:tab/>
              <w:t>19</w:t>
            </w:r>
          </w:hyperlink>
        </w:p>
        <w:p w14:paraId="3BC16FDE" w14:textId="77777777" w:rsidR="002F6974" w:rsidRDefault="00567E4E">
          <w:pPr>
            <w:pBdr>
              <w:top w:val="nil"/>
              <w:left w:val="nil"/>
              <w:bottom w:val="nil"/>
              <w:right w:val="nil"/>
              <w:between w:val="nil"/>
            </w:pBdr>
            <w:tabs>
              <w:tab w:val="right" w:leader="dot" w:pos="9019"/>
            </w:tabs>
            <w:spacing w:after="100"/>
            <w:ind w:left="220"/>
            <w:rPr>
              <w:rFonts w:ascii="Cambria" w:eastAsia="Cambria" w:hAnsi="Cambria" w:cs="Cambria"/>
              <w:noProof/>
              <w:color w:val="000000"/>
              <w:sz w:val="24"/>
              <w:szCs w:val="24"/>
            </w:rPr>
          </w:pPr>
          <w:hyperlink w:anchor="_heading=h.a1ops6es6pj5">
            <w:r>
              <w:rPr>
                <w:noProof/>
                <w:color w:val="000000"/>
              </w:rPr>
              <w:t>4.5 Value addition to the chosen organisation</w:t>
            </w:r>
            <w:r>
              <w:rPr>
                <w:noProof/>
                <w:color w:val="000000"/>
              </w:rPr>
              <w:tab/>
              <w:t>20</w:t>
            </w:r>
          </w:hyperlink>
        </w:p>
        <w:p w14:paraId="06ED6FFE" w14:textId="77777777" w:rsidR="002F6974" w:rsidRDefault="00567E4E">
          <w:pPr>
            <w:pBdr>
              <w:top w:val="nil"/>
              <w:left w:val="nil"/>
              <w:bottom w:val="nil"/>
              <w:right w:val="nil"/>
              <w:between w:val="nil"/>
            </w:pBdr>
            <w:tabs>
              <w:tab w:val="right" w:leader="dot" w:pos="9019"/>
            </w:tabs>
            <w:spacing w:after="100"/>
            <w:rPr>
              <w:rFonts w:ascii="Cambria" w:eastAsia="Cambria" w:hAnsi="Cambria" w:cs="Cambria"/>
              <w:noProof/>
              <w:color w:val="000000"/>
              <w:sz w:val="24"/>
              <w:szCs w:val="24"/>
            </w:rPr>
          </w:pPr>
          <w:hyperlink w:anchor="_heading=h.ujfpb4q5bh3o">
            <w:r>
              <w:rPr>
                <w:noProof/>
                <w:color w:val="000000"/>
              </w:rPr>
              <w:t>5. Conclusion</w:t>
            </w:r>
            <w:r>
              <w:rPr>
                <w:noProof/>
                <w:color w:val="000000"/>
              </w:rPr>
              <w:tab/>
              <w:t>21</w:t>
            </w:r>
          </w:hyperlink>
        </w:p>
        <w:p w14:paraId="5DEE1CAB" w14:textId="77777777" w:rsidR="002F6974" w:rsidRDefault="00567E4E">
          <w:pPr>
            <w:pBdr>
              <w:top w:val="nil"/>
              <w:left w:val="nil"/>
              <w:bottom w:val="nil"/>
              <w:right w:val="nil"/>
              <w:between w:val="nil"/>
            </w:pBdr>
            <w:tabs>
              <w:tab w:val="right" w:leader="dot" w:pos="9019"/>
            </w:tabs>
            <w:spacing w:after="100"/>
            <w:rPr>
              <w:rFonts w:ascii="Cambria" w:eastAsia="Cambria" w:hAnsi="Cambria" w:cs="Cambria"/>
              <w:noProof/>
              <w:color w:val="000000"/>
              <w:sz w:val="24"/>
              <w:szCs w:val="24"/>
            </w:rPr>
          </w:pPr>
          <w:hyperlink w:anchor="_heading=h.lbucfjwlgoqs">
            <w:r>
              <w:rPr>
                <w:noProof/>
                <w:color w:val="000000"/>
              </w:rPr>
              <w:t>6. Reference List</w:t>
            </w:r>
            <w:r>
              <w:rPr>
                <w:noProof/>
                <w:color w:val="000000"/>
              </w:rPr>
              <w:tab/>
              <w:t>22</w:t>
            </w:r>
          </w:hyperlink>
        </w:p>
        <w:p w14:paraId="12CEAB35" w14:textId="77777777" w:rsidR="002F6974" w:rsidRDefault="002F6974">
          <w:r>
            <w:fldChar w:fldCharType="end"/>
          </w:r>
        </w:p>
      </w:sdtContent>
    </w:sdt>
    <w:p w14:paraId="1D8AD6FD" w14:textId="77777777" w:rsidR="002F6974" w:rsidRDefault="00567E4E">
      <w:pPr>
        <w:rPr>
          <w:b/>
          <w:bCs/>
          <w:color w:val="000000"/>
          <w:sz w:val="28"/>
          <w:szCs w:val="28"/>
        </w:rPr>
      </w:pPr>
      <w:r>
        <w:br w:type="page"/>
      </w:r>
    </w:p>
    <w:p w14:paraId="72666D5E" w14:textId="77777777" w:rsidR="002F6974" w:rsidRDefault="00567E4E">
      <w:pPr>
        <w:pStyle w:val="Heading1"/>
        <w:numPr>
          <w:ilvl w:val="0"/>
          <w:numId w:val="8"/>
        </w:numPr>
        <w:spacing w:before="0" w:after="0"/>
      </w:pPr>
      <w:bookmarkStart w:id="0" w:name="_heading=h.2l0vi1sstukb" w:colFirst="0" w:colLast="0"/>
      <w:bookmarkEnd w:id="0"/>
      <w:r>
        <w:lastRenderedPageBreak/>
        <w:t>Introduction</w:t>
      </w:r>
    </w:p>
    <w:p w14:paraId="5E7E9799" w14:textId="77777777" w:rsidR="002F6974" w:rsidRDefault="00567E4E">
      <w:pPr>
        <w:pStyle w:val="Heading2"/>
        <w:spacing w:before="0" w:after="0"/>
      </w:pPr>
      <w:bookmarkStart w:id="1" w:name="_heading=h.ddma59ivub8m" w:colFirst="0" w:colLast="0"/>
      <w:bookmarkEnd w:id="1"/>
      <w:r>
        <w:t>1.1 Purpose of the study</w:t>
      </w:r>
    </w:p>
    <w:p w14:paraId="398AAA84" w14:textId="77777777" w:rsidR="002F6974" w:rsidRDefault="00567E4E">
      <w:pPr>
        <w:pBdr>
          <w:top w:val="nil"/>
          <w:left w:val="nil"/>
          <w:bottom w:val="nil"/>
          <w:right w:val="nil"/>
          <w:between w:val="nil"/>
        </w:pBdr>
        <w:rPr>
          <w:color w:val="EE0000"/>
        </w:rPr>
      </w:pPr>
      <w:r>
        <w:rPr>
          <w:color w:val="000000"/>
        </w:rPr>
        <w:t xml:space="preserve">The purpose of the report is to identify and critically analyse innovative business frameworks by Diageo. </w:t>
      </w:r>
      <w:r w:rsidRPr="00FC7783">
        <w:t>In this regard, the Innovation Ambition Matrix and Customer Journey Mapping frameworks will be considered for the identification of relevant initiatives for digital transformation. Following this analysis, a value proposition will be developed for Diageo.</w:t>
      </w:r>
      <w:r>
        <w:rPr>
          <w:color w:val="EE0000"/>
        </w:rPr>
        <w:t xml:space="preserve"> </w:t>
      </w:r>
    </w:p>
    <w:p w14:paraId="17BC4CF1" w14:textId="77777777" w:rsidR="002F6974" w:rsidRDefault="00567E4E">
      <w:pPr>
        <w:pStyle w:val="Heading2"/>
        <w:spacing w:before="0" w:after="0"/>
      </w:pPr>
      <w:bookmarkStart w:id="2" w:name="_heading=h.ozmkk5nu99t2" w:colFirst="0" w:colLast="0"/>
      <w:bookmarkEnd w:id="2"/>
      <w:r>
        <w:t xml:space="preserve">1.2 Overview of the chosen organisation </w:t>
      </w:r>
    </w:p>
    <w:p w14:paraId="2DE07BDD" w14:textId="77777777" w:rsidR="002F6974" w:rsidRDefault="00567E4E">
      <w:r>
        <w:t xml:space="preserve">Diageo operates as a global leader in premium drinks production, defining a unique product space. It is a British multinational alcoholic beverages company that is headquartered in London, England. </w:t>
      </w:r>
      <w:r w:rsidRPr="00FC7783">
        <w:t>The brands include Johnnie Walker, Crown Royal, Buchanan and Ketel One Vodka. The company currently employs over 1,000 people</w:t>
      </w:r>
      <w:r>
        <w:rPr>
          <w:color w:val="EE0000"/>
        </w:rPr>
        <w:t xml:space="preserve"> </w:t>
      </w:r>
      <w:r>
        <w:t xml:space="preserve">and provides diverse job opportunities for its people (Org.com, 2025). The company was established in 1886 and is headquartered in London. Diageo Plc engages in the production and distribution of diverse brands of alcoholic beverages. </w:t>
      </w:r>
    </w:p>
    <w:p w14:paraId="17FC9D9C" w14:textId="77777777" w:rsidR="002F6974" w:rsidRDefault="00567E4E">
      <w:pPr>
        <w:jc w:val="center"/>
      </w:pPr>
      <w:r>
        <w:rPr>
          <w:noProof/>
          <w:lang w:val="en-US"/>
        </w:rPr>
        <w:drawing>
          <wp:inline distT="114300" distB="114300" distL="114300" distR="114300" wp14:anchorId="61893CEB" wp14:editId="68F2ED3E">
            <wp:extent cx="5524500" cy="3571875"/>
            <wp:effectExtent l="25400" t="25400" r="25400" b="25400"/>
            <wp:docPr id="19" name="image3.png"/>
            <wp:cNvGraphicFramePr/>
            <a:graphic xmlns:a="http://schemas.openxmlformats.org/drawingml/2006/main">
              <a:graphicData uri="http://schemas.openxmlformats.org/drawingml/2006/picture">
                <pic:pic xmlns:pic="http://schemas.openxmlformats.org/drawingml/2006/picture">
                  <pic:nvPicPr>
                    <pic:cNvPr id="19" name="image3.png"/>
                    <pic:cNvPicPr/>
                  </pic:nvPicPr>
                  <pic:blipFill>
                    <a:blip r:embed="rId6" cstate="print"/>
                    <a:stretch>
                      <a:fillRect/>
                    </a:stretch>
                  </pic:blipFill>
                  <pic:spPr>
                    <a:xfrm>
                      <a:off x="0" y="0"/>
                      <a:ext cx="5524500" cy="3571875"/>
                    </a:xfrm>
                    <a:prstGeom prst="rect">
                      <a:avLst/>
                    </a:prstGeom>
                    <a:ln w="25400">
                      <a:solidFill>
                        <a:srgbClr val="000000"/>
                      </a:solidFill>
                      <a:prstDash val="solid"/>
                    </a:ln>
                  </pic:spPr>
                </pic:pic>
              </a:graphicData>
            </a:graphic>
          </wp:inline>
        </w:drawing>
      </w:r>
    </w:p>
    <w:p w14:paraId="513738B8" w14:textId="77777777" w:rsidR="002F6974" w:rsidRDefault="00567E4E">
      <w:pPr>
        <w:jc w:val="center"/>
        <w:rPr>
          <w:b/>
          <w:bCs/>
        </w:rPr>
      </w:pPr>
      <w:r>
        <w:rPr>
          <w:b/>
          <w:bCs/>
        </w:rPr>
        <w:t>Figure 1: Projected operating margin of Diageo between 2021 and 2028</w:t>
      </w:r>
    </w:p>
    <w:p w14:paraId="4E87DCE2" w14:textId="77777777" w:rsidR="002F6974" w:rsidRDefault="00567E4E">
      <w:pPr>
        <w:jc w:val="center"/>
      </w:pPr>
      <w:r>
        <w:t>(Source: Marketscreener.com, 2025)</w:t>
      </w:r>
    </w:p>
    <w:p w14:paraId="4D31B579" w14:textId="77777777" w:rsidR="002F6974" w:rsidRDefault="00567E4E">
      <w:r>
        <w:t xml:space="preserve">For this purpose, it has strengthened its operation since 1997 within the food and soft beverages industry. The company has secured a place in the 'Best </w:t>
      </w:r>
      <w:proofErr w:type="gramStart"/>
      <w:r>
        <w:t>employers</w:t>
      </w:r>
      <w:proofErr w:type="gramEnd"/>
      <w:r>
        <w:t xml:space="preserve"> category' within American company culture and among 3525 companies </w:t>
      </w:r>
      <w:r w:rsidRPr="00FC7783">
        <w:t>under the ‘Global 2000’ list</w:t>
      </w:r>
      <w:r>
        <w:t xml:space="preserve">. At present, the company has earned a revenue of 15.15 billion GBP and a total asset size of 35.19 billion GBP (Forbes, 2025). It has been predicted that Diageo Plc will have an operating </w:t>
      </w:r>
      <w:r>
        <w:lastRenderedPageBreak/>
        <w:t xml:space="preserve">margin of 35% net profits by 2028 (Marketscreener.com, 2025). </w:t>
      </w:r>
      <w:r w:rsidRPr="00FC7783">
        <w:t>This performance has enabled Diageo to earn a total profit share of 2.70 billion GBP (Forbes, 2025). Hence</w:t>
      </w:r>
      <w:r>
        <w:t xml:space="preserve">, the revenue and profit share of the company make it evident that Diageo is a premium operator in the alcoholic drinks export market in the UK. </w:t>
      </w:r>
    </w:p>
    <w:p w14:paraId="070BC7F7" w14:textId="77777777" w:rsidR="002F6974" w:rsidRDefault="00567E4E">
      <w:pPr>
        <w:pStyle w:val="Heading1"/>
        <w:spacing w:before="0" w:after="0"/>
      </w:pPr>
      <w:bookmarkStart w:id="3" w:name="_heading=h.gs4q8y9mstyk" w:colFirst="0" w:colLast="0"/>
      <w:bookmarkEnd w:id="3"/>
      <w:r>
        <w:t xml:space="preserve">2. Relevant trends affecting the organisation </w:t>
      </w:r>
    </w:p>
    <w:p w14:paraId="6A02FC82" w14:textId="77777777" w:rsidR="002F6974" w:rsidRDefault="00567E4E">
      <w:pPr>
        <w:pStyle w:val="Heading2"/>
        <w:spacing w:before="0" w:after="0"/>
      </w:pPr>
      <w:bookmarkStart w:id="4" w:name="_heading=h.qqgxt2slrc7c" w:colFirst="0" w:colLast="0"/>
      <w:bookmarkEnd w:id="4"/>
      <w:r>
        <w:t xml:space="preserve">2.1 Key Consumer Trends </w:t>
      </w:r>
    </w:p>
    <w:tbl>
      <w:tblPr>
        <w:tblStyle w:val="Table10"/>
        <w:tblW w:w="90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80"/>
        <w:gridCol w:w="4515"/>
        <w:gridCol w:w="2250"/>
      </w:tblGrid>
      <w:tr w:rsidR="002F6974" w14:paraId="440C7EEC" w14:textId="77777777">
        <w:tc>
          <w:tcPr>
            <w:tcW w:w="2280" w:type="dxa"/>
            <w:tcMar>
              <w:top w:w="100" w:type="dxa"/>
              <w:left w:w="100" w:type="dxa"/>
              <w:bottom w:w="100" w:type="dxa"/>
              <w:right w:w="100" w:type="dxa"/>
            </w:tcMar>
          </w:tcPr>
          <w:p w14:paraId="0F9E06C2" w14:textId="77777777" w:rsidR="002F6974" w:rsidRDefault="00567E4E">
            <w:pPr>
              <w:widowControl w:val="0"/>
              <w:jc w:val="center"/>
              <w:rPr>
                <w:b/>
                <w:bCs/>
              </w:rPr>
            </w:pPr>
            <w:r>
              <w:rPr>
                <w:b/>
                <w:bCs/>
              </w:rPr>
              <w:t>Key customer trends</w:t>
            </w:r>
          </w:p>
        </w:tc>
        <w:tc>
          <w:tcPr>
            <w:tcW w:w="4515" w:type="dxa"/>
            <w:tcMar>
              <w:top w:w="100" w:type="dxa"/>
              <w:left w:w="100" w:type="dxa"/>
              <w:bottom w:w="100" w:type="dxa"/>
              <w:right w:w="100" w:type="dxa"/>
            </w:tcMar>
          </w:tcPr>
          <w:p w14:paraId="3C75F9CC" w14:textId="77777777" w:rsidR="002F6974" w:rsidRDefault="00567E4E">
            <w:pPr>
              <w:widowControl w:val="0"/>
              <w:jc w:val="center"/>
              <w:rPr>
                <w:b/>
                <w:bCs/>
              </w:rPr>
            </w:pPr>
            <w:r>
              <w:rPr>
                <w:b/>
                <w:bCs/>
              </w:rPr>
              <w:t xml:space="preserve">Analysis </w:t>
            </w:r>
          </w:p>
        </w:tc>
        <w:tc>
          <w:tcPr>
            <w:tcW w:w="2250" w:type="dxa"/>
            <w:tcMar>
              <w:top w:w="100" w:type="dxa"/>
              <w:left w:w="100" w:type="dxa"/>
              <w:bottom w:w="100" w:type="dxa"/>
              <w:right w:w="100" w:type="dxa"/>
            </w:tcMar>
          </w:tcPr>
          <w:p w14:paraId="14FCDF3A" w14:textId="77777777" w:rsidR="002F6974" w:rsidRPr="00FC7783" w:rsidRDefault="00567E4E">
            <w:pPr>
              <w:widowControl w:val="0"/>
              <w:jc w:val="center"/>
              <w:rPr>
                <w:b/>
                <w:bCs/>
              </w:rPr>
            </w:pPr>
            <w:r w:rsidRPr="00FC7783">
              <w:rPr>
                <w:b/>
                <w:bCs/>
              </w:rPr>
              <w:t xml:space="preserve">Impact on Diageo sales </w:t>
            </w:r>
          </w:p>
        </w:tc>
      </w:tr>
      <w:tr w:rsidR="002F6974" w14:paraId="22AC2C6D" w14:textId="77777777">
        <w:tc>
          <w:tcPr>
            <w:tcW w:w="2280" w:type="dxa"/>
            <w:tcMar>
              <w:top w:w="100" w:type="dxa"/>
              <w:left w:w="100" w:type="dxa"/>
              <w:bottom w:w="100" w:type="dxa"/>
              <w:right w:w="100" w:type="dxa"/>
            </w:tcMar>
          </w:tcPr>
          <w:p w14:paraId="2E6E0F2F" w14:textId="77777777" w:rsidR="002F6974" w:rsidRDefault="00567E4E">
            <w:pPr>
              <w:widowControl w:val="0"/>
              <w:jc w:val="center"/>
            </w:pPr>
            <w:r>
              <w:t xml:space="preserve">Socialising trend </w:t>
            </w:r>
          </w:p>
        </w:tc>
        <w:tc>
          <w:tcPr>
            <w:tcW w:w="4515" w:type="dxa"/>
            <w:tcMar>
              <w:top w:w="100" w:type="dxa"/>
              <w:left w:w="100" w:type="dxa"/>
              <w:bottom w:w="100" w:type="dxa"/>
              <w:right w:w="100" w:type="dxa"/>
            </w:tcMar>
          </w:tcPr>
          <w:p w14:paraId="4F4943AF" w14:textId="77777777" w:rsidR="002F6974" w:rsidRDefault="00567E4E">
            <w:pPr>
              <w:widowControl w:val="0"/>
              <w:numPr>
                <w:ilvl w:val="0"/>
                <w:numId w:val="7"/>
              </w:numPr>
            </w:pPr>
            <w:r>
              <w:t xml:space="preserve">Customers are inclined towards socialising over a specific brand or product through online reviews or feedback. </w:t>
            </w:r>
          </w:p>
        </w:tc>
        <w:tc>
          <w:tcPr>
            <w:tcW w:w="2250" w:type="dxa"/>
            <w:tcMar>
              <w:top w:w="100" w:type="dxa"/>
              <w:left w:w="100" w:type="dxa"/>
              <w:bottom w:w="100" w:type="dxa"/>
              <w:right w:w="100" w:type="dxa"/>
            </w:tcMar>
          </w:tcPr>
          <w:p w14:paraId="48B66099" w14:textId="77777777" w:rsidR="002F6974" w:rsidRPr="00FC7783" w:rsidRDefault="00567E4E">
            <w:pPr>
              <w:widowControl w:val="0"/>
            </w:pPr>
            <w:r w:rsidRPr="00FC7783">
              <w:t>Medium</w:t>
            </w:r>
          </w:p>
          <w:p w14:paraId="17A4A720" w14:textId="77777777" w:rsidR="002F6974" w:rsidRPr="00FC7783" w:rsidRDefault="002F6974"/>
        </w:tc>
      </w:tr>
      <w:tr w:rsidR="002F6974" w14:paraId="418D3870" w14:textId="77777777">
        <w:tc>
          <w:tcPr>
            <w:tcW w:w="2280" w:type="dxa"/>
            <w:tcMar>
              <w:top w:w="100" w:type="dxa"/>
              <w:left w:w="100" w:type="dxa"/>
              <w:bottom w:w="100" w:type="dxa"/>
              <w:right w:w="100" w:type="dxa"/>
            </w:tcMar>
          </w:tcPr>
          <w:p w14:paraId="4231151C" w14:textId="77777777" w:rsidR="002F6974" w:rsidRDefault="00567E4E">
            <w:pPr>
              <w:widowControl w:val="0"/>
              <w:jc w:val="center"/>
            </w:pPr>
            <w:r>
              <w:t xml:space="preserve">Zebra striping </w:t>
            </w:r>
          </w:p>
        </w:tc>
        <w:tc>
          <w:tcPr>
            <w:tcW w:w="4515" w:type="dxa"/>
            <w:tcMar>
              <w:top w:w="100" w:type="dxa"/>
              <w:left w:w="100" w:type="dxa"/>
              <w:bottom w:w="100" w:type="dxa"/>
              <w:right w:w="100" w:type="dxa"/>
            </w:tcMar>
          </w:tcPr>
          <w:p w14:paraId="70039FE5" w14:textId="77777777" w:rsidR="002F6974" w:rsidRDefault="00567E4E">
            <w:pPr>
              <w:widowControl w:val="0"/>
              <w:numPr>
                <w:ilvl w:val="0"/>
                <w:numId w:val="5"/>
              </w:numPr>
            </w:pPr>
            <w:r>
              <w:t xml:space="preserve">Moderation of preferences between alcoholic and non-alcoholic drinks </w:t>
            </w:r>
          </w:p>
        </w:tc>
        <w:tc>
          <w:tcPr>
            <w:tcW w:w="2250" w:type="dxa"/>
            <w:tcMar>
              <w:top w:w="100" w:type="dxa"/>
              <w:left w:w="100" w:type="dxa"/>
              <w:bottom w:w="100" w:type="dxa"/>
              <w:right w:w="100" w:type="dxa"/>
            </w:tcMar>
          </w:tcPr>
          <w:p w14:paraId="561A1465" w14:textId="77777777" w:rsidR="002F6974" w:rsidRPr="00FC7783" w:rsidRDefault="00567E4E">
            <w:pPr>
              <w:widowControl w:val="0"/>
            </w:pPr>
            <w:r w:rsidRPr="00FC7783">
              <w:t>High</w:t>
            </w:r>
          </w:p>
        </w:tc>
      </w:tr>
      <w:tr w:rsidR="002F6974" w14:paraId="42C1D9E1" w14:textId="77777777">
        <w:tc>
          <w:tcPr>
            <w:tcW w:w="2280" w:type="dxa"/>
            <w:tcMar>
              <w:top w:w="100" w:type="dxa"/>
              <w:left w:w="100" w:type="dxa"/>
              <w:bottom w:w="100" w:type="dxa"/>
              <w:right w:w="100" w:type="dxa"/>
            </w:tcMar>
          </w:tcPr>
          <w:p w14:paraId="61BB010B" w14:textId="77777777" w:rsidR="002F6974" w:rsidRDefault="00567E4E">
            <w:pPr>
              <w:widowControl w:val="0"/>
              <w:jc w:val="center"/>
            </w:pPr>
            <w:r>
              <w:t>Normalisation of artificial intelligence</w:t>
            </w:r>
          </w:p>
        </w:tc>
        <w:tc>
          <w:tcPr>
            <w:tcW w:w="4515" w:type="dxa"/>
            <w:tcMar>
              <w:top w:w="100" w:type="dxa"/>
              <w:left w:w="100" w:type="dxa"/>
              <w:bottom w:w="100" w:type="dxa"/>
              <w:right w:w="100" w:type="dxa"/>
            </w:tcMar>
          </w:tcPr>
          <w:p w14:paraId="5E23F376" w14:textId="77777777" w:rsidR="002F6974" w:rsidRDefault="00567E4E">
            <w:pPr>
              <w:widowControl w:val="0"/>
              <w:numPr>
                <w:ilvl w:val="0"/>
                <w:numId w:val="9"/>
              </w:numPr>
            </w:pPr>
            <w:r>
              <w:t>Incorporation of machine learning tools for analysing dynamic preferences among customers.</w:t>
            </w:r>
          </w:p>
        </w:tc>
        <w:tc>
          <w:tcPr>
            <w:tcW w:w="2250" w:type="dxa"/>
            <w:tcMar>
              <w:top w:w="100" w:type="dxa"/>
              <w:left w:w="100" w:type="dxa"/>
              <w:bottom w:w="100" w:type="dxa"/>
              <w:right w:w="100" w:type="dxa"/>
            </w:tcMar>
          </w:tcPr>
          <w:p w14:paraId="243FE85C" w14:textId="77777777" w:rsidR="002F6974" w:rsidRPr="00FC7783" w:rsidRDefault="00567E4E">
            <w:pPr>
              <w:widowControl w:val="0"/>
            </w:pPr>
            <w:r w:rsidRPr="00FC7783">
              <w:t xml:space="preserve">High </w:t>
            </w:r>
          </w:p>
        </w:tc>
      </w:tr>
      <w:tr w:rsidR="002F6974" w14:paraId="766A27C9" w14:textId="77777777">
        <w:tc>
          <w:tcPr>
            <w:tcW w:w="2280" w:type="dxa"/>
            <w:tcMar>
              <w:top w:w="100" w:type="dxa"/>
              <w:left w:w="100" w:type="dxa"/>
              <w:bottom w:w="100" w:type="dxa"/>
              <w:right w:w="100" w:type="dxa"/>
            </w:tcMar>
          </w:tcPr>
          <w:p w14:paraId="21D05904" w14:textId="77777777" w:rsidR="002F6974" w:rsidRDefault="00567E4E">
            <w:pPr>
              <w:widowControl w:val="0"/>
              <w:jc w:val="center"/>
            </w:pPr>
            <w:r>
              <w:t xml:space="preserve">Influence of fandoms </w:t>
            </w:r>
          </w:p>
        </w:tc>
        <w:tc>
          <w:tcPr>
            <w:tcW w:w="4515" w:type="dxa"/>
            <w:tcMar>
              <w:top w:w="100" w:type="dxa"/>
              <w:left w:w="100" w:type="dxa"/>
              <w:bottom w:w="100" w:type="dxa"/>
              <w:right w:w="100" w:type="dxa"/>
            </w:tcMar>
          </w:tcPr>
          <w:p w14:paraId="50F3C4D8" w14:textId="77777777" w:rsidR="002F6974" w:rsidRDefault="00567E4E">
            <w:pPr>
              <w:widowControl w:val="0"/>
              <w:numPr>
                <w:ilvl w:val="0"/>
                <w:numId w:val="6"/>
              </w:numPr>
            </w:pPr>
            <w:r>
              <w:t>Product promotion by popular faces or public figures has a positive impact on customer preference.</w:t>
            </w:r>
          </w:p>
        </w:tc>
        <w:tc>
          <w:tcPr>
            <w:tcW w:w="2250" w:type="dxa"/>
            <w:tcMar>
              <w:top w:w="100" w:type="dxa"/>
              <w:left w:w="100" w:type="dxa"/>
              <w:bottom w:w="100" w:type="dxa"/>
              <w:right w:w="100" w:type="dxa"/>
            </w:tcMar>
          </w:tcPr>
          <w:p w14:paraId="32D37CDE" w14:textId="77777777" w:rsidR="002F6974" w:rsidRPr="00FC7783" w:rsidRDefault="00567E4E">
            <w:pPr>
              <w:widowControl w:val="0"/>
            </w:pPr>
            <w:r w:rsidRPr="00FC7783">
              <w:t>Medium</w:t>
            </w:r>
          </w:p>
        </w:tc>
      </w:tr>
      <w:tr w:rsidR="002F6974" w14:paraId="3827D43F" w14:textId="77777777">
        <w:tc>
          <w:tcPr>
            <w:tcW w:w="2280" w:type="dxa"/>
            <w:tcMar>
              <w:top w:w="100" w:type="dxa"/>
              <w:left w:w="100" w:type="dxa"/>
              <w:bottom w:w="100" w:type="dxa"/>
              <w:right w:w="100" w:type="dxa"/>
            </w:tcMar>
          </w:tcPr>
          <w:p w14:paraId="618553BC" w14:textId="77777777" w:rsidR="002F6974" w:rsidRDefault="00567E4E">
            <w:pPr>
              <w:widowControl w:val="0"/>
              <w:jc w:val="center"/>
            </w:pPr>
            <w:r>
              <w:t xml:space="preserve">Local Love </w:t>
            </w:r>
          </w:p>
        </w:tc>
        <w:tc>
          <w:tcPr>
            <w:tcW w:w="4515" w:type="dxa"/>
            <w:tcMar>
              <w:top w:w="100" w:type="dxa"/>
              <w:left w:w="100" w:type="dxa"/>
              <w:bottom w:w="100" w:type="dxa"/>
              <w:right w:w="100" w:type="dxa"/>
            </w:tcMar>
          </w:tcPr>
          <w:p w14:paraId="52EA4E1A" w14:textId="77777777" w:rsidR="002F6974" w:rsidRDefault="00567E4E">
            <w:pPr>
              <w:widowControl w:val="0"/>
              <w:numPr>
                <w:ilvl w:val="0"/>
                <w:numId w:val="2"/>
              </w:numPr>
            </w:pPr>
            <w:r>
              <w:t>Products that replicate local sentiments are widely preferred.</w:t>
            </w:r>
          </w:p>
        </w:tc>
        <w:tc>
          <w:tcPr>
            <w:tcW w:w="2250" w:type="dxa"/>
            <w:tcMar>
              <w:top w:w="100" w:type="dxa"/>
              <w:left w:w="100" w:type="dxa"/>
              <w:bottom w:w="100" w:type="dxa"/>
              <w:right w:w="100" w:type="dxa"/>
            </w:tcMar>
          </w:tcPr>
          <w:p w14:paraId="01C3307D" w14:textId="77777777" w:rsidR="002F6974" w:rsidRPr="00FC7783" w:rsidRDefault="00567E4E">
            <w:pPr>
              <w:widowControl w:val="0"/>
            </w:pPr>
            <w:r w:rsidRPr="00FC7783">
              <w:t xml:space="preserve">High </w:t>
            </w:r>
          </w:p>
        </w:tc>
      </w:tr>
    </w:tbl>
    <w:p w14:paraId="6B064E80" w14:textId="77777777" w:rsidR="002F6974" w:rsidRDefault="00567E4E">
      <w:pPr>
        <w:jc w:val="center"/>
        <w:rPr>
          <w:b/>
          <w:bCs/>
        </w:rPr>
      </w:pPr>
      <w:r>
        <w:rPr>
          <w:b/>
          <w:bCs/>
        </w:rPr>
        <w:t>Table 1: Key customer trends of Diageo</w:t>
      </w:r>
    </w:p>
    <w:p w14:paraId="6BFE7EA1" w14:textId="77777777" w:rsidR="002F6974" w:rsidRDefault="00567E4E">
      <w:pPr>
        <w:rPr>
          <w:b/>
          <w:bCs/>
        </w:rPr>
      </w:pPr>
      <w:r>
        <w:rPr>
          <w:b/>
          <w:bCs/>
        </w:rPr>
        <w:t xml:space="preserve">Analysis </w:t>
      </w:r>
    </w:p>
    <w:p w14:paraId="1D4CE9B1" w14:textId="77777777" w:rsidR="002F6974" w:rsidRDefault="00567E4E">
      <w:r>
        <w:t xml:space="preserve">Diageo has undertaken customer surveys through the ‘foresight system’ that revealed global consumer trends. The key areas involve a preference for ‘alternative social space’ among consumers. The survey revealed a consumer attitude </w:t>
      </w:r>
      <w:r w:rsidRPr="00FC7783">
        <w:t>in reducing high-intensity alcohol consumption of drinks. Based on this insight, Diageo has established ‘Distilled 2025’</w:t>
      </w:r>
      <w:r>
        <w:t xml:space="preserve"> to analyse social media interactions among customers for better catering to their dynamic demands (Drinks-intel.com, 2025). The evaluation of more than 160 million online conversations and feedback from customers over the past year enables the company to identify macro trends in consumer preference for drinks and alcohol (Drinks-intel.com, 2025).</w:t>
      </w:r>
    </w:p>
    <w:p w14:paraId="2AADE0E0" w14:textId="77777777" w:rsidR="002F6974" w:rsidRDefault="00567E4E">
      <w:r>
        <w:lastRenderedPageBreak/>
        <w:t xml:space="preserve">Specifically, customers in the young age category prefer moderate drinks and therefore, are willing to spend more on unique products. </w:t>
      </w:r>
    </w:p>
    <w:p w14:paraId="6B98C657" w14:textId="77777777" w:rsidR="002F6974" w:rsidRDefault="00567E4E">
      <w:pPr>
        <w:jc w:val="center"/>
      </w:pPr>
      <w:r>
        <w:rPr>
          <w:noProof/>
          <w:lang w:val="en-US"/>
        </w:rPr>
        <w:drawing>
          <wp:inline distT="114300" distB="114300" distL="114300" distR="114300" wp14:anchorId="4A84569D" wp14:editId="51FB9EE0">
            <wp:extent cx="5181909" cy="2984678"/>
            <wp:effectExtent l="25400" t="25400" r="25400" b="25400"/>
            <wp:docPr id="18" name="image11.png"/>
            <wp:cNvGraphicFramePr/>
            <a:graphic xmlns:a="http://schemas.openxmlformats.org/drawingml/2006/main">
              <a:graphicData uri="http://schemas.openxmlformats.org/drawingml/2006/picture">
                <pic:pic xmlns:pic="http://schemas.openxmlformats.org/drawingml/2006/picture">
                  <pic:nvPicPr>
                    <pic:cNvPr id="18" name="image11.png"/>
                    <pic:cNvPicPr/>
                  </pic:nvPicPr>
                  <pic:blipFill>
                    <a:blip r:embed="rId7" cstate="print"/>
                    <a:stretch>
                      <a:fillRect/>
                    </a:stretch>
                  </pic:blipFill>
                  <pic:spPr>
                    <a:xfrm>
                      <a:off x="0" y="0"/>
                      <a:ext cx="5181909" cy="2984678"/>
                    </a:xfrm>
                    <a:prstGeom prst="rect">
                      <a:avLst/>
                    </a:prstGeom>
                    <a:ln w="25400">
                      <a:solidFill>
                        <a:srgbClr val="000000"/>
                      </a:solidFill>
                      <a:prstDash val="solid"/>
                    </a:ln>
                  </pic:spPr>
                </pic:pic>
              </a:graphicData>
            </a:graphic>
          </wp:inline>
        </w:drawing>
      </w:r>
    </w:p>
    <w:p w14:paraId="5EFDF70F" w14:textId="77777777" w:rsidR="002F6974" w:rsidRDefault="00567E4E">
      <w:pPr>
        <w:jc w:val="center"/>
        <w:rPr>
          <w:b/>
          <w:bCs/>
        </w:rPr>
      </w:pPr>
      <w:r>
        <w:rPr>
          <w:b/>
          <w:bCs/>
        </w:rPr>
        <w:t xml:space="preserve">Figure 2: Socialising trend among customers of Diageo </w:t>
      </w:r>
    </w:p>
    <w:p w14:paraId="4FFBD33D" w14:textId="77777777" w:rsidR="002F6974" w:rsidRDefault="00567E4E">
      <w:pPr>
        <w:jc w:val="center"/>
      </w:pPr>
      <w:r>
        <w:t>(Source: Diageo.com, 2025b)</w:t>
      </w:r>
    </w:p>
    <w:p w14:paraId="0AE3AE5E" w14:textId="77777777" w:rsidR="002F6974" w:rsidRDefault="00567E4E">
      <w:r>
        <w:t xml:space="preserve">Based on the report in 'Distilled 2025', preference for unique products among the target customers increased by 83% in 2024. The preference for </w:t>
      </w:r>
      <w:r w:rsidRPr="00FC7783">
        <w:t>alternative</w:t>
      </w:r>
      <w:r>
        <w:t xml:space="preserve"> products expanded by 58% within the same period (Marketingdive.com, 2025). Among the target customers, 49% prefer products that maximise consumer conscious well-being efforts. One of the key derivations of the customer trends analysis for Diageo has highlighted a 121% increase </w:t>
      </w:r>
      <w:r w:rsidRPr="00FC7783">
        <w:t>in</w:t>
      </w:r>
      <w:r>
        <w:rPr>
          <w:color w:val="EE0000"/>
        </w:rPr>
        <w:t xml:space="preserve"> </w:t>
      </w:r>
      <w:r>
        <w:t>customer knowledge and awareness due to the integration of 'passionate fandoms' (Marketingdive.com, 2025). This can be referred to as 'neo-hedoism' trends that involve customer engagement in daily moments with a brand. The 'distilled 2025' report of Diageo demonstrated a 45% growth of on-the-go products among the target customers of Diageo.</w:t>
      </w:r>
    </w:p>
    <w:p w14:paraId="5BA51281" w14:textId="77777777" w:rsidR="002F6974" w:rsidRDefault="00567E4E">
      <w:r>
        <w:t>In addition, customer preference trends highlight an inclination towards 'betterment brands' in which sustainability has remained a 'top priority'. 74% of all online conversations among customers involved discussion about ethics and social change (Marketingdive.com, 2025). Identification of the above-mentioned trends enabled Diageo to hold a current market share of 75% across the globe (Marketingdive.com, 2025). Therefore, the analysis of customer trends highlights the need for online and social media-based marketing to enhance awareness among the target customers.</w:t>
      </w:r>
    </w:p>
    <w:p w14:paraId="66C3CE34" w14:textId="77777777" w:rsidR="002F6974" w:rsidRDefault="00567E4E">
      <w:pPr>
        <w:pStyle w:val="Heading2"/>
        <w:spacing w:before="0" w:after="0"/>
      </w:pPr>
      <w:bookmarkStart w:id="5" w:name="_heading=h.niska8f0xzag" w:colFirst="0" w:colLast="0"/>
      <w:bookmarkEnd w:id="5"/>
      <w:r>
        <w:t xml:space="preserve">2.2 Industry trends </w:t>
      </w:r>
    </w:p>
    <w:p w14:paraId="00CA9DF3" w14:textId="77777777" w:rsidR="002F6974" w:rsidRDefault="00567E4E">
      <w:pPr>
        <w:rPr>
          <w:b/>
          <w:bCs/>
        </w:rPr>
      </w:pPr>
      <w:r>
        <w:rPr>
          <w:b/>
          <w:bCs/>
        </w:rPr>
        <w:t>Neo-hedonism</w:t>
      </w:r>
    </w:p>
    <w:p w14:paraId="781A2CD2" w14:textId="77777777" w:rsidR="002F6974" w:rsidRDefault="00567E4E">
      <w:pPr>
        <w:jc w:val="center"/>
        <w:rPr>
          <w:b/>
          <w:bCs/>
        </w:rPr>
      </w:pPr>
      <w:r>
        <w:rPr>
          <w:b/>
          <w:bCs/>
          <w:noProof/>
          <w:lang w:val="en-US"/>
        </w:rPr>
        <w:lastRenderedPageBreak/>
        <w:drawing>
          <wp:inline distT="114300" distB="114300" distL="114300" distR="114300" wp14:anchorId="3D0AC90C" wp14:editId="61CFAABF">
            <wp:extent cx="4829175" cy="3295650"/>
            <wp:effectExtent l="25400" t="25400" r="25400" b="25400"/>
            <wp:docPr id="21" name="image5.png"/>
            <wp:cNvGraphicFramePr/>
            <a:graphic xmlns:a="http://schemas.openxmlformats.org/drawingml/2006/main">
              <a:graphicData uri="http://schemas.openxmlformats.org/drawingml/2006/picture">
                <pic:pic xmlns:pic="http://schemas.openxmlformats.org/drawingml/2006/picture">
                  <pic:nvPicPr>
                    <pic:cNvPr id="21" name="image5.png"/>
                    <pic:cNvPicPr/>
                  </pic:nvPicPr>
                  <pic:blipFill>
                    <a:blip r:embed="rId8" cstate="print"/>
                    <a:stretch>
                      <a:fillRect/>
                    </a:stretch>
                  </pic:blipFill>
                  <pic:spPr>
                    <a:xfrm>
                      <a:off x="0" y="0"/>
                      <a:ext cx="4829175" cy="3295650"/>
                    </a:xfrm>
                    <a:prstGeom prst="rect">
                      <a:avLst/>
                    </a:prstGeom>
                    <a:ln w="25400">
                      <a:solidFill>
                        <a:srgbClr val="000000"/>
                      </a:solidFill>
                      <a:prstDash val="solid"/>
                    </a:ln>
                  </pic:spPr>
                </pic:pic>
              </a:graphicData>
            </a:graphic>
          </wp:inline>
        </w:drawing>
      </w:r>
    </w:p>
    <w:p w14:paraId="1F366150" w14:textId="77777777" w:rsidR="002F6974" w:rsidRDefault="00567E4E">
      <w:pPr>
        <w:jc w:val="center"/>
        <w:rPr>
          <w:b/>
          <w:bCs/>
        </w:rPr>
      </w:pPr>
      <w:r>
        <w:rPr>
          <w:b/>
          <w:bCs/>
        </w:rPr>
        <w:t xml:space="preserve">Figure 3: Neo-hedonism industry trend of Diageo </w:t>
      </w:r>
    </w:p>
    <w:p w14:paraId="0440042C" w14:textId="77777777" w:rsidR="002F6974" w:rsidRDefault="00567E4E">
      <w:pPr>
        <w:jc w:val="center"/>
      </w:pPr>
      <w:r>
        <w:t>(Source: Diageo.com, 2025h)</w:t>
      </w:r>
    </w:p>
    <w:p w14:paraId="26ECB1C0" w14:textId="77777777" w:rsidR="002F6974" w:rsidRDefault="00567E4E">
      <w:r>
        <w:t xml:space="preserve">The industry trends of Diageo involve the creation of brands that address both the well-being of the target market and sustainability in business practices. In this context, the neohedonism trend involves the creation of products that enhance the idea of ‘meaningful life’ among consumers (Diageo.com, 2025h). Based on these trends, Diageo intends to make drinks that create unique product experiences in the market. Moreover, the industry focuses on drinks that address the demand for alternative social spaces to its customers. </w:t>
      </w:r>
      <w:r w:rsidRPr="00FC7783">
        <w:t>Hence</w:t>
      </w:r>
      <w:r>
        <w:t xml:space="preserve">, neo-hedonism promotes inclusive consumption choices that focus on the indulgence of all customers. </w:t>
      </w:r>
    </w:p>
    <w:p w14:paraId="616BDB34" w14:textId="77777777" w:rsidR="002F6974" w:rsidRDefault="00567E4E">
      <w:pPr>
        <w:rPr>
          <w:b/>
          <w:bCs/>
        </w:rPr>
      </w:pPr>
      <w:r>
        <w:rPr>
          <w:b/>
          <w:bCs/>
        </w:rPr>
        <w:t xml:space="preserve">Conscious well-being </w:t>
      </w:r>
    </w:p>
    <w:p w14:paraId="01C54C89" w14:textId="77777777" w:rsidR="002F6974" w:rsidRDefault="00567E4E">
      <w:pPr>
        <w:jc w:val="center"/>
      </w:pPr>
      <w:r>
        <w:rPr>
          <w:noProof/>
          <w:lang w:val="en-US"/>
        </w:rPr>
        <w:lastRenderedPageBreak/>
        <w:drawing>
          <wp:inline distT="114300" distB="114300" distL="114300" distR="114300" wp14:anchorId="76D655F9" wp14:editId="17AD2393">
            <wp:extent cx="5019675" cy="3476625"/>
            <wp:effectExtent l="25400" t="25400" r="25400" b="25400"/>
            <wp:docPr id="20" name="image13.png"/>
            <wp:cNvGraphicFramePr/>
            <a:graphic xmlns:a="http://schemas.openxmlformats.org/drawingml/2006/main">
              <a:graphicData uri="http://schemas.openxmlformats.org/drawingml/2006/picture">
                <pic:pic xmlns:pic="http://schemas.openxmlformats.org/drawingml/2006/picture">
                  <pic:nvPicPr>
                    <pic:cNvPr id="20" name="image13.png"/>
                    <pic:cNvPicPr/>
                  </pic:nvPicPr>
                  <pic:blipFill>
                    <a:blip r:embed="rId9" cstate="print"/>
                    <a:stretch>
                      <a:fillRect/>
                    </a:stretch>
                  </pic:blipFill>
                  <pic:spPr>
                    <a:xfrm>
                      <a:off x="0" y="0"/>
                      <a:ext cx="5019675" cy="3476625"/>
                    </a:xfrm>
                    <a:prstGeom prst="rect">
                      <a:avLst/>
                    </a:prstGeom>
                    <a:ln w="25400">
                      <a:solidFill>
                        <a:srgbClr val="000000"/>
                      </a:solidFill>
                      <a:prstDash val="solid"/>
                    </a:ln>
                  </pic:spPr>
                </pic:pic>
              </a:graphicData>
            </a:graphic>
          </wp:inline>
        </w:drawing>
      </w:r>
    </w:p>
    <w:p w14:paraId="0915D3CD" w14:textId="77777777" w:rsidR="002F6974" w:rsidRDefault="00567E4E">
      <w:pPr>
        <w:jc w:val="center"/>
        <w:rPr>
          <w:b/>
          <w:bCs/>
        </w:rPr>
      </w:pPr>
      <w:r>
        <w:rPr>
          <w:b/>
          <w:bCs/>
        </w:rPr>
        <w:t>Figure 4: Conscious well-being industry trend of Diageo</w:t>
      </w:r>
    </w:p>
    <w:p w14:paraId="256B2383" w14:textId="77777777" w:rsidR="002F6974" w:rsidRDefault="00567E4E">
      <w:pPr>
        <w:jc w:val="center"/>
      </w:pPr>
      <w:r>
        <w:t>(Source: Diageo.com, 2025h)</w:t>
      </w:r>
      <w:r>
        <w:rPr>
          <w:b/>
          <w:bCs/>
        </w:rPr>
        <w:t xml:space="preserve"> </w:t>
      </w:r>
    </w:p>
    <w:p w14:paraId="1A3E205D" w14:textId="77777777" w:rsidR="002F6974" w:rsidRDefault="00567E4E">
      <w:r>
        <w:t xml:space="preserve">The second trend involves designing products for conscious </w:t>
      </w:r>
      <w:r w:rsidRPr="00FC7783">
        <w:t>well-being</w:t>
      </w:r>
      <w:r>
        <w:rPr>
          <w:color w:val="EE0000"/>
        </w:rPr>
        <w:t xml:space="preserve"> </w:t>
      </w:r>
      <w:r>
        <w:t>that promote healthy boundaries in eating choices. In this context, Diageo has explored the idea of mindful choices and deriving a genuinely good feeling by consuming products.</w:t>
      </w:r>
    </w:p>
    <w:p w14:paraId="5C6C5AD3" w14:textId="77777777" w:rsidR="002F6974" w:rsidRDefault="00567E4E">
      <w:pPr>
        <w:rPr>
          <w:b/>
          <w:bCs/>
        </w:rPr>
      </w:pPr>
      <w:r>
        <w:rPr>
          <w:b/>
          <w:bCs/>
        </w:rPr>
        <w:t xml:space="preserve">Expanded reality </w:t>
      </w:r>
    </w:p>
    <w:p w14:paraId="43E53A57" w14:textId="77777777" w:rsidR="002F6974" w:rsidRDefault="00567E4E">
      <w:pPr>
        <w:jc w:val="center"/>
      </w:pPr>
      <w:r>
        <w:rPr>
          <w:noProof/>
          <w:lang w:val="en-US"/>
        </w:rPr>
        <w:drawing>
          <wp:inline distT="114300" distB="114300" distL="114300" distR="114300" wp14:anchorId="683A8A74" wp14:editId="28DE6BFE">
            <wp:extent cx="4933950" cy="3295650"/>
            <wp:effectExtent l="25400" t="25400" r="25400" b="25400"/>
            <wp:docPr id="23" name="image7.png"/>
            <wp:cNvGraphicFramePr/>
            <a:graphic xmlns:a="http://schemas.openxmlformats.org/drawingml/2006/main">
              <a:graphicData uri="http://schemas.openxmlformats.org/drawingml/2006/picture">
                <pic:pic xmlns:pic="http://schemas.openxmlformats.org/drawingml/2006/picture">
                  <pic:nvPicPr>
                    <pic:cNvPr id="23" name="image7.png"/>
                    <pic:cNvPicPr/>
                  </pic:nvPicPr>
                  <pic:blipFill>
                    <a:blip r:embed="rId10" cstate="print"/>
                    <a:stretch>
                      <a:fillRect/>
                    </a:stretch>
                  </pic:blipFill>
                  <pic:spPr>
                    <a:xfrm>
                      <a:off x="0" y="0"/>
                      <a:ext cx="4933950" cy="3295650"/>
                    </a:xfrm>
                    <a:prstGeom prst="rect">
                      <a:avLst/>
                    </a:prstGeom>
                    <a:ln w="25400">
                      <a:solidFill>
                        <a:srgbClr val="000000"/>
                      </a:solidFill>
                      <a:prstDash val="solid"/>
                    </a:ln>
                  </pic:spPr>
                </pic:pic>
              </a:graphicData>
            </a:graphic>
          </wp:inline>
        </w:drawing>
      </w:r>
    </w:p>
    <w:p w14:paraId="4BFBEA21" w14:textId="77777777" w:rsidR="002F6974" w:rsidRDefault="00567E4E">
      <w:pPr>
        <w:jc w:val="center"/>
        <w:rPr>
          <w:b/>
          <w:bCs/>
        </w:rPr>
      </w:pPr>
      <w:r>
        <w:rPr>
          <w:b/>
          <w:bCs/>
        </w:rPr>
        <w:t>Figure 5: Expanded reality industry trend of Diageo</w:t>
      </w:r>
    </w:p>
    <w:p w14:paraId="1A51DB9E" w14:textId="77777777" w:rsidR="002F6974" w:rsidRDefault="00567E4E">
      <w:pPr>
        <w:jc w:val="center"/>
      </w:pPr>
      <w:r>
        <w:lastRenderedPageBreak/>
        <w:t>(Source: Diageo.com, 2025h)</w:t>
      </w:r>
      <w:r>
        <w:rPr>
          <w:b/>
          <w:bCs/>
        </w:rPr>
        <w:t xml:space="preserve"> </w:t>
      </w:r>
    </w:p>
    <w:p w14:paraId="5162F7E4" w14:textId="77777777" w:rsidR="002F6974" w:rsidRDefault="00567E4E">
      <w:r>
        <w:t xml:space="preserve">The third industrial trend involves promoting brands on a digital platform with the incorporation of artificial intelligence. </w:t>
      </w:r>
      <w:r w:rsidRPr="00FC7783">
        <w:t>Virtual spaces help customers explore Diageo’s products more interactively. For instance, the industry</w:t>
      </w:r>
      <w:r>
        <w:t xml:space="preserve"> trend of Diageo in Madrid highlights the generation of 11 million views across multiple platforms over the giant bottle of ‘Tanqueray 0.0’ (Diageo.com, 2025h). It generated online interaction among 4 million customers. </w:t>
      </w:r>
    </w:p>
    <w:p w14:paraId="5CCCC835" w14:textId="77777777" w:rsidR="002F6974" w:rsidRDefault="00567E4E">
      <w:r>
        <w:rPr>
          <w:b/>
          <w:bCs/>
        </w:rPr>
        <w:t>Collective belonging</w:t>
      </w:r>
    </w:p>
    <w:p w14:paraId="3729860D" w14:textId="77777777" w:rsidR="002F6974" w:rsidRDefault="00567E4E">
      <w:pPr>
        <w:jc w:val="center"/>
      </w:pPr>
      <w:r>
        <w:rPr>
          <w:noProof/>
          <w:lang w:val="en-US"/>
        </w:rPr>
        <w:drawing>
          <wp:inline distT="114300" distB="114300" distL="114300" distR="114300" wp14:anchorId="77E1BFAB" wp14:editId="2A82FF81">
            <wp:extent cx="4848225" cy="3448050"/>
            <wp:effectExtent l="25400" t="25400" r="25400" b="25400"/>
            <wp:docPr id="22" name="image6.png"/>
            <wp:cNvGraphicFramePr/>
            <a:graphic xmlns:a="http://schemas.openxmlformats.org/drawingml/2006/main">
              <a:graphicData uri="http://schemas.openxmlformats.org/drawingml/2006/picture">
                <pic:pic xmlns:pic="http://schemas.openxmlformats.org/drawingml/2006/picture">
                  <pic:nvPicPr>
                    <pic:cNvPr id="22" name="image6.png"/>
                    <pic:cNvPicPr/>
                  </pic:nvPicPr>
                  <pic:blipFill>
                    <a:blip r:embed="rId11" cstate="print"/>
                    <a:stretch>
                      <a:fillRect/>
                    </a:stretch>
                  </pic:blipFill>
                  <pic:spPr>
                    <a:xfrm>
                      <a:off x="0" y="0"/>
                      <a:ext cx="4848225" cy="3448050"/>
                    </a:xfrm>
                    <a:prstGeom prst="rect">
                      <a:avLst/>
                    </a:prstGeom>
                    <a:ln w="25400">
                      <a:solidFill>
                        <a:srgbClr val="000000"/>
                      </a:solidFill>
                      <a:prstDash val="solid"/>
                    </a:ln>
                  </pic:spPr>
                </pic:pic>
              </a:graphicData>
            </a:graphic>
          </wp:inline>
        </w:drawing>
      </w:r>
    </w:p>
    <w:p w14:paraId="4F0870AC" w14:textId="77777777" w:rsidR="002F6974" w:rsidRDefault="00567E4E">
      <w:pPr>
        <w:jc w:val="center"/>
        <w:rPr>
          <w:b/>
          <w:bCs/>
        </w:rPr>
      </w:pPr>
      <w:r>
        <w:rPr>
          <w:b/>
          <w:bCs/>
        </w:rPr>
        <w:t xml:space="preserve">Figure 6: Collective belonging industry trend of Diageo </w:t>
      </w:r>
    </w:p>
    <w:p w14:paraId="11D7490F" w14:textId="77777777" w:rsidR="002F6974" w:rsidRDefault="00567E4E">
      <w:pPr>
        <w:jc w:val="center"/>
        <w:rPr>
          <w:b/>
          <w:bCs/>
        </w:rPr>
      </w:pPr>
      <w:r>
        <w:t>(Source: Diageo.com, 2025h)</w:t>
      </w:r>
    </w:p>
    <w:p w14:paraId="0B1A7E5F" w14:textId="77777777" w:rsidR="002F6974" w:rsidRDefault="00567E4E">
      <w:r>
        <w:t xml:space="preserve">The fourth aspect of the industry trend is </w:t>
      </w:r>
      <w:r w:rsidRPr="00FC7783">
        <w:t>creating products that support inclusive consumption. For this purpose, Diageo takes the help</w:t>
      </w:r>
      <w:r>
        <w:t xml:space="preserve"> of social media platforms for creating ‘tribes’ or interacting groups regarding their product. It establishes a deeper connection between the company and the brand and positively influences purchasing decisions among consumers. </w:t>
      </w:r>
    </w:p>
    <w:p w14:paraId="622FD27D" w14:textId="77777777" w:rsidR="00FC7783" w:rsidRDefault="00FC7783"/>
    <w:p w14:paraId="39D8E533" w14:textId="77777777" w:rsidR="00FC7783" w:rsidRDefault="00FC7783"/>
    <w:p w14:paraId="602DE264" w14:textId="77777777" w:rsidR="00FC7783" w:rsidRDefault="00FC7783"/>
    <w:p w14:paraId="1CC53A64" w14:textId="77777777" w:rsidR="00FC7783" w:rsidRDefault="00FC7783"/>
    <w:p w14:paraId="0D085DA9" w14:textId="77777777" w:rsidR="00FC7783" w:rsidRDefault="00FC7783"/>
    <w:p w14:paraId="6980DFA5" w14:textId="77777777" w:rsidR="00FC7783" w:rsidRDefault="00FC7783"/>
    <w:p w14:paraId="388D736C" w14:textId="77777777" w:rsidR="00FC7783" w:rsidRDefault="00FC7783"/>
    <w:p w14:paraId="126EC5A7" w14:textId="77777777" w:rsidR="002F6974" w:rsidRDefault="00567E4E">
      <w:r>
        <w:rPr>
          <w:b/>
          <w:bCs/>
        </w:rPr>
        <w:t>Betterment brand</w:t>
      </w:r>
    </w:p>
    <w:p w14:paraId="3EA1418E" w14:textId="77777777" w:rsidR="002F6974" w:rsidRDefault="00567E4E">
      <w:pPr>
        <w:jc w:val="center"/>
      </w:pPr>
      <w:r>
        <w:rPr>
          <w:noProof/>
          <w:lang w:val="en-US"/>
        </w:rPr>
        <w:lastRenderedPageBreak/>
        <w:drawing>
          <wp:inline distT="114300" distB="114300" distL="114300" distR="114300" wp14:anchorId="7E90BF6B" wp14:editId="120C579F">
            <wp:extent cx="4905375" cy="3419475"/>
            <wp:effectExtent l="25400" t="25400" r="25400" b="25400"/>
            <wp:docPr id="25" name="image8.png"/>
            <wp:cNvGraphicFramePr/>
            <a:graphic xmlns:a="http://schemas.openxmlformats.org/drawingml/2006/main">
              <a:graphicData uri="http://schemas.openxmlformats.org/drawingml/2006/picture">
                <pic:pic xmlns:pic="http://schemas.openxmlformats.org/drawingml/2006/picture">
                  <pic:nvPicPr>
                    <pic:cNvPr id="25" name="image8.png"/>
                    <pic:cNvPicPr/>
                  </pic:nvPicPr>
                  <pic:blipFill>
                    <a:blip r:embed="rId12" cstate="print"/>
                    <a:stretch>
                      <a:fillRect/>
                    </a:stretch>
                  </pic:blipFill>
                  <pic:spPr>
                    <a:xfrm>
                      <a:off x="0" y="0"/>
                      <a:ext cx="4905375" cy="3419475"/>
                    </a:xfrm>
                    <a:prstGeom prst="rect">
                      <a:avLst/>
                    </a:prstGeom>
                    <a:ln w="25400">
                      <a:solidFill>
                        <a:srgbClr val="000000"/>
                      </a:solidFill>
                      <a:prstDash val="solid"/>
                    </a:ln>
                  </pic:spPr>
                </pic:pic>
              </a:graphicData>
            </a:graphic>
          </wp:inline>
        </w:drawing>
      </w:r>
    </w:p>
    <w:p w14:paraId="4B5CACAB" w14:textId="77777777" w:rsidR="002F6974" w:rsidRDefault="00567E4E">
      <w:pPr>
        <w:jc w:val="center"/>
        <w:rPr>
          <w:b/>
          <w:bCs/>
        </w:rPr>
      </w:pPr>
      <w:r>
        <w:rPr>
          <w:b/>
          <w:bCs/>
        </w:rPr>
        <w:t xml:space="preserve">Figure 7: ‘Betterment brand’ industry trend of Diageo </w:t>
      </w:r>
    </w:p>
    <w:p w14:paraId="3D58EBEC" w14:textId="77777777" w:rsidR="002F6974" w:rsidRDefault="00567E4E">
      <w:pPr>
        <w:jc w:val="center"/>
        <w:rPr>
          <w:b/>
          <w:bCs/>
        </w:rPr>
      </w:pPr>
      <w:r>
        <w:t>(Source: Diageo.com, 2025h)</w:t>
      </w:r>
    </w:p>
    <w:p w14:paraId="175F815F" w14:textId="77777777" w:rsidR="002F6974" w:rsidRDefault="00567E4E">
      <w:r>
        <w:t xml:space="preserve">The final trend involves product creation to make the world a better place. It involves the creation of brands that care about the consumption choices of everyone, including local communities and global supply chains. </w:t>
      </w:r>
    </w:p>
    <w:p w14:paraId="45F2DBAC" w14:textId="77777777" w:rsidR="002F6974" w:rsidRDefault="00567E4E">
      <w:pPr>
        <w:pStyle w:val="Heading1"/>
      </w:pPr>
      <w:bookmarkStart w:id="6" w:name="_heading=h.klu29c33zql2" w:colFirst="0" w:colLast="0"/>
      <w:bookmarkEnd w:id="6"/>
      <w:r>
        <w:t xml:space="preserve">3. Part 1: Application of frameworks in the chosen organisation </w:t>
      </w:r>
    </w:p>
    <w:p w14:paraId="10E23E3D" w14:textId="77777777" w:rsidR="002F6974" w:rsidRDefault="00567E4E">
      <w:pPr>
        <w:pStyle w:val="Heading2"/>
        <w:spacing w:before="0" w:after="0"/>
        <w:rPr>
          <w:b w:val="0"/>
          <w:bCs w:val="0"/>
        </w:rPr>
      </w:pPr>
      <w:bookmarkStart w:id="7" w:name="_heading=h.yuk5a6nc7zll" w:colFirst="0" w:colLast="0"/>
      <w:bookmarkEnd w:id="7"/>
      <w:r>
        <w:t xml:space="preserve">3.1 Innovation Ambition Matrix </w:t>
      </w:r>
    </w:p>
    <w:p w14:paraId="527A5B16" w14:textId="573A5722" w:rsidR="002F6974" w:rsidRDefault="002F6974">
      <w:pPr>
        <w:pBdr>
          <w:top w:val="nil"/>
          <w:left w:val="nil"/>
          <w:bottom w:val="nil"/>
          <w:right w:val="nil"/>
          <w:between w:val="nil"/>
        </w:pBdr>
        <w:jc w:val="center"/>
        <w:rPr>
          <w:b/>
          <w:bCs/>
          <w:color w:val="000000"/>
        </w:rPr>
      </w:pPr>
    </w:p>
    <w:p w14:paraId="3B054C49" w14:textId="77777777" w:rsidR="002F6974" w:rsidRDefault="00567E4E">
      <w:pPr>
        <w:pBdr>
          <w:top w:val="nil"/>
          <w:left w:val="nil"/>
          <w:bottom w:val="nil"/>
          <w:right w:val="nil"/>
          <w:between w:val="nil"/>
        </w:pBdr>
        <w:jc w:val="center"/>
        <w:rPr>
          <w:b/>
          <w:bCs/>
          <w:color w:val="000000"/>
        </w:rPr>
      </w:pPr>
      <w:r>
        <w:rPr>
          <w:b/>
          <w:bCs/>
          <w:color w:val="000000"/>
        </w:rPr>
        <w:t xml:space="preserve">Figure </w:t>
      </w:r>
      <w:r>
        <w:rPr>
          <w:b/>
          <w:bCs/>
        </w:rPr>
        <w:t>8</w:t>
      </w:r>
      <w:r>
        <w:rPr>
          <w:b/>
          <w:bCs/>
          <w:color w:val="000000"/>
        </w:rPr>
        <w:t xml:space="preserve">: Innovation ambition matrix </w:t>
      </w:r>
    </w:p>
    <w:p w14:paraId="554C5892" w14:textId="77777777" w:rsidR="002F6974" w:rsidRDefault="00567E4E">
      <w:pPr>
        <w:pBdr>
          <w:top w:val="nil"/>
          <w:left w:val="nil"/>
          <w:bottom w:val="nil"/>
          <w:right w:val="nil"/>
          <w:between w:val="nil"/>
        </w:pBdr>
        <w:jc w:val="center"/>
        <w:rPr>
          <w:highlight w:val="white"/>
        </w:rPr>
      </w:pPr>
      <w:r>
        <w:rPr>
          <w:color w:val="000000"/>
        </w:rPr>
        <w:t xml:space="preserve">(Source: </w:t>
      </w:r>
      <w:r>
        <w:rPr>
          <w:color w:val="000000"/>
          <w:highlight w:val="white"/>
        </w:rPr>
        <w:t>Van den Ende, 2021)</w:t>
      </w:r>
    </w:p>
    <w:p w14:paraId="6CEEC0E3" w14:textId="77777777" w:rsidR="002F6974" w:rsidRDefault="00567E4E">
      <w:pPr>
        <w:pBdr>
          <w:top w:val="nil"/>
          <w:left w:val="nil"/>
          <w:bottom w:val="nil"/>
          <w:right w:val="nil"/>
          <w:between w:val="nil"/>
        </w:pBdr>
        <w:rPr>
          <w:color w:val="000000"/>
        </w:rPr>
      </w:pPr>
      <w:r>
        <w:rPr>
          <w:color w:val="000000"/>
        </w:rPr>
        <w:t xml:space="preserve">The matrix is a framework that demonstrates product newness on the horizontal axis and newness of the market on the vertical axis. Based on this understanding, </w:t>
      </w:r>
      <w:r w:rsidRPr="00FC7783">
        <w:t>three categories of innovation are core, adjacent, and disruptive (</w:t>
      </w:r>
      <w:r w:rsidRPr="00FC7783">
        <w:rPr>
          <w:highlight w:val="white"/>
        </w:rPr>
        <w:t>Van den Ende, 2021)</w:t>
      </w:r>
      <w:r w:rsidRPr="00FC7783">
        <w:t>. Th</w:t>
      </w:r>
      <w:r>
        <w:rPr>
          <w:color w:val="000000"/>
        </w:rPr>
        <w:t>e matrix will be evaluated in the specific context of Diageo and its innovations categorised in the above three stages.</w:t>
      </w:r>
    </w:p>
    <w:p w14:paraId="645E6C4A" w14:textId="77777777" w:rsidR="00FC7783" w:rsidRDefault="00FC7783">
      <w:pPr>
        <w:pBdr>
          <w:top w:val="nil"/>
          <w:left w:val="nil"/>
          <w:bottom w:val="nil"/>
          <w:right w:val="nil"/>
          <w:between w:val="nil"/>
        </w:pBdr>
        <w:rPr>
          <w:color w:val="000000"/>
        </w:rPr>
      </w:pPr>
    </w:p>
    <w:p w14:paraId="1C673832" w14:textId="77777777" w:rsidR="00FC7783" w:rsidRDefault="00FC7783">
      <w:pPr>
        <w:pBdr>
          <w:top w:val="nil"/>
          <w:left w:val="nil"/>
          <w:bottom w:val="nil"/>
          <w:right w:val="nil"/>
          <w:between w:val="nil"/>
        </w:pBdr>
        <w:rPr>
          <w:color w:val="000000"/>
        </w:rPr>
      </w:pPr>
    </w:p>
    <w:p w14:paraId="3B57BC6A" w14:textId="77777777" w:rsidR="00FC7783" w:rsidRDefault="00FC7783">
      <w:pPr>
        <w:pBdr>
          <w:top w:val="nil"/>
          <w:left w:val="nil"/>
          <w:bottom w:val="nil"/>
          <w:right w:val="nil"/>
          <w:between w:val="nil"/>
        </w:pBdr>
        <w:rPr>
          <w:highlight w:val="white"/>
        </w:rPr>
      </w:pPr>
    </w:p>
    <w:p w14:paraId="02FC5D59" w14:textId="77777777" w:rsidR="00CA263B" w:rsidRDefault="00CA263B">
      <w:pPr>
        <w:pBdr>
          <w:top w:val="nil"/>
          <w:left w:val="nil"/>
          <w:bottom w:val="nil"/>
          <w:right w:val="nil"/>
          <w:between w:val="nil"/>
        </w:pBdr>
        <w:rPr>
          <w:highlight w:val="white"/>
        </w:rPr>
      </w:pPr>
    </w:p>
    <w:sdt>
      <w:sdtPr>
        <w:tag w:val="goog_rdk_0"/>
        <w:id w:val="-458691822"/>
        <w:lock w:val="contentLocked"/>
      </w:sdtPr>
      <w:sdtContent>
        <w:tbl>
          <w:tblPr>
            <w:tblStyle w:val="Table2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2F6974" w14:paraId="1DA1FB04" w14:textId="77777777">
            <w:tc>
              <w:tcPr>
                <w:tcW w:w="2257" w:type="dxa"/>
                <w:tcMar>
                  <w:top w:w="100" w:type="dxa"/>
                  <w:left w:w="100" w:type="dxa"/>
                  <w:bottom w:w="100" w:type="dxa"/>
                  <w:right w:w="100" w:type="dxa"/>
                </w:tcMar>
              </w:tcPr>
              <w:p w14:paraId="1E6ABB3B" w14:textId="77777777" w:rsidR="002F6974" w:rsidRDefault="002F6974">
                <w:pPr>
                  <w:widowControl w:val="0"/>
                  <w:rPr>
                    <w:color w:val="0000FF"/>
                    <w:highlight w:val="white"/>
                  </w:rPr>
                </w:pPr>
              </w:p>
            </w:tc>
            <w:tc>
              <w:tcPr>
                <w:tcW w:w="2257" w:type="dxa"/>
                <w:tcMar>
                  <w:top w:w="100" w:type="dxa"/>
                  <w:left w:w="100" w:type="dxa"/>
                  <w:bottom w:w="100" w:type="dxa"/>
                  <w:right w:w="100" w:type="dxa"/>
                </w:tcMar>
              </w:tcPr>
              <w:p w14:paraId="7F9D7629" w14:textId="77777777" w:rsidR="002F6974" w:rsidRDefault="00567E4E">
                <w:pPr>
                  <w:widowControl w:val="0"/>
                  <w:jc w:val="center"/>
                  <w:rPr>
                    <w:b/>
                    <w:bCs/>
                    <w:color w:val="0000FF"/>
                    <w:highlight w:val="white"/>
                  </w:rPr>
                </w:pPr>
                <w:r>
                  <w:rPr>
                    <w:b/>
                    <w:bCs/>
                    <w:color w:val="0000FF"/>
                    <w:highlight w:val="white"/>
                  </w:rPr>
                  <w:t xml:space="preserve">Existing markets </w:t>
                </w:r>
              </w:p>
            </w:tc>
            <w:tc>
              <w:tcPr>
                <w:tcW w:w="2257" w:type="dxa"/>
                <w:tcMar>
                  <w:top w:w="100" w:type="dxa"/>
                  <w:left w:w="100" w:type="dxa"/>
                  <w:bottom w:w="100" w:type="dxa"/>
                  <w:right w:w="100" w:type="dxa"/>
                </w:tcMar>
              </w:tcPr>
              <w:p w14:paraId="56CAF7C8" w14:textId="77777777" w:rsidR="002F6974" w:rsidRDefault="00567E4E">
                <w:pPr>
                  <w:widowControl w:val="0"/>
                  <w:jc w:val="center"/>
                  <w:rPr>
                    <w:b/>
                    <w:bCs/>
                    <w:color w:val="0000FF"/>
                    <w:highlight w:val="white"/>
                  </w:rPr>
                </w:pPr>
                <w:r>
                  <w:rPr>
                    <w:b/>
                    <w:bCs/>
                    <w:color w:val="0000FF"/>
                    <w:highlight w:val="white"/>
                  </w:rPr>
                  <w:t xml:space="preserve">Adjacent markets </w:t>
                </w:r>
              </w:p>
            </w:tc>
            <w:tc>
              <w:tcPr>
                <w:tcW w:w="2257" w:type="dxa"/>
                <w:tcMar>
                  <w:top w:w="100" w:type="dxa"/>
                  <w:left w:w="100" w:type="dxa"/>
                  <w:bottom w:w="100" w:type="dxa"/>
                  <w:right w:w="100" w:type="dxa"/>
                </w:tcMar>
              </w:tcPr>
              <w:p w14:paraId="43909B48" w14:textId="77777777" w:rsidR="002F6974" w:rsidRDefault="00567E4E">
                <w:pPr>
                  <w:widowControl w:val="0"/>
                  <w:jc w:val="center"/>
                  <w:rPr>
                    <w:b/>
                    <w:bCs/>
                    <w:color w:val="0000FF"/>
                    <w:highlight w:val="white"/>
                  </w:rPr>
                </w:pPr>
                <w:r>
                  <w:rPr>
                    <w:b/>
                    <w:bCs/>
                    <w:color w:val="0000FF"/>
                    <w:highlight w:val="white"/>
                  </w:rPr>
                  <w:t xml:space="preserve">New markets </w:t>
                </w:r>
              </w:p>
            </w:tc>
          </w:tr>
          <w:tr w:rsidR="002F6974" w14:paraId="0A3A43AE" w14:textId="77777777">
            <w:tc>
              <w:tcPr>
                <w:tcW w:w="2257" w:type="dxa"/>
                <w:tcMar>
                  <w:top w:w="100" w:type="dxa"/>
                  <w:left w:w="100" w:type="dxa"/>
                  <w:bottom w:w="100" w:type="dxa"/>
                  <w:right w:w="100" w:type="dxa"/>
                </w:tcMar>
              </w:tcPr>
              <w:p w14:paraId="6A278478" w14:textId="77777777" w:rsidR="002F6974" w:rsidRDefault="00567E4E">
                <w:pPr>
                  <w:widowControl w:val="0"/>
                  <w:jc w:val="center"/>
                  <w:rPr>
                    <w:b/>
                    <w:bCs/>
                    <w:color w:val="0000FF"/>
                    <w:highlight w:val="white"/>
                  </w:rPr>
                </w:pPr>
                <w:r>
                  <w:rPr>
                    <w:b/>
                    <w:bCs/>
                    <w:color w:val="0000FF"/>
                    <w:highlight w:val="white"/>
                  </w:rPr>
                  <w:t xml:space="preserve">Core Products </w:t>
                </w:r>
              </w:p>
            </w:tc>
            <w:tc>
              <w:tcPr>
                <w:tcW w:w="2257" w:type="dxa"/>
                <w:tcMar>
                  <w:top w:w="100" w:type="dxa"/>
                  <w:left w:w="100" w:type="dxa"/>
                  <w:bottom w:w="100" w:type="dxa"/>
                  <w:right w:w="100" w:type="dxa"/>
                </w:tcMar>
              </w:tcPr>
              <w:p w14:paraId="0911DC65" w14:textId="77777777" w:rsidR="002F6974" w:rsidRDefault="00567E4E">
                <w:pPr>
                  <w:widowControl w:val="0"/>
                  <w:rPr>
                    <w:color w:val="0000FF"/>
                    <w:highlight w:val="white"/>
                  </w:rPr>
                </w:pPr>
                <w:r>
                  <w:rPr>
                    <w:color w:val="0000FF"/>
                    <w:highlight w:val="white"/>
                  </w:rPr>
                  <w:t xml:space="preserve">Incorporation of ‘generative AI’  in making alcoholic beverages </w:t>
                </w:r>
              </w:p>
            </w:tc>
            <w:tc>
              <w:tcPr>
                <w:tcW w:w="2257" w:type="dxa"/>
                <w:tcMar>
                  <w:top w:w="100" w:type="dxa"/>
                  <w:left w:w="100" w:type="dxa"/>
                  <w:bottom w:w="100" w:type="dxa"/>
                  <w:right w:w="100" w:type="dxa"/>
                </w:tcMar>
              </w:tcPr>
              <w:p w14:paraId="0D40B848" w14:textId="77777777" w:rsidR="002F6974" w:rsidRDefault="00567E4E">
                <w:pPr>
                  <w:widowControl w:val="0"/>
                  <w:rPr>
                    <w:color w:val="0000FF"/>
                    <w:highlight w:val="white"/>
                  </w:rPr>
                </w:pPr>
                <w:r>
                  <w:rPr>
                    <w:color w:val="0000FF"/>
                    <w:highlight w:val="white"/>
                  </w:rPr>
                  <w:t>Attaining a strong position in the beer segment.</w:t>
                </w:r>
              </w:p>
            </w:tc>
            <w:tc>
              <w:tcPr>
                <w:tcW w:w="2257" w:type="dxa"/>
                <w:tcMar>
                  <w:top w:w="100" w:type="dxa"/>
                  <w:left w:w="100" w:type="dxa"/>
                  <w:bottom w:w="100" w:type="dxa"/>
                  <w:right w:w="100" w:type="dxa"/>
                </w:tcMar>
              </w:tcPr>
              <w:p w14:paraId="06EA4E5E" w14:textId="77777777" w:rsidR="002F6974" w:rsidRDefault="00567E4E">
                <w:pPr>
                  <w:widowControl w:val="0"/>
                  <w:numPr>
                    <w:ilvl w:val="0"/>
                    <w:numId w:val="12"/>
                  </w:numPr>
                  <w:rPr>
                    <w:color w:val="0000FF"/>
                    <w:highlight w:val="white"/>
                  </w:rPr>
                </w:pPr>
                <w:r>
                  <w:rPr>
                    <w:color w:val="0000FF"/>
                    <w:highlight w:val="white"/>
                  </w:rPr>
                  <w:t>Guinness</w:t>
                </w:r>
              </w:p>
              <w:p w14:paraId="65CD2611" w14:textId="77777777" w:rsidR="002F6974" w:rsidRDefault="00567E4E">
                <w:pPr>
                  <w:widowControl w:val="0"/>
                  <w:numPr>
                    <w:ilvl w:val="0"/>
                    <w:numId w:val="12"/>
                  </w:numPr>
                  <w:rPr>
                    <w:color w:val="0000FF"/>
                    <w:highlight w:val="white"/>
                  </w:rPr>
                </w:pPr>
                <w:r>
                  <w:rPr>
                    <w:color w:val="0000FF"/>
                    <w:highlight w:val="white"/>
                  </w:rPr>
                  <w:t>Ciroc</w:t>
                </w:r>
              </w:p>
            </w:tc>
          </w:tr>
          <w:tr w:rsidR="002F6974" w14:paraId="6A327FEF" w14:textId="77777777">
            <w:tc>
              <w:tcPr>
                <w:tcW w:w="2257" w:type="dxa"/>
                <w:tcMar>
                  <w:top w:w="100" w:type="dxa"/>
                  <w:left w:w="100" w:type="dxa"/>
                  <w:bottom w:w="100" w:type="dxa"/>
                  <w:right w:w="100" w:type="dxa"/>
                </w:tcMar>
              </w:tcPr>
              <w:p w14:paraId="78431418" w14:textId="77777777" w:rsidR="002F6974" w:rsidRDefault="00567E4E">
                <w:pPr>
                  <w:widowControl w:val="0"/>
                  <w:jc w:val="center"/>
                  <w:rPr>
                    <w:b/>
                    <w:bCs/>
                    <w:color w:val="0000FF"/>
                    <w:highlight w:val="white"/>
                  </w:rPr>
                </w:pPr>
                <w:r>
                  <w:rPr>
                    <w:b/>
                    <w:bCs/>
                    <w:color w:val="0000FF"/>
                    <w:highlight w:val="white"/>
                  </w:rPr>
                  <w:t xml:space="preserve">Adjacent products </w:t>
                </w:r>
              </w:p>
            </w:tc>
            <w:tc>
              <w:tcPr>
                <w:tcW w:w="2257" w:type="dxa"/>
                <w:tcMar>
                  <w:top w:w="100" w:type="dxa"/>
                  <w:left w:w="100" w:type="dxa"/>
                  <w:bottom w:w="100" w:type="dxa"/>
                  <w:right w:w="100" w:type="dxa"/>
                </w:tcMar>
              </w:tcPr>
              <w:p w14:paraId="4066CB2A" w14:textId="77777777" w:rsidR="002F6974" w:rsidRDefault="00567E4E">
                <w:pPr>
                  <w:widowControl w:val="0"/>
                  <w:rPr>
                    <w:color w:val="0000FF"/>
                    <w:highlight w:val="white"/>
                  </w:rPr>
                </w:pPr>
                <w:r>
                  <w:rPr>
                    <w:color w:val="0000FF"/>
                    <w:highlight w:val="white"/>
                  </w:rPr>
                  <w:t>‘Pre-mixed gin’</w:t>
                </w:r>
              </w:p>
            </w:tc>
            <w:tc>
              <w:tcPr>
                <w:tcW w:w="2257" w:type="dxa"/>
                <w:tcMar>
                  <w:top w:w="100" w:type="dxa"/>
                  <w:left w:w="100" w:type="dxa"/>
                  <w:bottom w:w="100" w:type="dxa"/>
                  <w:right w:w="100" w:type="dxa"/>
                </w:tcMar>
              </w:tcPr>
              <w:p w14:paraId="428CDA35" w14:textId="77777777" w:rsidR="002F6974" w:rsidRDefault="00567E4E">
                <w:pPr>
                  <w:widowControl w:val="0"/>
                  <w:rPr>
                    <w:color w:val="0000FF"/>
                    <w:highlight w:val="white"/>
                  </w:rPr>
                </w:pPr>
                <w:r>
                  <w:rPr>
                    <w:color w:val="0000FF"/>
                    <w:highlight w:val="white"/>
                  </w:rPr>
                  <w:t>‘Premium spirits’</w:t>
                </w:r>
              </w:p>
            </w:tc>
            <w:tc>
              <w:tcPr>
                <w:tcW w:w="2257" w:type="dxa"/>
                <w:tcMar>
                  <w:top w:w="100" w:type="dxa"/>
                  <w:left w:w="100" w:type="dxa"/>
                  <w:bottom w:w="100" w:type="dxa"/>
                  <w:right w:w="100" w:type="dxa"/>
                </w:tcMar>
              </w:tcPr>
              <w:p w14:paraId="309BF5D3" w14:textId="77777777" w:rsidR="002F6974" w:rsidRDefault="00567E4E">
                <w:pPr>
                  <w:widowControl w:val="0"/>
                  <w:rPr>
                    <w:color w:val="0000FF"/>
                    <w:highlight w:val="white"/>
                  </w:rPr>
                </w:pPr>
                <w:r>
                  <w:rPr>
                    <w:color w:val="0000FF"/>
                    <w:highlight w:val="white"/>
                  </w:rPr>
                  <w:t>40% of scotch whiskey is under 24 brands</w:t>
                </w:r>
              </w:p>
            </w:tc>
          </w:tr>
          <w:tr w:rsidR="002F6974" w14:paraId="7F9AFF8E" w14:textId="77777777">
            <w:tc>
              <w:tcPr>
                <w:tcW w:w="2257" w:type="dxa"/>
                <w:tcMar>
                  <w:top w:w="100" w:type="dxa"/>
                  <w:left w:w="100" w:type="dxa"/>
                  <w:bottom w:w="100" w:type="dxa"/>
                  <w:right w:w="100" w:type="dxa"/>
                </w:tcMar>
              </w:tcPr>
              <w:p w14:paraId="2E62DD53" w14:textId="77777777" w:rsidR="002F6974" w:rsidRDefault="00567E4E">
                <w:pPr>
                  <w:widowControl w:val="0"/>
                  <w:jc w:val="center"/>
                  <w:rPr>
                    <w:b/>
                    <w:bCs/>
                    <w:color w:val="0000FF"/>
                    <w:highlight w:val="white"/>
                  </w:rPr>
                </w:pPr>
                <w:r>
                  <w:rPr>
                    <w:b/>
                    <w:bCs/>
                    <w:color w:val="0000FF"/>
                    <w:highlight w:val="white"/>
                  </w:rPr>
                  <w:t xml:space="preserve">New products </w:t>
                </w:r>
              </w:p>
            </w:tc>
            <w:tc>
              <w:tcPr>
                <w:tcW w:w="2257" w:type="dxa"/>
                <w:tcMar>
                  <w:top w:w="100" w:type="dxa"/>
                  <w:left w:w="100" w:type="dxa"/>
                  <w:bottom w:w="100" w:type="dxa"/>
                  <w:right w:w="100" w:type="dxa"/>
                </w:tcMar>
              </w:tcPr>
              <w:p w14:paraId="21D18967" w14:textId="77777777" w:rsidR="002F6974" w:rsidRDefault="00567E4E">
                <w:pPr>
                  <w:widowControl w:val="0"/>
                  <w:numPr>
                    <w:ilvl w:val="0"/>
                    <w:numId w:val="11"/>
                  </w:numPr>
                  <w:rPr>
                    <w:color w:val="0000FF"/>
                    <w:highlight w:val="white"/>
                  </w:rPr>
                </w:pPr>
                <w:r>
                  <w:rPr>
                    <w:color w:val="0000FF"/>
                    <w:highlight w:val="white"/>
                  </w:rPr>
                  <w:t>‘Johnie walker’</w:t>
                </w:r>
              </w:p>
              <w:p w14:paraId="7E90FC7F" w14:textId="77777777" w:rsidR="002F6974" w:rsidRDefault="00567E4E">
                <w:pPr>
                  <w:widowControl w:val="0"/>
                  <w:numPr>
                    <w:ilvl w:val="0"/>
                    <w:numId w:val="11"/>
                  </w:numPr>
                  <w:rPr>
                    <w:color w:val="0000FF"/>
                    <w:highlight w:val="white"/>
                  </w:rPr>
                </w:pPr>
                <w:r>
                  <w:rPr>
                    <w:color w:val="0000FF"/>
                    <w:highlight w:val="white"/>
                  </w:rPr>
                  <w:t>‘Seedlip’ ‘Tanqueray’</w:t>
                </w:r>
              </w:p>
            </w:tc>
            <w:tc>
              <w:tcPr>
                <w:tcW w:w="2257" w:type="dxa"/>
                <w:tcMar>
                  <w:top w:w="100" w:type="dxa"/>
                  <w:left w:w="100" w:type="dxa"/>
                  <w:bottom w:w="100" w:type="dxa"/>
                  <w:right w:w="100" w:type="dxa"/>
                </w:tcMar>
              </w:tcPr>
              <w:p w14:paraId="1B338A4D" w14:textId="77777777" w:rsidR="002F6974" w:rsidRDefault="00567E4E">
                <w:pPr>
                  <w:widowControl w:val="0"/>
                  <w:numPr>
                    <w:ilvl w:val="0"/>
                    <w:numId w:val="1"/>
                  </w:numPr>
                  <w:rPr>
                    <w:color w:val="0000FF"/>
                    <w:highlight w:val="white"/>
                  </w:rPr>
                </w:pPr>
                <w:r>
                  <w:rPr>
                    <w:color w:val="0000FF"/>
                    <w:highlight w:val="white"/>
                  </w:rPr>
                  <w:t>Captain Morgan</w:t>
                </w:r>
              </w:p>
              <w:p w14:paraId="234D70AF" w14:textId="77777777" w:rsidR="002F6974" w:rsidRDefault="00567E4E">
                <w:pPr>
                  <w:widowControl w:val="0"/>
                  <w:numPr>
                    <w:ilvl w:val="0"/>
                    <w:numId w:val="1"/>
                  </w:numPr>
                  <w:rPr>
                    <w:color w:val="0000FF"/>
                    <w:highlight w:val="white"/>
                  </w:rPr>
                </w:pPr>
                <w:r>
                  <w:rPr>
                    <w:color w:val="0000FF"/>
                    <w:highlight w:val="white"/>
                  </w:rPr>
                  <w:t xml:space="preserve">Baileys </w:t>
                </w:r>
              </w:p>
              <w:p w14:paraId="6CE8B2B4" w14:textId="77777777" w:rsidR="002F6974" w:rsidRDefault="00567E4E">
                <w:pPr>
                  <w:widowControl w:val="0"/>
                  <w:numPr>
                    <w:ilvl w:val="0"/>
                    <w:numId w:val="1"/>
                  </w:numPr>
                  <w:rPr>
                    <w:color w:val="0000FF"/>
                    <w:highlight w:val="white"/>
                  </w:rPr>
                </w:pPr>
                <w:r>
                  <w:rPr>
                    <w:color w:val="0000FF"/>
                    <w:highlight w:val="white"/>
                  </w:rPr>
                  <w:t>Smirnoff</w:t>
                </w:r>
              </w:p>
            </w:tc>
            <w:tc>
              <w:tcPr>
                <w:tcW w:w="2257" w:type="dxa"/>
                <w:tcMar>
                  <w:top w:w="100" w:type="dxa"/>
                  <w:left w:w="100" w:type="dxa"/>
                  <w:bottom w:w="100" w:type="dxa"/>
                  <w:right w:w="100" w:type="dxa"/>
                </w:tcMar>
              </w:tcPr>
              <w:p w14:paraId="361C8805" w14:textId="77777777" w:rsidR="002F6974" w:rsidRDefault="00567E4E">
                <w:pPr>
                  <w:widowControl w:val="0"/>
                  <w:rPr>
                    <w:color w:val="0000FF"/>
                    <w:highlight w:val="white"/>
                  </w:rPr>
                </w:pPr>
                <w:r>
                  <w:rPr>
                    <w:color w:val="0000FF"/>
                    <w:highlight w:val="white"/>
                  </w:rPr>
                  <w:t xml:space="preserve">Market entry with ‘up-weight’ strategy </w:t>
                </w:r>
              </w:p>
            </w:tc>
          </w:tr>
        </w:tbl>
      </w:sdtContent>
    </w:sdt>
    <w:p w14:paraId="784ADF52" w14:textId="77777777" w:rsidR="002F6974" w:rsidRDefault="00567E4E">
      <w:pPr>
        <w:jc w:val="center"/>
        <w:rPr>
          <w:color w:val="0000FF"/>
        </w:rPr>
      </w:pPr>
      <w:r>
        <w:rPr>
          <w:b/>
          <w:bCs/>
          <w:color w:val="0000FF"/>
          <w:highlight w:val="white"/>
        </w:rPr>
        <w:t>Table 2: Nine aspects of the innovation ambition matrix for Diageo</w:t>
      </w:r>
    </w:p>
    <w:p w14:paraId="6B664CFD" w14:textId="77777777" w:rsidR="002F6974" w:rsidRDefault="00567E4E">
      <w:pPr>
        <w:pBdr>
          <w:top w:val="nil"/>
          <w:left w:val="nil"/>
          <w:bottom w:val="nil"/>
          <w:right w:val="nil"/>
          <w:between w:val="nil"/>
        </w:pBdr>
        <w:rPr>
          <w:b/>
          <w:bCs/>
          <w:color w:val="000000"/>
        </w:rPr>
      </w:pPr>
      <w:r>
        <w:rPr>
          <w:b/>
          <w:bCs/>
          <w:color w:val="000000"/>
        </w:rPr>
        <w:t>Core innovations</w:t>
      </w:r>
    </w:p>
    <w:p w14:paraId="4EA47E05" w14:textId="77777777" w:rsidR="002F6974" w:rsidRPr="00FC7783" w:rsidRDefault="00567E4E">
      <w:pPr>
        <w:pBdr>
          <w:top w:val="nil"/>
          <w:left w:val="nil"/>
          <w:bottom w:val="nil"/>
          <w:right w:val="nil"/>
          <w:between w:val="nil"/>
        </w:pBdr>
      </w:pPr>
      <w:r w:rsidRPr="00FC7783">
        <w:t>Innovation in this category involves optimisation of existing products for the target market (Stachel and Musante, 2023). Core innovations enable the utilisation of existing skills of an organisation to accomplish desired business objectives. In the specific context of Diageo, there is a separate 'breakthrough innovation team' that focuses on the development of the latest products of the company. For instance, the recent Diageo launch Fusion by Diageo identifies leading innovators to develop updated products (Diageo.com, 2025a). For example, brands of Diageo, such as Johnie Walker and Guinness, have initiated the 'Por Amor Campaign' for integrating immersive technologies in the production of Mexican tequila (Consumergoods.com, 2025). These core innovations have been achieved by establishing collaboration with industry partners within a 'test-and-learn' approach.</w:t>
      </w:r>
    </w:p>
    <w:p w14:paraId="17836640" w14:textId="77777777" w:rsidR="002F6974" w:rsidRPr="00FC7783" w:rsidRDefault="00567E4E">
      <w:pPr>
        <w:pBdr>
          <w:top w:val="nil"/>
          <w:left w:val="nil"/>
          <w:bottom w:val="nil"/>
          <w:right w:val="nil"/>
          <w:between w:val="nil"/>
        </w:pBdr>
        <w:rPr>
          <w:b/>
          <w:bCs/>
        </w:rPr>
      </w:pPr>
      <w:r w:rsidRPr="00FC7783">
        <w:rPr>
          <w:b/>
          <w:bCs/>
        </w:rPr>
        <w:t xml:space="preserve">Adjacent innovations </w:t>
      </w:r>
    </w:p>
    <w:p w14:paraId="26F67653" w14:textId="77777777" w:rsidR="002F6974" w:rsidRPr="00FC7783" w:rsidRDefault="00567E4E">
      <w:pPr>
        <w:pBdr>
          <w:top w:val="nil"/>
          <w:left w:val="nil"/>
          <w:bottom w:val="nil"/>
          <w:right w:val="nil"/>
          <w:between w:val="nil"/>
        </w:pBdr>
      </w:pPr>
      <w:r w:rsidRPr="00FC7783">
        <w:t xml:space="preserve">Innovations of organisations in adjacent categories involve providing a new space. These refer to existing alterations that strengthen their market operations (Hoogsteen and Borgman, 2022). With respect to Diageo, the company has incorporated innovation to strengthen its existing supply chain within the UK. Diageo established a state-of-the-art facility for strengthening innovation with the help of workshops dedicated to accomplishing the long-term business goals of Diageo (Mlaarchitects.co.uk, 2025). Similarly, </w:t>
      </w:r>
      <w:proofErr w:type="gramStart"/>
      <w:r w:rsidRPr="00FC7783">
        <w:t>in order to</w:t>
      </w:r>
      <w:proofErr w:type="gramEnd"/>
      <w:r w:rsidRPr="00FC7783">
        <w:t xml:space="preserve"> leverage its existing strength of sustainable production, Diageo has incorporated ‘Fusion Alterra’ for addressing sustainability challenges in production and distribution strategy (Diageo.com, 2025a). Additionally, the company has recently launched an initiative for better water </w:t>
      </w:r>
      <w:r w:rsidRPr="00FC7783">
        <w:lastRenderedPageBreak/>
        <w:t>management across its supply chain. This innovation strategy is aligned with the 10-year environmental, social and governance (ESG) action plan of Diageo (Foodmanufacture.co.uk, 2025). The recent action plan for better water management is aimed at addressing climate change challenges and water risks associated with the production of food and drinks at Diageo.</w:t>
      </w:r>
    </w:p>
    <w:p w14:paraId="58261628" w14:textId="77777777" w:rsidR="002F6974" w:rsidRDefault="00567E4E">
      <w:pPr>
        <w:pBdr>
          <w:top w:val="nil"/>
          <w:left w:val="nil"/>
          <w:bottom w:val="nil"/>
          <w:right w:val="nil"/>
          <w:between w:val="nil"/>
        </w:pBdr>
        <w:rPr>
          <w:b/>
          <w:bCs/>
          <w:color w:val="000000"/>
        </w:rPr>
      </w:pPr>
      <w:r>
        <w:rPr>
          <w:b/>
          <w:bCs/>
          <w:color w:val="000000"/>
        </w:rPr>
        <w:t>Disruptive innovations</w:t>
      </w:r>
    </w:p>
    <w:p w14:paraId="482CEBBA" w14:textId="77777777" w:rsidR="002F6974" w:rsidRDefault="00567E4E">
      <w:pPr>
        <w:pBdr>
          <w:top w:val="nil"/>
          <w:left w:val="nil"/>
          <w:bottom w:val="nil"/>
          <w:right w:val="nil"/>
          <w:between w:val="nil"/>
        </w:pBdr>
        <w:rPr>
          <w:color w:val="000000"/>
        </w:rPr>
      </w:pPr>
      <w:r w:rsidRPr="00FC7783">
        <w:t>Disruptive innovations involve investing in existing products within a new market for leveraging existing business assets (Randles, Tancoigne and Joly, 2022</w:t>
      </w:r>
      <w:proofErr w:type="gramStart"/>
      <w:r w:rsidRPr="00FC7783">
        <w:t>).In</w:t>
      </w:r>
      <w:proofErr w:type="gramEnd"/>
      <w:r w:rsidRPr="00FC7783">
        <w:t xml:space="preserve"> this regard, Diageo has disrupted the luxury brands market of the UK with the creation of spirits with a price range of 30 GBP or more for each bottle (Drinksretailingnews.co.uk, 2025). The luxury products of the company are incorporated with brand-building initiatives for enhancing customer experience. It encompasses 15 brand homes and visitor experiences for strengthening business operations within the distillery market of the UK. Diageo has a potential scope in disrupting the alcohol and beverage market with the production of quinoa vodka. It will enable Diageo to enhance its customer satisfaction and branding as quinoa offers high-quality protein, is a gluten-free product, along with 1.53% of soluble dietary fibre (Li </w:t>
      </w:r>
      <w:r w:rsidRPr="00FC7783">
        <w:rPr>
          <w:i/>
          <w:iCs/>
        </w:rPr>
        <w:t>et al.,</w:t>
      </w:r>
      <w:r w:rsidRPr="00FC7783">
        <w:t xml:space="preserve"> 2025). Thus, it will enhance Diageo's ability to disrupt</w:t>
      </w:r>
      <w:r>
        <w:rPr>
          <w:color w:val="000000"/>
        </w:rPr>
        <w:t xml:space="preserve"> the beverages market in the UK. </w:t>
      </w:r>
    </w:p>
    <w:p w14:paraId="7E5C0752" w14:textId="77777777" w:rsidR="002F6974" w:rsidRDefault="00567E4E">
      <w:pPr>
        <w:pStyle w:val="Heading2"/>
        <w:spacing w:before="0" w:after="0"/>
      </w:pPr>
      <w:bookmarkStart w:id="8" w:name="_heading=h.91rgqn8a39rg" w:colFirst="0" w:colLast="0"/>
      <w:bookmarkEnd w:id="8"/>
      <w:r>
        <w:t xml:space="preserve">3.2 Customer Journey Mapping </w:t>
      </w:r>
    </w:p>
    <w:p w14:paraId="2B91E34E" w14:textId="77777777" w:rsidR="002F6974" w:rsidRDefault="00567E4E">
      <w:pPr>
        <w:pBdr>
          <w:top w:val="nil"/>
          <w:left w:val="nil"/>
          <w:bottom w:val="nil"/>
          <w:right w:val="nil"/>
          <w:between w:val="nil"/>
        </w:pBdr>
        <w:jc w:val="center"/>
        <w:rPr>
          <w:b/>
          <w:bCs/>
          <w:color w:val="000000"/>
        </w:rPr>
      </w:pPr>
      <w:r>
        <w:rPr>
          <w:b/>
          <w:bCs/>
          <w:noProof/>
          <w:lang w:val="en-US"/>
        </w:rPr>
        <w:drawing>
          <wp:inline distT="114300" distB="114300" distL="114300" distR="114300" wp14:anchorId="34AE7C8C" wp14:editId="24ECE39F">
            <wp:extent cx="5731200" cy="4000500"/>
            <wp:effectExtent l="25400" t="25400" r="25400" b="25400"/>
            <wp:docPr id="28" name="image12.png"/>
            <wp:cNvGraphicFramePr/>
            <a:graphic xmlns:a="http://schemas.openxmlformats.org/drawingml/2006/main">
              <a:graphicData uri="http://schemas.openxmlformats.org/drawingml/2006/picture">
                <pic:pic xmlns:pic="http://schemas.openxmlformats.org/drawingml/2006/picture">
                  <pic:nvPicPr>
                    <pic:cNvPr id="28" name="image12.png"/>
                    <pic:cNvPicPr/>
                  </pic:nvPicPr>
                  <pic:blipFill>
                    <a:blip r:embed="rId13" cstate="print"/>
                    <a:stretch>
                      <a:fillRect/>
                    </a:stretch>
                  </pic:blipFill>
                  <pic:spPr>
                    <a:xfrm>
                      <a:off x="0" y="0"/>
                      <a:ext cx="5731200" cy="4000500"/>
                    </a:xfrm>
                    <a:prstGeom prst="rect">
                      <a:avLst/>
                    </a:prstGeom>
                    <a:ln w="25400">
                      <a:solidFill>
                        <a:srgbClr val="000000"/>
                      </a:solidFill>
                      <a:prstDash val="solid"/>
                    </a:ln>
                  </pic:spPr>
                </pic:pic>
              </a:graphicData>
            </a:graphic>
          </wp:inline>
        </w:drawing>
      </w:r>
    </w:p>
    <w:p w14:paraId="16C9ED66" w14:textId="77777777" w:rsidR="002F6974" w:rsidRDefault="00567E4E">
      <w:pPr>
        <w:pBdr>
          <w:top w:val="nil"/>
          <w:left w:val="nil"/>
          <w:bottom w:val="nil"/>
          <w:right w:val="nil"/>
          <w:between w:val="nil"/>
        </w:pBdr>
        <w:jc w:val="center"/>
        <w:rPr>
          <w:color w:val="000000"/>
        </w:rPr>
      </w:pPr>
      <w:r>
        <w:rPr>
          <w:b/>
          <w:bCs/>
          <w:color w:val="000000"/>
        </w:rPr>
        <w:t xml:space="preserve">Figure </w:t>
      </w:r>
      <w:r>
        <w:rPr>
          <w:b/>
          <w:bCs/>
        </w:rPr>
        <w:t>9</w:t>
      </w:r>
      <w:r>
        <w:rPr>
          <w:b/>
          <w:bCs/>
          <w:color w:val="000000"/>
        </w:rPr>
        <w:t xml:space="preserve">: Customer Journey </w:t>
      </w:r>
      <w:r>
        <w:rPr>
          <w:b/>
          <w:bCs/>
        </w:rPr>
        <w:t>M</w:t>
      </w:r>
      <w:r>
        <w:rPr>
          <w:b/>
          <w:bCs/>
          <w:color w:val="000000"/>
        </w:rPr>
        <w:t>ap</w:t>
      </w:r>
    </w:p>
    <w:p w14:paraId="5BA50F29" w14:textId="77777777" w:rsidR="002F6974" w:rsidRPr="00FC7783" w:rsidRDefault="00567E4E">
      <w:pPr>
        <w:pBdr>
          <w:top w:val="nil"/>
          <w:left w:val="nil"/>
          <w:bottom w:val="nil"/>
          <w:right w:val="nil"/>
          <w:between w:val="nil"/>
        </w:pBdr>
      </w:pPr>
      <w:r w:rsidRPr="00FC7783">
        <w:lastRenderedPageBreak/>
        <w:t>A customer journey map refers to a visual framework of integration between the business operations of a company and the demands of the target market (Okeke</w:t>
      </w:r>
      <w:r w:rsidRPr="00FC7783">
        <w:rPr>
          <w:i/>
          <w:iCs/>
        </w:rPr>
        <w:t xml:space="preserve"> et al.,</w:t>
      </w:r>
      <w:r w:rsidRPr="00FC7783">
        <w:t xml:space="preserve"> 2024). The map highlights key insights into changing customer needs of potential customers at each stage of the journey, along with factors that can either restrict or motivate business operational progress. In the context of the analysis of innovations in Diageo, the current mapping will involve awareness parameters, consideration of market objectives, customer purchase strategy, along with retention and advocacy measures. </w:t>
      </w:r>
    </w:p>
    <w:p w14:paraId="66437F12" w14:textId="77777777" w:rsidR="002F6974" w:rsidRPr="00FC7783" w:rsidRDefault="00567E4E">
      <w:pPr>
        <w:pBdr>
          <w:top w:val="nil"/>
          <w:left w:val="nil"/>
          <w:bottom w:val="nil"/>
          <w:right w:val="nil"/>
          <w:between w:val="nil"/>
        </w:pBdr>
        <w:rPr>
          <w:b/>
          <w:bCs/>
        </w:rPr>
      </w:pPr>
      <w:r w:rsidRPr="00FC7783">
        <w:rPr>
          <w:b/>
          <w:bCs/>
        </w:rPr>
        <w:t xml:space="preserve">Awareness </w:t>
      </w:r>
    </w:p>
    <w:p w14:paraId="466EB3F3" w14:textId="77777777" w:rsidR="002F6974" w:rsidRPr="00FC7783" w:rsidRDefault="00567E4E">
      <w:pPr>
        <w:pBdr>
          <w:top w:val="nil"/>
          <w:left w:val="nil"/>
          <w:bottom w:val="nil"/>
          <w:right w:val="nil"/>
          <w:between w:val="nil"/>
        </w:pBdr>
      </w:pPr>
      <w:r w:rsidRPr="00FC7783">
        <w:t>In the first stage, the customer becomes aware of the product or service of the specific organisation. It involves current digital marketing strategies that facilitate knowledge among the target customers. For instance, Diageo has launched the 'DrinkiQ programme’ for raising awareness among the target customers for responsible drinking (Diageo.com, 2025b). The awareness initiative is aimed at better online promotion, word-of-mouth marketing, and paid content creation. For this purpose, Diageo has launched a 'spirit of progress' strategy for supporting creative content creation related to Diageo on social media platforms (Diageo.com, 2025c). In collaboration with the 'Unstereotype Alliance’ of the United Nations, Diageo raises awareness among customers for diverse consumption free from any gender or racial barriers.</w:t>
      </w:r>
    </w:p>
    <w:p w14:paraId="1FFA4606" w14:textId="77777777" w:rsidR="002F6974" w:rsidRPr="00FC7783" w:rsidRDefault="00567E4E">
      <w:pPr>
        <w:pBdr>
          <w:top w:val="nil"/>
          <w:left w:val="nil"/>
          <w:bottom w:val="nil"/>
          <w:right w:val="nil"/>
          <w:between w:val="nil"/>
        </w:pBdr>
        <w:rPr>
          <w:b/>
          <w:bCs/>
        </w:rPr>
      </w:pPr>
      <w:r w:rsidRPr="00FC7783">
        <w:rPr>
          <w:b/>
          <w:bCs/>
        </w:rPr>
        <w:t>Consideration</w:t>
      </w:r>
    </w:p>
    <w:p w14:paraId="5F5D185D" w14:textId="77777777" w:rsidR="002F6974" w:rsidRPr="00FC7783" w:rsidRDefault="00567E4E">
      <w:pPr>
        <w:pBdr>
          <w:top w:val="nil"/>
          <w:left w:val="nil"/>
          <w:bottom w:val="nil"/>
          <w:right w:val="nil"/>
          <w:between w:val="nil"/>
        </w:pBdr>
      </w:pPr>
      <w:r w:rsidRPr="00FC7783">
        <w:t>After the awareness stage, the customer progresses towards the consideration stage, in which the customers consider unique aspects of the products. To facilitate the recognition of unique points by customers, Diageo has currently designed website promotions to cater to unique demands. For instance, Diageo’s UK website landing page promotes its more than 200 brands and their export to more than 100 nations (Diageo.com, 2025d). The key aspect of website promotion of Diageo involves conveying the message of 'best brand builder' across the globe in premium drinks. After making the customers aware of the brand and its innovation, the consideration stage involves social media and website promotion of the unique brand values that can motivate the customers in their purchasing patterns (Diageo-one.com, 2025). For this purpose, the company has established a gateway referred to as 'Diageo one' for the utilisation of market promotion strategy in enhancing customer satisfaction.</w:t>
      </w:r>
    </w:p>
    <w:p w14:paraId="117C8CDE" w14:textId="77777777" w:rsidR="002F6974" w:rsidRPr="00FC7783" w:rsidRDefault="00567E4E">
      <w:pPr>
        <w:pBdr>
          <w:top w:val="nil"/>
          <w:left w:val="nil"/>
          <w:bottom w:val="nil"/>
          <w:right w:val="nil"/>
          <w:between w:val="nil"/>
        </w:pBdr>
        <w:rPr>
          <w:b/>
          <w:bCs/>
        </w:rPr>
      </w:pPr>
      <w:r w:rsidRPr="00FC7783">
        <w:rPr>
          <w:b/>
          <w:bCs/>
        </w:rPr>
        <w:t>Purchase</w:t>
      </w:r>
    </w:p>
    <w:p w14:paraId="7234D565" w14:textId="77777777" w:rsidR="002F6974" w:rsidRPr="00FC7783" w:rsidRDefault="00567E4E">
      <w:pPr>
        <w:pBdr>
          <w:top w:val="nil"/>
          <w:left w:val="nil"/>
          <w:bottom w:val="nil"/>
          <w:right w:val="nil"/>
          <w:between w:val="nil"/>
        </w:pBdr>
      </w:pPr>
      <w:r w:rsidRPr="00FC7783">
        <w:t xml:space="preserve">The third aspect of the customer journey map involves purchasing motivation for customers. </w:t>
      </w:r>
      <w:proofErr w:type="gramStart"/>
      <w:r w:rsidRPr="00FC7783">
        <w:t>In order to</w:t>
      </w:r>
      <w:proofErr w:type="gramEnd"/>
      <w:r w:rsidRPr="00FC7783">
        <w:t xml:space="preserve"> cater to customer needs and demand, Diageo has currently adopted an efficient distribution and pricing strategy to expand its sales margin and reach across several nations. Diageo uses a global marketing code to standardise communication for establishing minimum standard global measures for efficient communication of product ideas across different markets and brands (Diageo.com, 2025e). The efficient marketing and distribution strategy enables higher purchasing patterns among the customers in the UK. It is evident from the fact </w:t>
      </w:r>
      <w:r w:rsidRPr="00FC7783">
        <w:lastRenderedPageBreak/>
        <w:t xml:space="preserve">that Diageo has generated a net sales amount of 16.2 billion GBP in 2024 (Statista.com, 2025). Therefore, the pricing and promotion strategies of Diageo have positively impacted the purchase decisions of customers in the context of Diageo. </w:t>
      </w:r>
    </w:p>
    <w:p w14:paraId="6FEB7F19" w14:textId="77777777" w:rsidR="002F6974" w:rsidRPr="00FC7783" w:rsidRDefault="00567E4E">
      <w:pPr>
        <w:pBdr>
          <w:top w:val="nil"/>
          <w:left w:val="nil"/>
          <w:bottom w:val="nil"/>
          <w:right w:val="nil"/>
          <w:between w:val="nil"/>
        </w:pBdr>
        <w:rPr>
          <w:b/>
          <w:bCs/>
        </w:rPr>
      </w:pPr>
      <w:r w:rsidRPr="00FC7783">
        <w:rPr>
          <w:b/>
          <w:bCs/>
        </w:rPr>
        <w:t>Retention</w:t>
      </w:r>
    </w:p>
    <w:p w14:paraId="3877C237" w14:textId="77777777" w:rsidR="002F6974" w:rsidRPr="00FC7783" w:rsidRDefault="00567E4E">
      <w:pPr>
        <w:pBdr>
          <w:top w:val="nil"/>
          <w:left w:val="nil"/>
          <w:bottom w:val="nil"/>
          <w:right w:val="nil"/>
          <w:between w:val="nil"/>
        </w:pBdr>
      </w:pPr>
      <w:r w:rsidRPr="00FC7783">
        <w:t xml:space="preserve">Along with spreading awareness and considering the unique demands of customers, it is important for Diageo to incorporate customer retention strategies. For this purpose, the company has currently established a separate compliance management department for reviewing customer grievance data and establishing open forums for dialogues with customer communities (Diageo.com, 2025g). Moreover, for the purpose of customer and supplier retention, Diageo has established a code of conduct for global travel and expenses to adopt diligence and integrity within the expense claims by clients and customers (Diageo.com, 2025f). The above-mentioned strategies support long-term customer retention by understanding their unique needs and issues associated with Diageo products. </w:t>
      </w:r>
    </w:p>
    <w:p w14:paraId="6562939E" w14:textId="77777777" w:rsidR="002F6974" w:rsidRPr="00FC7783" w:rsidRDefault="00567E4E">
      <w:pPr>
        <w:pBdr>
          <w:top w:val="nil"/>
          <w:left w:val="nil"/>
          <w:bottom w:val="nil"/>
          <w:right w:val="nil"/>
          <w:between w:val="nil"/>
        </w:pBdr>
        <w:rPr>
          <w:b/>
          <w:bCs/>
        </w:rPr>
      </w:pPr>
      <w:r w:rsidRPr="00FC7783">
        <w:rPr>
          <w:b/>
          <w:bCs/>
        </w:rPr>
        <w:t xml:space="preserve">Advocacy </w:t>
      </w:r>
    </w:p>
    <w:p w14:paraId="11C5F3DC" w14:textId="77777777" w:rsidR="002F6974" w:rsidRPr="00FC7783" w:rsidRDefault="00567E4E">
      <w:pPr>
        <w:pBdr>
          <w:top w:val="nil"/>
          <w:left w:val="nil"/>
          <w:bottom w:val="nil"/>
          <w:right w:val="nil"/>
          <w:between w:val="nil"/>
        </w:pBdr>
      </w:pPr>
      <w:r w:rsidRPr="00FC7783">
        <w:t xml:space="preserve">Diageo promotes innovation-driven growth to enhance customer satisfaction and accomplish strategic business goals. In this regard, Diageo centres its business operations around adopting different flavour preferences and integrating required spices for creating unique tastes (McKinsey.com, 2025). It advocates in-depth market research principles for understanding and personalising whiskey preferences. For instance, last summer, the company used sea salt and umami in producing alcoholic beverages for its target market (Mckinsey.com, 2025). In the context of the customer journey, the above-mentioned advocacy measures will enable expansion of the brand to diverse markets and, as a result, will boost the entire product portfolio. </w:t>
      </w:r>
    </w:p>
    <w:p w14:paraId="72290221" w14:textId="77777777" w:rsidR="002F6974" w:rsidRPr="00FC7783" w:rsidRDefault="00567E4E">
      <w:pPr>
        <w:pBdr>
          <w:top w:val="nil"/>
          <w:left w:val="nil"/>
          <w:bottom w:val="nil"/>
          <w:right w:val="nil"/>
          <w:between w:val="nil"/>
        </w:pBdr>
      </w:pPr>
      <w:r w:rsidRPr="00FC7783">
        <w:t xml:space="preserve">Based on the above analysis, it has been understood that the customer journey map for Diageo is progressive, right from the stage of product awareness to retention in the target market of Diageo. </w:t>
      </w:r>
    </w:p>
    <w:p w14:paraId="2FA15AA2" w14:textId="77777777" w:rsidR="00FC7783" w:rsidRDefault="00FC7783">
      <w:pPr>
        <w:pStyle w:val="Heading1"/>
        <w:spacing w:before="0" w:after="0"/>
        <w:rPr>
          <w:color w:val="auto"/>
        </w:rPr>
      </w:pPr>
      <w:bookmarkStart w:id="9" w:name="_heading=h.mbrtkdg7c89b" w:colFirst="0" w:colLast="0"/>
      <w:bookmarkEnd w:id="9"/>
    </w:p>
    <w:p w14:paraId="22DC60A0" w14:textId="77777777" w:rsidR="00FC7783" w:rsidRDefault="00FC7783">
      <w:pPr>
        <w:pStyle w:val="Heading1"/>
        <w:spacing w:before="0" w:after="0"/>
        <w:rPr>
          <w:color w:val="auto"/>
        </w:rPr>
      </w:pPr>
    </w:p>
    <w:p w14:paraId="2A43A992" w14:textId="5C1EC0EE" w:rsidR="002F6974" w:rsidRPr="00FC7783" w:rsidRDefault="00567E4E">
      <w:pPr>
        <w:pStyle w:val="Heading1"/>
        <w:spacing w:before="0" w:after="0"/>
        <w:rPr>
          <w:color w:val="auto"/>
        </w:rPr>
      </w:pPr>
      <w:r w:rsidRPr="00FC7783">
        <w:rPr>
          <w:color w:val="auto"/>
        </w:rPr>
        <w:t xml:space="preserve">Part 2: Analysis of innovation approach through application of frameworks </w:t>
      </w:r>
    </w:p>
    <w:p w14:paraId="00CD0A01" w14:textId="77777777" w:rsidR="002F6974" w:rsidRPr="00FC7783" w:rsidRDefault="00567E4E">
      <w:pPr>
        <w:pStyle w:val="Heading2"/>
        <w:spacing w:before="0" w:after="0"/>
        <w:rPr>
          <w:color w:val="auto"/>
        </w:rPr>
      </w:pPr>
      <w:bookmarkStart w:id="10" w:name="_heading=h.g36i9leqqy9l" w:colFirst="0" w:colLast="0"/>
      <w:bookmarkEnd w:id="10"/>
      <w:r w:rsidRPr="00FC7783">
        <w:rPr>
          <w:color w:val="auto"/>
        </w:rPr>
        <w:t xml:space="preserve">4.1 Innovation approach </w:t>
      </w:r>
    </w:p>
    <w:p w14:paraId="5505722C" w14:textId="77777777" w:rsidR="002F6974" w:rsidRPr="00FC7783" w:rsidRDefault="00567E4E">
      <w:r w:rsidRPr="00FC7783">
        <w:t>Incorporation of innovation is crucial for business growth and for establishing a competitive business landscape. It enhances product offerings and expands the customer base (</w:t>
      </w:r>
      <w:r w:rsidRPr="00FC7783">
        <w:rPr>
          <w:highlight w:val="white"/>
        </w:rPr>
        <w:t xml:space="preserve">Andreini </w:t>
      </w:r>
      <w:r w:rsidRPr="00FC7783">
        <w:rPr>
          <w:i/>
          <w:iCs/>
          <w:highlight w:val="white"/>
        </w:rPr>
        <w:t>et al.,</w:t>
      </w:r>
      <w:r w:rsidRPr="00FC7783">
        <w:rPr>
          <w:highlight w:val="white"/>
        </w:rPr>
        <w:t xml:space="preserve"> 2022)</w:t>
      </w:r>
      <w:r w:rsidRPr="00FC7783">
        <w:t xml:space="preserve">. For this purpose, innovation is adopted in successful business strategies and decision-making. However, systematic innovation requires integration of different business </w:t>
      </w:r>
      <w:r w:rsidRPr="00FC7783">
        <w:lastRenderedPageBreak/>
        <w:t>functions involving marketing, communications and human resource management. Therefore, organisations aim to make innovation a dedicated function essential for harnessing an innovative spirit within the existing workforce (</w:t>
      </w:r>
      <w:r w:rsidRPr="00FC7783">
        <w:rPr>
          <w:highlight w:val="white"/>
        </w:rPr>
        <w:t xml:space="preserve">Andreini </w:t>
      </w:r>
      <w:r w:rsidRPr="00FC7783">
        <w:rPr>
          <w:i/>
          <w:iCs/>
          <w:highlight w:val="white"/>
        </w:rPr>
        <w:t>et al.,</w:t>
      </w:r>
      <w:r w:rsidRPr="00FC7783">
        <w:rPr>
          <w:highlight w:val="white"/>
        </w:rPr>
        <w:t xml:space="preserve"> 2022)</w:t>
      </w:r>
      <w:r w:rsidRPr="00FC7783">
        <w:t>. For instance, Diageo has established a separate innovation team that focuses on product improvement with the analysis of customer data with a generative artificial intelligence tool (</w:t>
      </w:r>
      <w:r w:rsidRPr="00FC7783">
        <w:rPr>
          <w:highlight w:val="white"/>
        </w:rPr>
        <w:t>Critchlow</w:t>
      </w:r>
      <w:r w:rsidRPr="00FC7783">
        <w:t xml:space="preserve"> </w:t>
      </w:r>
      <w:r w:rsidRPr="00FC7783">
        <w:rPr>
          <w:i/>
          <w:iCs/>
        </w:rPr>
        <w:t>et al.,</w:t>
      </w:r>
      <w:r w:rsidRPr="00FC7783">
        <w:t xml:space="preserve"> 2025). In this context, it has been understood that the innovation approach of Diageo is agile.</w:t>
      </w:r>
    </w:p>
    <w:p w14:paraId="4CF9E976" w14:textId="77777777" w:rsidR="002F6974" w:rsidRPr="00FC7783" w:rsidRDefault="00567E4E">
      <w:r w:rsidRPr="00FC7783">
        <w:t xml:space="preserve">The agile innovation approach involves the adoption of unique values, principles and practices for developing organisational management across a wide range of industries. The rationale behind organisational preferences for agile innovation involves an expansion of new possibilities in developing marketing programs and recruiting efficient talent (Hbr.org, 2025). It has been found that an agile innovation approach may increase recruitment by 60% through the HR department and could generate 40% more customer inquiries (Hbr.org, 2025). Therefore, an agile innovation approach involves launching business initiatives for higher business growth and customer satisfaction. </w:t>
      </w:r>
    </w:p>
    <w:p w14:paraId="2A7E3341" w14:textId="77777777" w:rsidR="002F6974" w:rsidRDefault="00567E4E">
      <w:pPr>
        <w:jc w:val="center"/>
      </w:pPr>
      <w:r>
        <w:rPr>
          <w:noProof/>
          <w:lang w:val="en-US"/>
        </w:rPr>
        <w:drawing>
          <wp:inline distT="114300" distB="114300" distL="114300" distR="114300" wp14:anchorId="2EE51FA8" wp14:editId="26FC4228">
            <wp:extent cx="5553075" cy="3952875"/>
            <wp:effectExtent l="25400" t="25400" r="25400" b="25400"/>
            <wp:docPr id="26" name="image4.png"/>
            <wp:cNvGraphicFramePr/>
            <a:graphic xmlns:a="http://schemas.openxmlformats.org/drawingml/2006/main">
              <a:graphicData uri="http://schemas.openxmlformats.org/drawingml/2006/picture">
                <pic:pic xmlns:pic="http://schemas.openxmlformats.org/drawingml/2006/picture">
                  <pic:nvPicPr>
                    <pic:cNvPr id="26" name="image4.png"/>
                    <pic:cNvPicPr/>
                  </pic:nvPicPr>
                  <pic:blipFill>
                    <a:blip r:embed="rId14" cstate="print"/>
                    <a:stretch>
                      <a:fillRect/>
                    </a:stretch>
                  </pic:blipFill>
                  <pic:spPr>
                    <a:xfrm>
                      <a:off x="0" y="0"/>
                      <a:ext cx="5553075" cy="3952875"/>
                    </a:xfrm>
                    <a:prstGeom prst="rect">
                      <a:avLst/>
                    </a:prstGeom>
                    <a:ln w="25400">
                      <a:solidFill>
                        <a:srgbClr val="000000"/>
                      </a:solidFill>
                      <a:prstDash val="solid"/>
                    </a:ln>
                  </pic:spPr>
                </pic:pic>
              </a:graphicData>
            </a:graphic>
          </wp:inline>
        </w:drawing>
      </w:r>
    </w:p>
    <w:p w14:paraId="468100DB" w14:textId="77777777" w:rsidR="002F6974" w:rsidRDefault="00567E4E">
      <w:pPr>
        <w:jc w:val="center"/>
        <w:rPr>
          <w:b/>
          <w:bCs/>
        </w:rPr>
      </w:pPr>
      <w:r>
        <w:rPr>
          <w:b/>
          <w:bCs/>
        </w:rPr>
        <w:t>Figure 10: Agile innovation for adopting sustainable packaging at Diageo</w:t>
      </w:r>
    </w:p>
    <w:p w14:paraId="5E0AACE5" w14:textId="77777777" w:rsidR="002F6974" w:rsidRDefault="00567E4E">
      <w:pPr>
        <w:jc w:val="center"/>
      </w:pPr>
      <w:r>
        <w:t>(Source: Media.diageo.com, 2025)</w:t>
      </w:r>
    </w:p>
    <w:p w14:paraId="5A97B724" w14:textId="77777777" w:rsidR="002F6974" w:rsidRDefault="00567E4E">
      <w:r>
        <w:t xml:space="preserve">Based on the above understanding, Diageo adopts advanced tools and practices of optimising organisational management. In this regard, the company has established the ‘Society 2030: Spirit of Progress’ plan for sustainable production and packaging. It involves an increase in recycled content by 60% and a reduction of total weight by 10% in all packaging. Moreover, </w:t>
      </w:r>
      <w:r>
        <w:lastRenderedPageBreak/>
        <w:t xml:space="preserve">the agile innovation in sustainability involves increased use of recyclable and compostable materials in product packaging and distribution. Therefore, Diageo has incorporated sustainable measures for achieving 40% of recyclable content in all plastic bottles by 2025. Thus, innovation practices of Diageo are aligned with the agile approach in the optimisation of organisational management. </w:t>
      </w:r>
    </w:p>
    <w:p w14:paraId="0959B3C7" w14:textId="77777777" w:rsidR="002F6974" w:rsidRDefault="00567E4E">
      <w:pPr>
        <w:pStyle w:val="Heading2"/>
        <w:spacing w:before="0" w:after="0"/>
      </w:pPr>
      <w:bookmarkStart w:id="11" w:name="_heading=h.n3op9rp61p8o" w:colFirst="0" w:colLast="0"/>
      <w:bookmarkEnd w:id="11"/>
      <w:r>
        <w:t xml:space="preserve">4.2 Application of innovation ambition matrix </w:t>
      </w:r>
    </w:p>
    <w:p w14:paraId="515288A6" w14:textId="77777777" w:rsidR="002F6974" w:rsidRDefault="00567E4E">
      <w:r>
        <w:t>The innovation ambition matrix is significant for identifying the potential future strategies that can be adopted by organisations for optimised business progress (</w:t>
      </w:r>
      <w:r>
        <w:rPr>
          <w:highlight w:val="white"/>
        </w:rPr>
        <w:t>Goffin and Mitchell, 2025)</w:t>
      </w:r>
      <w:r>
        <w:t xml:space="preserve">. In this regard, the analysis of the innovation ambition matrix for Diageo will </w:t>
      </w:r>
      <w:r w:rsidRPr="00FC7783">
        <w:t>highlight future innovation opportunities to achieve business goals. The scope of future innovations</w:t>
      </w:r>
      <w:r>
        <w:t xml:space="preserve"> for Diageo will be categorised into three categories.</w:t>
      </w:r>
    </w:p>
    <w:p w14:paraId="66511A59" w14:textId="77777777" w:rsidR="002F6974" w:rsidRDefault="00567E4E">
      <w:pPr>
        <w:jc w:val="center"/>
      </w:pPr>
      <w:r>
        <w:rPr>
          <w:noProof/>
          <w:lang w:val="en-US"/>
        </w:rPr>
        <w:drawing>
          <wp:inline distT="114300" distB="114300" distL="114300" distR="114300" wp14:anchorId="3682AF01" wp14:editId="4E80953A">
            <wp:extent cx="5095875" cy="2343150"/>
            <wp:effectExtent l="25400" t="25400" r="25400" b="25400"/>
            <wp:docPr id="27" name="image9.png"/>
            <wp:cNvGraphicFramePr/>
            <a:graphic xmlns:a="http://schemas.openxmlformats.org/drawingml/2006/main">
              <a:graphicData uri="http://schemas.openxmlformats.org/drawingml/2006/picture">
                <pic:pic xmlns:pic="http://schemas.openxmlformats.org/drawingml/2006/picture">
                  <pic:nvPicPr>
                    <pic:cNvPr id="27" name="image9.png"/>
                    <pic:cNvPicPr/>
                  </pic:nvPicPr>
                  <pic:blipFill>
                    <a:blip r:embed="rId15" cstate="print"/>
                    <a:stretch>
                      <a:fillRect/>
                    </a:stretch>
                  </pic:blipFill>
                  <pic:spPr>
                    <a:xfrm>
                      <a:off x="0" y="0"/>
                      <a:ext cx="5095875" cy="2343150"/>
                    </a:xfrm>
                    <a:prstGeom prst="rect">
                      <a:avLst/>
                    </a:prstGeom>
                    <a:ln w="25400">
                      <a:solidFill>
                        <a:srgbClr val="000000"/>
                      </a:solidFill>
                      <a:prstDash val="solid"/>
                    </a:ln>
                  </pic:spPr>
                </pic:pic>
              </a:graphicData>
            </a:graphic>
          </wp:inline>
        </w:drawing>
      </w:r>
    </w:p>
    <w:p w14:paraId="506CC490" w14:textId="77777777" w:rsidR="002F6974" w:rsidRDefault="00567E4E">
      <w:pPr>
        <w:jc w:val="center"/>
        <w:rPr>
          <w:b/>
          <w:bCs/>
        </w:rPr>
      </w:pPr>
      <w:r>
        <w:rPr>
          <w:b/>
          <w:bCs/>
        </w:rPr>
        <w:t xml:space="preserve">Figure 11: Innovation ambition matrix for new product opportunities at Diageo </w:t>
      </w:r>
    </w:p>
    <w:p w14:paraId="77BDA84B" w14:textId="77777777" w:rsidR="002F6974" w:rsidRDefault="00567E4E">
      <w:pPr>
        <w:jc w:val="center"/>
      </w:pPr>
      <w:r>
        <w:t xml:space="preserve">(Source: </w:t>
      </w:r>
      <w:r>
        <w:rPr>
          <w:highlight w:val="white"/>
        </w:rPr>
        <w:t>Goffin and Mitchell, 2025)</w:t>
      </w:r>
    </w:p>
    <w:p w14:paraId="41EE393C" w14:textId="77777777" w:rsidR="002F6974" w:rsidRDefault="00567E4E">
      <w:pPr>
        <w:rPr>
          <w:b/>
          <w:bCs/>
        </w:rPr>
      </w:pPr>
      <w:r>
        <w:rPr>
          <w:b/>
          <w:bCs/>
        </w:rPr>
        <w:t>Core Innovation</w:t>
      </w:r>
    </w:p>
    <w:p w14:paraId="6B169387" w14:textId="77777777" w:rsidR="002F6974" w:rsidRDefault="00567E4E">
      <w:r>
        <w:t xml:space="preserve">The core strength of business operations for Diageo is incorporating diverse flavours in its products. Therefore, the potential innovation scope for the company involves integrating immersive content with artificial intelligence to generate product ideas and expanding opportunities for consumer trial. </w:t>
      </w:r>
      <w:r w:rsidRPr="00FC7783">
        <w:t>Diageo has launched over 5,000 Johnnie Walker label bottles with the help of generative</w:t>
      </w:r>
      <w:r>
        <w:t xml:space="preserve"> artificial intelligence (Thespiritsbusiness.com, 2025). In future business operations, Diageo can leverage the scope of artificial intelligence integration to receive customisation requests from a wider customer base. Moreover, innovation can be adopted in establishing packaging visuals conveying messages of responsible consumption and sustainable product choices. </w:t>
      </w:r>
    </w:p>
    <w:p w14:paraId="5C268EFD" w14:textId="77777777" w:rsidR="002F6974" w:rsidRDefault="00567E4E">
      <w:pPr>
        <w:rPr>
          <w:b/>
          <w:bCs/>
        </w:rPr>
      </w:pPr>
      <w:r>
        <w:rPr>
          <w:b/>
          <w:bCs/>
        </w:rPr>
        <w:t xml:space="preserve">Adjacent innovation </w:t>
      </w:r>
    </w:p>
    <w:p w14:paraId="4E485DF2" w14:textId="77777777" w:rsidR="002F6974" w:rsidRPr="00FC7783" w:rsidRDefault="00567E4E">
      <w:r>
        <w:t xml:space="preserve">The potential scope of innovation by Diageo involves integrating the existing brands with new innovative formats and varied technologies. For this purpose, Diageo has established a </w:t>
      </w:r>
      <w:r>
        <w:lastRenderedPageBreak/>
        <w:t xml:space="preserve">'Global breakthrough innovation' team for incorporating product designs that address the dynamic needs and preferences of the target customers (Beveragedaily.com, 2025). The potential scope for future expansion of existing business strengths involves the inclusion of artificial intelligence and advanced next-generation technologies for </w:t>
      </w:r>
      <w:r w:rsidRPr="00FC7783">
        <w:t>creating products that mitigate market risks and a fall in revenue share. With the incorporation of the above-mentioned strategies, Diageo can expand its existing product ideas into new markets.</w:t>
      </w:r>
    </w:p>
    <w:p w14:paraId="4948E52E" w14:textId="77777777" w:rsidR="002F6974" w:rsidRPr="00FC7783" w:rsidRDefault="00567E4E">
      <w:r w:rsidRPr="00FC7783">
        <w:rPr>
          <w:b/>
          <w:bCs/>
        </w:rPr>
        <w:t>Disruptive innovation</w:t>
      </w:r>
      <w:r w:rsidRPr="00FC7783">
        <w:t xml:space="preserve"> </w:t>
      </w:r>
    </w:p>
    <w:p w14:paraId="0C8CEE81" w14:textId="77777777" w:rsidR="002F6974" w:rsidRPr="00FC7783" w:rsidRDefault="00567E4E">
      <w:r w:rsidRPr="00FC7783">
        <w:t xml:space="preserve">With the incorporation of advanced innovation techniques, Diageo has the scope of incorporating a balanced approach to operate as a 'culture brand builder'. Based on this goal, the innovation team at Diageo needs to establish a pipeline for enhancing the type of services that meet customer expectations and improve the profitability of the company. Moreover, the company has the scope to establish partnerships and joint ventures with organisations dealing with packaged liquid drinking bottles. It will help in expanding business share in the alcohol and beverages market on a global scale. </w:t>
      </w:r>
    </w:p>
    <w:p w14:paraId="15A687B5" w14:textId="77777777" w:rsidR="002F6974" w:rsidRDefault="00567E4E">
      <w:pPr>
        <w:pStyle w:val="Heading2"/>
        <w:spacing w:before="0" w:after="0"/>
      </w:pPr>
      <w:bookmarkStart w:id="12" w:name="_heading=h.vueirfgtav3" w:colFirst="0" w:colLast="0"/>
      <w:bookmarkEnd w:id="12"/>
      <w:r>
        <w:t>4.3 Application of the customer journey map</w:t>
      </w:r>
    </w:p>
    <w:p w14:paraId="30B0F11D" w14:textId="77777777" w:rsidR="002F6974" w:rsidRDefault="00567E4E">
      <w:r>
        <w:t>Mapping of customer journey is important for evaluating post-purchase phases for better optimisation of onboarding, upselling and marketing activities (</w:t>
      </w:r>
      <w:r>
        <w:rPr>
          <w:highlight w:val="white"/>
        </w:rPr>
        <w:t>Okeke</w:t>
      </w:r>
      <w:r>
        <w:rPr>
          <w:i/>
          <w:iCs/>
          <w:highlight w:val="white"/>
        </w:rPr>
        <w:t xml:space="preserve"> et al.,</w:t>
      </w:r>
      <w:r>
        <w:rPr>
          <w:highlight w:val="white"/>
        </w:rPr>
        <w:t xml:space="preserve"> 2024)</w:t>
      </w:r>
      <w:r>
        <w:t>. In this context, the future mapping of customers of Diageo can be established in the following manner.</w:t>
      </w:r>
    </w:p>
    <w:p w14:paraId="0F1EAE85" w14:textId="77777777" w:rsidR="002F6974" w:rsidRDefault="00567E4E">
      <w:pPr>
        <w:jc w:val="center"/>
      </w:pPr>
      <w:r>
        <w:rPr>
          <w:noProof/>
          <w:lang w:val="en-US"/>
        </w:rPr>
        <w:drawing>
          <wp:inline distT="114300" distB="114300" distL="114300" distR="114300" wp14:anchorId="35E9A012" wp14:editId="5EAEAFC0">
            <wp:extent cx="5472113" cy="3772303"/>
            <wp:effectExtent l="25400" t="25400" r="25400" b="25400"/>
            <wp:docPr id="29" name="image10.png"/>
            <wp:cNvGraphicFramePr/>
            <a:graphic xmlns:a="http://schemas.openxmlformats.org/drawingml/2006/main">
              <a:graphicData uri="http://schemas.openxmlformats.org/drawingml/2006/picture">
                <pic:pic xmlns:pic="http://schemas.openxmlformats.org/drawingml/2006/picture">
                  <pic:nvPicPr>
                    <pic:cNvPr id="29" name="image10.png"/>
                    <pic:cNvPicPr/>
                  </pic:nvPicPr>
                  <pic:blipFill>
                    <a:blip r:embed="rId16" cstate="print"/>
                    <a:stretch>
                      <a:fillRect/>
                    </a:stretch>
                  </pic:blipFill>
                  <pic:spPr>
                    <a:xfrm>
                      <a:off x="0" y="0"/>
                      <a:ext cx="5472113" cy="3772303"/>
                    </a:xfrm>
                    <a:prstGeom prst="rect">
                      <a:avLst/>
                    </a:prstGeom>
                    <a:ln w="25400">
                      <a:solidFill>
                        <a:srgbClr val="000000"/>
                      </a:solidFill>
                      <a:prstDash val="solid"/>
                    </a:ln>
                  </pic:spPr>
                </pic:pic>
              </a:graphicData>
            </a:graphic>
          </wp:inline>
        </w:drawing>
      </w:r>
    </w:p>
    <w:p w14:paraId="2719D4A6" w14:textId="77777777" w:rsidR="002F6974" w:rsidRDefault="00567E4E">
      <w:pPr>
        <w:jc w:val="center"/>
        <w:rPr>
          <w:b/>
          <w:bCs/>
        </w:rPr>
      </w:pPr>
      <w:r>
        <w:rPr>
          <w:b/>
          <w:bCs/>
        </w:rPr>
        <w:t>Figure 12: Potential Customer Journey Map</w:t>
      </w:r>
    </w:p>
    <w:p w14:paraId="24FF9DDA" w14:textId="77777777" w:rsidR="002F6974" w:rsidRDefault="00567E4E">
      <w:pPr>
        <w:rPr>
          <w:b/>
          <w:bCs/>
        </w:rPr>
      </w:pPr>
      <w:r>
        <w:rPr>
          <w:b/>
          <w:bCs/>
        </w:rPr>
        <w:lastRenderedPageBreak/>
        <w:t>Awareness</w:t>
      </w:r>
    </w:p>
    <w:p w14:paraId="7D577AD9" w14:textId="77777777" w:rsidR="002F6974" w:rsidRPr="00FC7783" w:rsidRDefault="00567E4E">
      <w:r w:rsidRPr="00FC7783">
        <w:t xml:space="preserve">This is the first stage of the customer journey that represents the stage where customers become aware of the brand regarding specific products or services. </w:t>
      </w:r>
      <w:proofErr w:type="gramStart"/>
      <w:r w:rsidRPr="00FC7783">
        <w:t>In order to</w:t>
      </w:r>
      <w:proofErr w:type="gramEnd"/>
      <w:r w:rsidRPr="00FC7783">
        <w:t xml:space="preserve"> increase customer awareness, Diageo may consider an upgraded form of marketing involving social media and digital search engines. For this purpose, Diageo may consider the integration of advertising and marketing technology to enhance sales and business performance in the long run. The potential pain point in this regard can be the absence of an idea about the policy types and their customisation options. </w:t>
      </w:r>
    </w:p>
    <w:p w14:paraId="2010E20D" w14:textId="77777777" w:rsidR="002F6974" w:rsidRPr="00FC7783" w:rsidRDefault="00567E4E">
      <w:pPr>
        <w:rPr>
          <w:b/>
          <w:bCs/>
        </w:rPr>
      </w:pPr>
      <w:r w:rsidRPr="00FC7783">
        <w:rPr>
          <w:b/>
          <w:bCs/>
        </w:rPr>
        <w:t>Consideration</w:t>
      </w:r>
    </w:p>
    <w:p w14:paraId="42BCD315" w14:textId="77777777" w:rsidR="002F6974" w:rsidRPr="00FC7783" w:rsidRDefault="00567E4E">
      <w:r w:rsidRPr="00FC7783">
        <w:t xml:space="preserve">At this stage, the customer considers their purchasing decisions regarding a specific product or service. </w:t>
      </w:r>
      <w:proofErr w:type="gramStart"/>
      <w:r w:rsidRPr="00FC7783">
        <w:t>In order to</w:t>
      </w:r>
      <w:proofErr w:type="gramEnd"/>
      <w:r w:rsidRPr="00FC7783">
        <w:t xml:space="preserve"> motivate customer purchases, Diageo requires an affordable pricing strategy and broader product types. Cost-cutting techniques and strategies for maintaining a competitive edge in the liquor market will enable positive product consideration by Diageo. For example, Diageo, in its recent plan, has decided to reduce 374.46 million dollars for addressing any future customer pain points associated with US tariffs (</w:t>
      </w:r>
      <w:r w:rsidRPr="00FC7783">
        <w:rPr>
          <w:rFonts w:ascii="Times New Roman" w:eastAsia="Times New Roman" w:hAnsi="Times New Roman" w:cs="Times New Roman"/>
          <w:sz w:val="24"/>
          <w:szCs w:val="24"/>
        </w:rPr>
        <w:t>Fortune.com, 2025).</w:t>
      </w:r>
      <w:r w:rsidRPr="00FC7783">
        <w:t xml:space="preserve"> Such initiatives have a positive impact on purchase consideration by target customers of Diageo.</w:t>
      </w:r>
    </w:p>
    <w:p w14:paraId="60FA959B" w14:textId="77777777" w:rsidR="002F6974" w:rsidRPr="00FC7783" w:rsidRDefault="00567E4E">
      <w:pPr>
        <w:rPr>
          <w:b/>
          <w:bCs/>
        </w:rPr>
      </w:pPr>
      <w:r w:rsidRPr="00FC7783">
        <w:rPr>
          <w:b/>
          <w:bCs/>
        </w:rPr>
        <w:t>Purchase</w:t>
      </w:r>
    </w:p>
    <w:p w14:paraId="084A585E" w14:textId="77777777" w:rsidR="002F6974" w:rsidRPr="00FC7783" w:rsidRDefault="00567E4E">
      <w:r w:rsidRPr="00FC7783">
        <w:t xml:space="preserve">In the third stage, the customers undertake the purchasing actions. </w:t>
      </w:r>
      <w:proofErr w:type="gramStart"/>
      <w:r w:rsidRPr="00FC7783">
        <w:t>In order to</w:t>
      </w:r>
      <w:proofErr w:type="gramEnd"/>
      <w:r w:rsidRPr="00FC7783">
        <w:t xml:space="preserve"> develop efficient purchasing platforms for the customers, Diageo utilises online product promotion channels. Moreover, the company partners with suppliers across more than 100 nations to deliver high-quality products in the target market. At this stage, the possible pain points may involve the absence of price optimisation and product choices. For this purpose, the company can incorporate touchpoints involving social media interfaces, involving customer feedback and interaction. </w:t>
      </w:r>
    </w:p>
    <w:p w14:paraId="272CC7B2" w14:textId="77777777" w:rsidR="002F6974" w:rsidRPr="00FC7783" w:rsidRDefault="00567E4E">
      <w:pPr>
        <w:rPr>
          <w:b/>
          <w:bCs/>
        </w:rPr>
      </w:pPr>
      <w:r w:rsidRPr="00FC7783">
        <w:rPr>
          <w:b/>
          <w:bCs/>
        </w:rPr>
        <w:t>Retention</w:t>
      </w:r>
    </w:p>
    <w:p w14:paraId="7BF5BE51" w14:textId="77777777" w:rsidR="002F6974" w:rsidRPr="00FC7783" w:rsidRDefault="00567E4E">
      <w:r w:rsidRPr="00FC7783">
        <w:t xml:space="preserve">In the fourth stage, the customers enter the retention phase for long-term purchase. For this purpose, Diageo has the scope of offering incentives such as premium pricing or discounts to retain customers in the long run. </w:t>
      </w:r>
      <w:proofErr w:type="gramStart"/>
      <w:r w:rsidRPr="00FC7783">
        <w:t>In order to</w:t>
      </w:r>
      <w:proofErr w:type="gramEnd"/>
      <w:r w:rsidRPr="00FC7783">
        <w:t xml:space="preserve"> address the possible pain point of price rise, Diageo may establish an affordable price range for its products.</w:t>
      </w:r>
    </w:p>
    <w:p w14:paraId="1D9334A5" w14:textId="77777777" w:rsidR="002F6974" w:rsidRPr="00FC7783" w:rsidRDefault="00567E4E">
      <w:pPr>
        <w:rPr>
          <w:b/>
          <w:bCs/>
        </w:rPr>
      </w:pPr>
      <w:r w:rsidRPr="00FC7783">
        <w:rPr>
          <w:b/>
          <w:bCs/>
        </w:rPr>
        <w:t xml:space="preserve">Advocacy </w:t>
      </w:r>
    </w:p>
    <w:p w14:paraId="3357644D" w14:textId="77777777" w:rsidR="002F6974" w:rsidRPr="00FC7783" w:rsidRDefault="00567E4E">
      <w:r w:rsidRPr="00FC7783">
        <w:t>Diageo has a potential scope of supporting community development initiatives through its business programmes. At present, the company has collaborated with nations across Africa to provide access to water and sanitation for its people. Similar community development initiatives can be advocated by Diageo for long-term retention of customers.</w:t>
      </w:r>
    </w:p>
    <w:p w14:paraId="3AAFA6F4" w14:textId="77777777" w:rsidR="002F6974" w:rsidRPr="00FC7783" w:rsidRDefault="00567E4E">
      <w:pPr>
        <w:pStyle w:val="Heading2"/>
        <w:spacing w:before="0" w:after="0"/>
        <w:rPr>
          <w:color w:val="auto"/>
        </w:rPr>
      </w:pPr>
      <w:bookmarkStart w:id="13" w:name="_heading=h.k0zl9bgdy4nf" w:colFirst="0" w:colLast="0"/>
      <w:bookmarkEnd w:id="13"/>
      <w:r w:rsidRPr="00FC7783">
        <w:rPr>
          <w:color w:val="auto"/>
        </w:rPr>
        <w:lastRenderedPageBreak/>
        <w:t xml:space="preserve">4.4 Identification of digital transformation initiative </w:t>
      </w:r>
    </w:p>
    <w:p w14:paraId="7FA4B554" w14:textId="77777777" w:rsidR="002F6974" w:rsidRPr="00FC7783" w:rsidRDefault="00567E4E">
      <w:r w:rsidRPr="00FC7783">
        <w:t>With respect to the above understanding of innovation and customer journey mapping of Diageo, the incorporation of digital twin technology will enable better optimisation of business and satisfaction of target customers. A digital twin is a virtual model of a physical system that replicates real-world behaviour and performance (IBM.com, 2025). The application of digital twins enables virtual representation of objects and is widely used in industries such as healthcare, manufacturing, and logistics. It specifically enables better solutions to supply chain challenges in sustainable packaging or fleet management.</w:t>
      </w:r>
    </w:p>
    <w:p w14:paraId="6CCD5DC9" w14:textId="77777777" w:rsidR="002F6974" w:rsidRPr="00FC7783" w:rsidRDefault="00567E4E">
      <w:r w:rsidRPr="00FC7783">
        <w:t>Managing over 200 brands sold in 180 countries, Diageo exerts a significant focus on packaging for delivering a positive commercial and environmental impact. Diageo can incorporate digital twin technology for monitoring sustainable packaging. Such application of digital twin technology will enable increased consistency and a decrease in the likelihood of product recalls. For instance, a similar application has been made by Nestlé to adopt sustainable packaging in its wide range of products. Apart from sustainable packaging, digital twins enable better management of inventories (Nestle.com, 2025).</w:t>
      </w:r>
    </w:p>
    <w:p w14:paraId="1D93D50B" w14:textId="77777777" w:rsidR="002F6974" w:rsidRDefault="00567E4E">
      <w:r w:rsidRPr="00FC7783">
        <w:t xml:space="preserve">Diageo has the potential to apply digital twin technology for managing the transportation of its products across more than 180 locations globally. Efficient logistics and export management may develop the existing supply chain network of Diageo. Recently, Diageo has faced concerns regarding conflict in the Middle East regions due to the diversion of ships away from the Suez Canal (Thedrinksbusiness.com, 2025). This has directly impacted the export business of Diageo in the overseas market. In this context, digital twin technology may be used for better tracking of product shipments and </w:t>
      </w:r>
      <w:proofErr w:type="gramStart"/>
      <w:r w:rsidRPr="00FC7783">
        <w:t>prior warning</w:t>
      </w:r>
      <w:proofErr w:type="gramEnd"/>
      <w:r w:rsidRPr="00FC7783">
        <w:t xml:space="preserve"> signals in the event of any uncertain disruptions. It will enable Diageo to map alternate routes for faster delivery and export of goods. Thus, the incorporation of digital twin technology is justified for addressing pain points in the business optimisation</w:t>
      </w:r>
      <w:r>
        <w:t xml:space="preserve"> of Diageo.</w:t>
      </w:r>
    </w:p>
    <w:p w14:paraId="4B60C590" w14:textId="77777777" w:rsidR="002F6974" w:rsidRDefault="00567E4E">
      <w:pPr>
        <w:pStyle w:val="Heading2"/>
        <w:spacing w:before="0" w:after="0"/>
      </w:pPr>
      <w:bookmarkStart w:id="14" w:name="_heading=h.a1ops6es6pj5" w:colFirst="0" w:colLast="0"/>
      <w:bookmarkEnd w:id="14"/>
      <w:r>
        <w:t xml:space="preserve">4.5 Value addition to the chosen organisation </w:t>
      </w:r>
    </w:p>
    <w:tbl>
      <w:tblPr>
        <w:tblStyle w:val="Table3"/>
        <w:tblW w:w="89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65"/>
        <w:gridCol w:w="3150"/>
        <w:gridCol w:w="2505"/>
        <w:gridCol w:w="1620"/>
      </w:tblGrid>
      <w:tr w:rsidR="002F6974" w14:paraId="0136212E" w14:textId="77777777">
        <w:tc>
          <w:tcPr>
            <w:tcW w:w="1665" w:type="dxa"/>
            <w:tcMar>
              <w:top w:w="100" w:type="dxa"/>
              <w:left w:w="100" w:type="dxa"/>
              <w:bottom w:w="100" w:type="dxa"/>
              <w:right w:w="100" w:type="dxa"/>
            </w:tcMar>
          </w:tcPr>
          <w:p w14:paraId="5A87F27D" w14:textId="77777777" w:rsidR="002F6974" w:rsidRDefault="00567E4E">
            <w:pPr>
              <w:widowControl w:val="0"/>
              <w:jc w:val="center"/>
              <w:rPr>
                <w:b/>
                <w:bCs/>
                <w:sz w:val="24"/>
                <w:szCs w:val="24"/>
              </w:rPr>
            </w:pPr>
            <w:r>
              <w:rPr>
                <w:b/>
                <w:bCs/>
                <w:sz w:val="24"/>
                <w:szCs w:val="24"/>
              </w:rPr>
              <w:t xml:space="preserve">Area of application </w:t>
            </w:r>
          </w:p>
        </w:tc>
        <w:tc>
          <w:tcPr>
            <w:tcW w:w="3150" w:type="dxa"/>
            <w:tcMar>
              <w:top w:w="100" w:type="dxa"/>
              <w:left w:w="100" w:type="dxa"/>
              <w:bottom w:w="100" w:type="dxa"/>
              <w:right w:w="100" w:type="dxa"/>
            </w:tcMar>
          </w:tcPr>
          <w:p w14:paraId="2C6E82B3" w14:textId="77777777" w:rsidR="002F6974" w:rsidRDefault="00567E4E">
            <w:pPr>
              <w:widowControl w:val="0"/>
              <w:jc w:val="center"/>
              <w:rPr>
                <w:b/>
                <w:bCs/>
                <w:sz w:val="24"/>
                <w:szCs w:val="24"/>
              </w:rPr>
            </w:pPr>
            <w:r>
              <w:rPr>
                <w:b/>
                <w:bCs/>
                <w:sz w:val="24"/>
                <w:szCs w:val="24"/>
              </w:rPr>
              <w:t xml:space="preserve">Application process </w:t>
            </w:r>
          </w:p>
        </w:tc>
        <w:tc>
          <w:tcPr>
            <w:tcW w:w="2505" w:type="dxa"/>
            <w:tcMar>
              <w:top w:w="100" w:type="dxa"/>
              <w:left w:w="100" w:type="dxa"/>
              <w:bottom w:w="100" w:type="dxa"/>
              <w:right w:w="100" w:type="dxa"/>
            </w:tcMar>
          </w:tcPr>
          <w:p w14:paraId="2698C5FA" w14:textId="77777777" w:rsidR="002F6974" w:rsidRDefault="00567E4E">
            <w:pPr>
              <w:widowControl w:val="0"/>
              <w:jc w:val="center"/>
              <w:rPr>
                <w:b/>
                <w:bCs/>
                <w:sz w:val="24"/>
                <w:szCs w:val="24"/>
              </w:rPr>
            </w:pPr>
            <w:r>
              <w:rPr>
                <w:b/>
                <w:bCs/>
                <w:sz w:val="24"/>
                <w:szCs w:val="24"/>
              </w:rPr>
              <w:t xml:space="preserve">Expected benefits for Diageo </w:t>
            </w:r>
          </w:p>
        </w:tc>
        <w:tc>
          <w:tcPr>
            <w:tcW w:w="1620" w:type="dxa"/>
            <w:tcMar>
              <w:top w:w="100" w:type="dxa"/>
              <w:left w:w="100" w:type="dxa"/>
              <w:bottom w:w="100" w:type="dxa"/>
              <w:right w:w="100" w:type="dxa"/>
            </w:tcMar>
          </w:tcPr>
          <w:p w14:paraId="4DEFBD18" w14:textId="77777777" w:rsidR="002F6974" w:rsidRDefault="00567E4E">
            <w:pPr>
              <w:widowControl w:val="0"/>
              <w:jc w:val="center"/>
              <w:rPr>
                <w:b/>
                <w:bCs/>
                <w:sz w:val="24"/>
                <w:szCs w:val="24"/>
              </w:rPr>
            </w:pPr>
            <w:r>
              <w:rPr>
                <w:b/>
                <w:bCs/>
                <w:sz w:val="24"/>
                <w:szCs w:val="24"/>
              </w:rPr>
              <w:t>Impact on Diageo</w:t>
            </w:r>
          </w:p>
        </w:tc>
      </w:tr>
      <w:tr w:rsidR="002F6974" w14:paraId="0D214286" w14:textId="77777777">
        <w:tc>
          <w:tcPr>
            <w:tcW w:w="1665" w:type="dxa"/>
            <w:tcMar>
              <w:top w:w="100" w:type="dxa"/>
              <w:left w:w="100" w:type="dxa"/>
              <w:bottom w:w="100" w:type="dxa"/>
              <w:right w:w="100" w:type="dxa"/>
            </w:tcMar>
          </w:tcPr>
          <w:p w14:paraId="14A3A4ED" w14:textId="77777777" w:rsidR="002F6974" w:rsidRDefault="00567E4E">
            <w:pPr>
              <w:widowControl w:val="0"/>
              <w:jc w:val="center"/>
            </w:pPr>
            <w:r>
              <w:t xml:space="preserve">Shipment </w:t>
            </w:r>
          </w:p>
        </w:tc>
        <w:tc>
          <w:tcPr>
            <w:tcW w:w="3150" w:type="dxa"/>
            <w:tcMar>
              <w:top w:w="100" w:type="dxa"/>
              <w:left w:w="100" w:type="dxa"/>
              <w:bottom w:w="100" w:type="dxa"/>
              <w:right w:w="100" w:type="dxa"/>
            </w:tcMar>
          </w:tcPr>
          <w:p w14:paraId="64FAC8F3" w14:textId="77777777" w:rsidR="002F6974" w:rsidRDefault="00567E4E">
            <w:pPr>
              <w:widowControl w:val="0"/>
              <w:numPr>
                <w:ilvl w:val="0"/>
                <w:numId w:val="4"/>
              </w:numPr>
            </w:pPr>
            <w:r>
              <w:t xml:space="preserve">Collection of real-time shipment data </w:t>
            </w:r>
          </w:p>
          <w:p w14:paraId="03FC081B" w14:textId="77777777" w:rsidR="002F6974" w:rsidRDefault="00567E4E">
            <w:pPr>
              <w:widowControl w:val="0"/>
              <w:numPr>
                <w:ilvl w:val="0"/>
                <w:numId w:val="4"/>
              </w:numPr>
            </w:pPr>
            <w:r>
              <w:t xml:space="preserve">Incorporation of live feed </w:t>
            </w:r>
          </w:p>
          <w:p w14:paraId="76CFAC4D" w14:textId="77777777" w:rsidR="002F6974" w:rsidRDefault="00567E4E">
            <w:pPr>
              <w:widowControl w:val="0"/>
              <w:numPr>
                <w:ilvl w:val="0"/>
                <w:numId w:val="4"/>
              </w:numPr>
            </w:pPr>
            <w:r>
              <w:t>Inclusion of sensor data</w:t>
            </w:r>
          </w:p>
        </w:tc>
        <w:tc>
          <w:tcPr>
            <w:tcW w:w="2505" w:type="dxa"/>
            <w:tcMar>
              <w:top w:w="100" w:type="dxa"/>
              <w:left w:w="100" w:type="dxa"/>
              <w:bottom w:w="100" w:type="dxa"/>
              <w:right w:w="100" w:type="dxa"/>
            </w:tcMar>
          </w:tcPr>
          <w:p w14:paraId="18120488" w14:textId="77777777" w:rsidR="002F6974" w:rsidRDefault="00567E4E">
            <w:pPr>
              <w:widowControl w:val="0"/>
              <w:numPr>
                <w:ilvl w:val="0"/>
                <w:numId w:val="4"/>
              </w:numPr>
            </w:pPr>
            <w:r>
              <w:t xml:space="preserve">Faster arrivals and departures of goods </w:t>
            </w:r>
          </w:p>
          <w:p w14:paraId="064480F2" w14:textId="77777777" w:rsidR="002F6974" w:rsidRDefault="00567E4E">
            <w:pPr>
              <w:widowControl w:val="0"/>
              <w:numPr>
                <w:ilvl w:val="0"/>
                <w:numId w:val="4"/>
              </w:numPr>
            </w:pPr>
            <w:r w:rsidRPr="00FC7783">
              <w:t>In-transit</w:t>
            </w:r>
            <w:r>
              <w:rPr>
                <w:color w:val="EE0000"/>
              </w:rPr>
              <w:t xml:space="preserve"> </w:t>
            </w:r>
            <w:r>
              <w:t xml:space="preserve">update </w:t>
            </w:r>
          </w:p>
          <w:p w14:paraId="0D13657C" w14:textId="77777777" w:rsidR="002F6974" w:rsidRDefault="00567E4E">
            <w:pPr>
              <w:widowControl w:val="0"/>
              <w:numPr>
                <w:ilvl w:val="0"/>
                <w:numId w:val="4"/>
              </w:numPr>
            </w:pPr>
            <w:r>
              <w:t>Connected order mechanism</w:t>
            </w:r>
          </w:p>
        </w:tc>
        <w:tc>
          <w:tcPr>
            <w:tcW w:w="1620" w:type="dxa"/>
            <w:tcMar>
              <w:top w:w="100" w:type="dxa"/>
              <w:left w:w="100" w:type="dxa"/>
              <w:bottom w:w="100" w:type="dxa"/>
              <w:right w:w="100" w:type="dxa"/>
            </w:tcMar>
          </w:tcPr>
          <w:p w14:paraId="3C2907E9" w14:textId="77777777" w:rsidR="002F6974" w:rsidRDefault="00567E4E">
            <w:pPr>
              <w:widowControl w:val="0"/>
              <w:jc w:val="center"/>
            </w:pPr>
            <w:r>
              <w:t xml:space="preserve">High </w:t>
            </w:r>
          </w:p>
        </w:tc>
      </w:tr>
      <w:tr w:rsidR="002F6974" w14:paraId="0EC4D8E3" w14:textId="77777777">
        <w:tc>
          <w:tcPr>
            <w:tcW w:w="1665" w:type="dxa"/>
            <w:tcMar>
              <w:top w:w="100" w:type="dxa"/>
              <w:left w:w="100" w:type="dxa"/>
              <w:bottom w:w="100" w:type="dxa"/>
              <w:right w:w="100" w:type="dxa"/>
            </w:tcMar>
          </w:tcPr>
          <w:p w14:paraId="5001D017" w14:textId="77777777" w:rsidR="002F6974" w:rsidRDefault="00567E4E">
            <w:pPr>
              <w:widowControl w:val="0"/>
              <w:jc w:val="center"/>
            </w:pPr>
            <w:r>
              <w:lastRenderedPageBreak/>
              <w:t xml:space="preserve">Packaging </w:t>
            </w:r>
          </w:p>
        </w:tc>
        <w:tc>
          <w:tcPr>
            <w:tcW w:w="3150" w:type="dxa"/>
            <w:tcMar>
              <w:top w:w="100" w:type="dxa"/>
              <w:left w:w="100" w:type="dxa"/>
              <w:bottom w:w="100" w:type="dxa"/>
              <w:right w:w="100" w:type="dxa"/>
            </w:tcMar>
          </w:tcPr>
          <w:p w14:paraId="7098F225" w14:textId="77777777" w:rsidR="002F6974" w:rsidRDefault="00567E4E">
            <w:pPr>
              <w:widowControl w:val="0"/>
              <w:numPr>
                <w:ilvl w:val="0"/>
                <w:numId w:val="3"/>
              </w:numPr>
            </w:pPr>
            <w:r>
              <w:t xml:space="preserve">Virtual experimentation of materials </w:t>
            </w:r>
          </w:p>
          <w:p w14:paraId="368E75F2" w14:textId="77777777" w:rsidR="002F6974" w:rsidRDefault="00567E4E">
            <w:pPr>
              <w:widowControl w:val="0"/>
              <w:numPr>
                <w:ilvl w:val="0"/>
                <w:numId w:val="3"/>
              </w:numPr>
            </w:pPr>
            <w:r>
              <w:t xml:space="preserve">Monitoring minimal plastic use </w:t>
            </w:r>
          </w:p>
          <w:p w14:paraId="124F8C2D" w14:textId="77777777" w:rsidR="002F6974" w:rsidRDefault="00567E4E">
            <w:pPr>
              <w:widowControl w:val="0"/>
              <w:numPr>
                <w:ilvl w:val="0"/>
                <w:numId w:val="3"/>
              </w:numPr>
            </w:pPr>
            <w:r>
              <w:t xml:space="preserve">Updates on real-time data </w:t>
            </w:r>
          </w:p>
        </w:tc>
        <w:tc>
          <w:tcPr>
            <w:tcW w:w="2505" w:type="dxa"/>
            <w:tcMar>
              <w:top w:w="100" w:type="dxa"/>
              <w:left w:w="100" w:type="dxa"/>
              <w:bottom w:w="100" w:type="dxa"/>
              <w:right w:w="100" w:type="dxa"/>
            </w:tcMar>
          </w:tcPr>
          <w:p w14:paraId="10C143DC" w14:textId="77777777" w:rsidR="002F6974" w:rsidRPr="00FC7783" w:rsidRDefault="00567E4E">
            <w:pPr>
              <w:widowControl w:val="0"/>
              <w:numPr>
                <w:ilvl w:val="0"/>
                <w:numId w:val="3"/>
              </w:numPr>
            </w:pPr>
            <w:r w:rsidRPr="00FC7783">
              <w:t xml:space="preserve">Improvement in efficiency </w:t>
            </w:r>
          </w:p>
          <w:p w14:paraId="61551A86" w14:textId="77777777" w:rsidR="002F6974" w:rsidRPr="00FC7783" w:rsidRDefault="00567E4E">
            <w:pPr>
              <w:widowControl w:val="0"/>
              <w:numPr>
                <w:ilvl w:val="0"/>
                <w:numId w:val="3"/>
              </w:numPr>
            </w:pPr>
            <w:r w:rsidRPr="00FC7783">
              <w:t xml:space="preserve">Better inventory management </w:t>
            </w:r>
          </w:p>
          <w:p w14:paraId="18E76B16" w14:textId="77777777" w:rsidR="002F6974" w:rsidRPr="00FC7783" w:rsidRDefault="00567E4E">
            <w:pPr>
              <w:widowControl w:val="0"/>
              <w:numPr>
                <w:ilvl w:val="0"/>
                <w:numId w:val="3"/>
              </w:numPr>
            </w:pPr>
            <w:r w:rsidRPr="00FC7783">
              <w:t xml:space="preserve">Ensuring consistent product quality </w:t>
            </w:r>
          </w:p>
        </w:tc>
        <w:tc>
          <w:tcPr>
            <w:tcW w:w="1620" w:type="dxa"/>
            <w:tcMar>
              <w:top w:w="100" w:type="dxa"/>
              <w:left w:w="100" w:type="dxa"/>
              <w:bottom w:w="100" w:type="dxa"/>
              <w:right w:w="100" w:type="dxa"/>
            </w:tcMar>
          </w:tcPr>
          <w:p w14:paraId="0103EDC2" w14:textId="77777777" w:rsidR="002F6974" w:rsidRDefault="00567E4E">
            <w:pPr>
              <w:widowControl w:val="0"/>
              <w:jc w:val="center"/>
            </w:pPr>
            <w:r>
              <w:t xml:space="preserve">High </w:t>
            </w:r>
          </w:p>
        </w:tc>
      </w:tr>
      <w:tr w:rsidR="002F6974" w14:paraId="2C565D42" w14:textId="77777777">
        <w:tc>
          <w:tcPr>
            <w:tcW w:w="1665" w:type="dxa"/>
            <w:tcMar>
              <w:top w:w="100" w:type="dxa"/>
              <w:left w:w="100" w:type="dxa"/>
              <w:bottom w:w="100" w:type="dxa"/>
              <w:right w:w="100" w:type="dxa"/>
            </w:tcMar>
          </w:tcPr>
          <w:p w14:paraId="30C132CA" w14:textId="77777777" w:rsidR="002F6974" w:rsidRDefault="00567E4E">
            <w:pPr>
              <w:widowControl w:val="0"/>
              <w:jc w:val="center"/>
            </w:pPr>
            <w:r>
              <w:t xml:space="preserve">Virtual product testing </w:t>
            </w:r>
          </w:p>
        </w:tc>
        <w:tc>
          <w:tcPr>
            <w:tcW w:w="3150" w:type="dxa"/>
            <w:tcMar>
              <w:top w:w="100" w:type="dxa"/>
              <w:left w:w="100" w:type="dxa"/>
              <w:bottom w:w="100" w:type="dxa"/>
              <w:right w:w="100" w:type="dxa"/>
            </w:tcMar>
          </w:tcPr>
          <w:p w14:paraId="7EC648CE" w14:textId="77777777" w:rsidR="002F6974" w:rsidRDefault="00567E4E">
            <w:pPr>
              <w:widowControl w:val="0"/>
              <w:numPr>
                <w:ilvl w:val="0"/>
                <w:numId w:val="10"/>
              </w:numPr>
            </w:pPr>
            <w:r>
              <w:t xml:space="preserve">Predicting potential product failures </w:t>
            </w:r>
          </w:p>
          <w:p w14:paraId="17E41218" w14:textId="77777777" w:rsidR="002F6974" w:rsidRDefault="00567E4E">
            <w:pPr>
              <w:widowControl w:val="0"/>
              <w:numPr>
                <w:ilvl w:val="0"/>
                <w:numId w:val="10"/>
              </w:numPr>
            </w:pPr>
            <w:r>
              <w:t xml:space="preserve">Stimulating real-world conditions </w:t>
            </w:r>
          </w:p>
          <w:p w14:paraId="2396D958" w14:textId="77777777" w:rsidR="002F6974" w:rsidRDefault="00567E4E">
            <w:pPr>
              <w:widowControl w:val="0"/>
              <w:numPr>
                <w:ilvl w:val="0"/>
                <w:numId w:val="10"/>
              </w:numPr>
            </w:pPr>
            <w:r>
              <w:t xml:space="preserve">Addresses maintenance needs </w:t>
            </w:r>
          </w:p>
        </w:tc>
        <w:tc>
          <w:tcPr>
            <w:tcW w:w="2505" w:type="dxa"/>
            <w:tcMar>
              <w:top w:w="100" w:type="dxa"/>
              <w:left w:w="100" w:type="dxa"/>
              <w:bottom w:w="100" w:type="dxa"/>
              <w:right w:w="100" w:type="dxa"/>
            </w:tcMar>
          </w:tcPr>
          <w:p w14:paraId="6D1CC867" w14:textId="77777777" w:rsidR="002F6974" w:rsidRDefault="00567E4E">
            <w:pPr>
              <w:widowControl w:val="0"/>
              <w:numPr>
                <w:ilvl w:val="0"/>
                <w:numId w:val="10"/>
              </w:numPr>
            </w:pPr>
            <w:r>
              <w:t xml:space="preserve">Enhance performance optimisation </w:t>
            </w:r>
          </w:p>
          <w:p w14:paraId="0441038B" w14:textId="77777777" w:rsidR="002F6974" w:rsidRDefault="00567E4E">
            <w:pPr>
              <w:widowControl w:val="0"/>
              <w:numPr>
                <w:ilvl w:val="0"/>
                <w:numId w:val="10"/>
              </w:numPr>
            </w:pPr>
            <w:r>
              <w:t>Strengthen customer trust</w:t>
            </w:r>
          </w:p>
          <w:p w14:paraId="4D31A32B" w14:textId="77777777" w:rsidR="002F6974" w:rsidRDefault="00567E4E">
            <w:pPr>
              <w:widowControl w:val="0"/>
              <w:numPr>
                <w:ilvl w:val="0"/>
                <w:numId w:val="10"/>
              </w:numPr>
            </w:pPr>
            <w:r>
              <w:t>Incorporate cost optimisation</w:t>
            </w:r>
          </w:p>
        </w:tc>
        <w:tc>
          <w:tcPr>
            <w:tcW w:w="1620" w:type="dxa"/>
            <w:tcMar>
              <w:top w:w="100" w:type="dxa"/>
              <w:left w:w="100" w:type="dxa"/>
              <w:bottom w:w="100" w:type="dxa"/>
              <w:right w:w="100" w:type="dxa"/>
            </w:tcMar>
          </w:tcPr>
          <w:p w14:paraId="044D80E4" w14:textId="77777777" w:rsidR="002F6974" w:rsidRDefault="00567E4E">
            <w:pPr>
              <w:widowControl w:val="0"/>
              <w:jc w:val="center"/>
            </w:pPr>
            <w:r>
              <w:t xml:space="preserve">Medium </w:t>
            </w:r>
          </w:p>
        </w:tc>
      </w:tr>
    </w:tbl>
    <w:p w14:paraId="084469D2" w14:textId="77777777" w:rsidR="002F6974" w:rsidRDefault="00567E4E">
      <w:pPr>
        <w:jc w:val="center"/>
        <w:rPr>
          <w:b/>
          <w:bCs/>
        </w:rPr>
      </w:pPr>
      <w:r>
        <w:rPr>
          <w:b/>
          <w:bCs/>
        </w:rPr>
        <w:t>Table 3: Value addition in Diageo</w:t>
      </w:r>
    </w:p>
    <w:p w14:paraId="439C63A6" w14:textId="77777777" w:rsidR="002F6974" w:rsidRDefault="00567E4E">
      <w:pPr>
        <w:rPr>
          <w:b/>
          <w:bCs/>
        </w:rPr>
      </w:pPr>
      <w:r>
        <w:rPr>
          <w:b/>
          <w:bCs/>
        </w:rPr>
        <w:t xml:space="preserve">Analysis </w:t>
      </w:r>
    </w:p>
    <w:p w14:paraId="61A7A048" w14:textId="77777777" w:rsidR="002F6974" w:rsidRDefault="00567E4E">
      <w:r>
        <w:t xml:space="preserve">Based on the above table, it has been understood that the application of digital twin technology will positively impact the value addition of Diageo. The specific areas of benefit involve streamlining the export and transportation of products. </w:t>
      </w:r>
      <w:r w:rsidRPr="00FC7783">
        <w:t>This involves real-time data tracking and the incorporation of sensors for predicting any issues associated</w:t>
      </w:r>
      <w:r>
        <w:t xml:space="preserve"> with the supply of Diageo products overseas. Furthermore, digital twin technology may be used for ensuring sustainable packaging and optimised product testing. It will improve customer satisfaction and business growth opportunities in the long run for Diageo.</w:t>
      </w:r>
    </w:p>
    <w:p w14:paraId="76BCE735" w14:textId="77777777" w:rsidR="002F6974" w:rsidRDefault="00567E4E">
      <w:pPr>
        <w:pStyle w:val="Heading1"/>
        <w:spacing w:before="0" w:after="0"/>
      </w:pPr>
      <w:bookmarkStart w:id="15" w:name="_heading=h.ujfpb4q5bh3o" w:colFirst="0" w:colLast="0"/>
      <w:bookmarkEnd w:id="15"/>
      <w:r>
        <w:t>5. Conclusion</w:t>
      </w:r>
    </w:p>
    <w:p w14:paraId="47FEE286" w14:textId="77777777" w:rsidR="002F6974" w:rsidRPr="00FC7783" w:rsidRDefault="00567E4E">
      <w:pPr>
        <w:rPr>
          <w:b/>
          <w:bCs/>
        </w:rPr>
      </w:pPr>
      <w:r w:rsidRPr="00FC7783">
        <w:t>It can be concluded that changes in business frameworks influence the application of the Innovation Ambition Matrix and Customer Journey Mapping frameworks. The report has critically analysed the innovative business framework and digital transformation initiatives of Diageo. It has been found that the application of the agile innovation approach can help the company to fulfil its commitment towards sustainability. From the report, it has also been found that Diageo can improve its customer journey by offering premium pricing and implementing retention strategies. Overall, it can be stated that by adopting digital twin technology, the firm can strengthen its position in the beverage market and prepare the company for future challenges.</w:t>
      </w:r>
    </w:p>
    <w:p w14:paraId="18451BB4" w14:textId="77777777" w:rsidR="002F6974" w:rsidRPr="00FC7783" w:rsidRDefault="00567E4E">
      <w:pPr>
        <w:pStyle w:val="Heading1"/>
        <w:spacing w:before="0" w:after="0"/>
        <w:rPr>
          <w:color w:val="auto"/>
        </w:rPr>
      </w:pPr>
      <w:bookmarkStart w:id="16" w:name="_heading=h.9l3vor2iilrd" w:colFirst="0" w:colLast="0"/>
      <w:bookmarkEnd w:id="16"/>
      <w:r w:rsidRPr="00FC7783">
        <w:rPr>
          <w:color w:val="auto"/>
        </w:rPr>
        <w:br w:type="page"/>
      </w:r>
    </w:p>
    <w:p w14:paraId="2E4486E2" w14:textId="77777777" w:rsidR="002F6974" w:rsidRPr="00FC7783" w:rsidRDefault="00567E4E">
      <w:pPr>
        <w:pStyle w:val="Heading1"/>
        <w:spacing w:before="0" w:after="0"/>
        <w:rPr>
          <w:color w:val="auto"/>
        </w:rPr>
      </w:pPr>
      <w:bookmarkStart w:id="17" w:name="_heading=h.lbucfjwlgoqs" w:colFirst="0" w:colLast="0"/>
      <w:bookmarkEnd w:id="17"/>
      <w:r w:rsidRPr="00FC7783">
        <w:rPr>
          <w:color w:val="auto"/>
        </w:rPr>
        <w:lastRenderedPageBreak/>
        <w:t>6. Reference List</w:t>
      </w:r>
    </w:p>
    <w:p w14:paraId="15F75250" w14:textId="77777777" w:rsidR="002F6974" w:rsidRPr="00FC7783" w:rsidRDefault="00567E4E" w:rsidP="00FC7783">
      <w:pPr>
        <w:jc w:val="left"/>
      </w:pPr>
      <w:r w:rsidRPr="00FC7783">
        <w:rPr>
          <w:highlight w:val="white"/>
        </w:rPr>
        <w:t xml:space="preserve">Andreini, D., Bettinelli, C., Foss, N.J. and Mismetti, M. (2022) ‘Business model innovation: a review of the process-based literature’. </w:t>
      </w:r>
      <w:r w:rsidRPr="00FC7783">
        <w:rPr>
          <w:i/>
          <w:iCs/>
          <w:highlight w:val="white"/>
        </w:rPr>
        <w:t>Journal of Management and Governance</w:t>
      </w:r>
      <w:r w:rsidRPr="00FC7783">
        <w:rPr>
          <w:highlight w:val="white"/>
        </w:rPr>
        <w:t xml:space="preserve">, </w:t>
      </w:r>
      <w:r w:rsidRPr="00FC7783">
        <w:rPr>
          <w:i/>
          <w:iCs/>
          <w:highlight w:val="white"/>
        </w:rPr>
        <w:t>26</w:t>
      </w:r>
      <w:r w:rsidRPr="00FC7783">
        <w:rPr>
          <w:highlight w:val="white"/>
        </w:rPr>
        <w:t xml:space="preserve">(4), pp.1089-1121. </w:t>
      </w:r>
      <w:r w:rsidRPr="00FC7783">
        <w:t>Available at: https://doi.org/10.1007/s10997-021-09590-w</w:t>
      </w:r>
    </w:p>
    <w:p w14:paraId="4C1D821B" w14:textId="77777777" w:rsidR="002F6974" w:rsidRPr="00FC7783" w:rsidRDefault="00567E4E" w:rsidP="00FC7783">
      <w:pPr>
        <w:jc w:val="left"/>
      </w:pPr>
      <w:r w:rsidRPr="00FC7783">
        <w:t xml:space="preserve">Beveragedaily.com (2025) </w:t>
      </w:r>
      <w:r w:rsidRPr="00FC7783">
        <w:rPr>
          <w:i/>
          <w:iCs/>
        </w:rPr>
        <w:t>AI, drones and more: Diageo launches breakthrough innovation team.</w:t>
      </w:r>
      <w:r w:rsidRPr="00FC7783">
        <w:t xml:space="preserve"> Available at: https://www.beveragedaily.com/Article/2024/01/25/Diageo-launches-new-innovation-team-exploring-AI-and-drones/ (Accessed 5 October 2025).</w:t>
      </w:r>
    </w:p>
    <w:p w14:paraId="1F5614C7" w14:textId="77777777" w:rsidR="002F6974" w:rsidRPr="00FC7783" w:rsidRDefault="00567E4E" w:rsidP="00FC7783">
      <w:pPr>
        <w:jc w:val="left"/>
      </w:pPr>
      <w:r w:rsidRPr="00FC7783">
        <w:t xml:space="preserve">Diageo.com (2025a) </w:t>
      </w:r>
      <w:r w:rsidRPr="00FC7783">
        <w:rPr>
          <w:i/>
          <w:iCs/>
        </w:rPr>
        <w:t>Diageo Launches Breakthrough Innovation Team to shape innovation beyond new products.</w:t>
      </w:r>
      <w:r w:rsidRPr="00FC7783">
        <w:t xml:space="preserve"> Available at: https://www.diageo.com/en/news-and-media/press-releases/2024/diageo-launches-breakthrough-innovation-team-to-shape-innovation-beyond-new-products (Accessed 22 October 2025).</w:t>
      </w:r>
    </w:p>
    <w:p w14:paraId="4467D7B5" w14:textId="77777777" w:rsidR="002F6974" w:rsidRPr="00FC7783" w:rsidRDefault="00567E4E" w:rsidP="00FC7783">
      <w:pPr>
        <w:jc w:val="left"/>
      </w:pPr>
      <w:r w:rsidRPr="00FC7783">
        <w:t xml:space="preserve">Diageo.com (2025b) </w:t>
      </w:r>
      <w:r w:rsidRPr="00FC7783">
        <w:rPr>
          <w:i/>
          <w:iCs/>
        </w:rPr>
        <w:t>News and media.</w:t>
      </w:r>
      <w:r w:rsidRPr="00FC7783">
        <w:t xml:space="preserve"> Available at: https://www.diageo.com/en/news-and-media (Accessed 17 October 2025).</w:t>
      </w:r>
    </w:p>
    <w:p w14:paraId="5ECB042F" w14:textId="77777777" w:rsidR="002F6974" w:rsidRPr="00FC7783" w:rsidRDefault="00567E4E" w:rsidP="00FC7783">
      <w:pPr>
        <w:jc w:val="left"/>
      </w:pPr>
      <w:r w:rsidRPr="00FC7783">
        <w:t xml:space="preserve">Diageo.com. (2025c) </w:t>
      </w:r>
      <w:r w:rsidRPr="00FC7783">
        <w:rPr>
          <w:i/>
          <w:iCs/>
        </w:rPr>
        <w:t>Inclusive marketing.</w:t>
      </w:r>
      <w:r w:rsidRPr="00FC7783">
        <w:t xml:space="preserve"> Available at: https://www.diageo.com/en/esg/diversity-and-inclusion/inclusive-marketing (Accessed 16 October 2025).</w:t>
      </w:r>
    </w:p>
    <w:p w14:paraId="2D6C5937" w14:textId="77777777" w:rsidR="002F6974" w:rsidRPr="00FC7783" w:rsidRDefault="00567E4E" w:rsidP="00FC7783">
      <w:pPr>
        <w:jc w:val="left"/>
      </w:pPr>
      <w:r w:rsidRPr="00FC7783">
        <w:t xml:space="preserve">Diageo.com (2025d) </w:t>
      </w:r>
      <w:r w:rsidRPr="00FC7783">
        <w:rPr>
          <w:i/>
          <w:iCs/>
        </w:rPr>
        <w:t>Our Business.</w:t>
      </w:r>
      <w:r w:rsidRPr="00FC7783">
        <w:t xml:space="preserve"> Available at: https://www.diageo.com/en/our-business/where-we-operate/europe/diageo-great-britain (Accessed 14 October 2025).</w:t>
      </w:r>
    </w:p>
    <w:p w14:paraId="30A75A2A" w14:textId="77777777" w:rsidR="002F6974" w:rsidRPr="00FC7783" w:rsidRDefault="00567E4E" w:rsidP="00FC7783">
      <w:pPr>
        <w:jc w:val="left"/>
      </w:pPr>
      <w:r w:rsidRPr="00FC7783">
        <w:t xml:space="preserve">Diageo.com (2025e) </w:t>
      </w:r>
      <w:r w:rsidRPr="00FC7783">
        <w:rPr>
          <w:i/>
          <w:iCs/>
        </w:rPr>
        <w:t>Policies and standards.</w:t>
      </w:r>
      <w:r w:rsidRPr="00FC7783">
        <w:t xml:space="preserve"> Available at: https://www.diageo.com/en/our-business/corporate-governance/code-of-business-conduct/policies-and-standards (Accessed 13 October 2025).</w:t>
      </w:r>
    </w:p>
    <w:p w14:paraId="1F3AC62A" w14:textId="77777777" w:rsidR="002F6974" w:rsidRPr="00FC7783" w:rsidRDefault="00567E4E" w:rsidP="00FC7783">
      <w:pPr>
        <w:jc w:val="left"/>
      </w:pPr>
      <w:r w:rsidRPr="00FC7783">
        <w:t xml:space="preserve">Diageo.com (2025f) </w:t>
      </w:r>
      <w:r w:rsidRPr="00FC7783">
        <w:rPr>
          <w:i/>
          <w:iCs/>
        </w:rPr>
        <w:t>Our code.</w:t>
      </w:r>
      <w:r w:rsidRPr="00FC7783">
        <w:t xml:space="preserve"> Available at: https://www.diageo.com/~/media/Files/D/Diageo-V2/Diageo-Corp/ (Accessed 11 October 2025).</w:t>
      </w:r>
    </w:p>
    <w:p w14:paraId="2CD108FC" w14:textId="77777777" w:rsidR="002F6974" w:rsidRPr="00FC7783" w:rsidRDefault="00567E4E" w:rsidP="00FC7783">
      <w:pPr>
        <w:jc w:val="left"/>
      </w:pPr>
      <w:r w:rsidRPr="00FC7783">
        <w:t xml:space="preserve">Diageo.com (2025g) </w:t>
      </w:r>
      <w:r w:rsidRPr="00FC7783">
        <w:rPr>
          <w:i/>
          <w:iCs/>
        </w:rPr>
        <w:t>Doing business the right way.</w:t>
      </w:r>
      <w:r w:rsidRPr="00FC7783">
        <w:t xml:space="preserve"> Available at: https://www.diageo.com/en/esg/doing-business-the-right-way/human-rights (Accessed 10 October 2025).</w:t>
      </w:r>
    </w:p>
    <w:p w14:paraId="6A526936" w14:textId="77777777" w:rsidR="002F6974" w:rsidRPr="00FC7783" w:rsidRDefault="00567E4E" w:rsidP="00FC7783">
      <w:pPr>
        <w:jc w:val="left"/>
      </w:pPr>
      <w:r w:rsidRPr="00FC7783">
        <w:t xml:space="preserve">Diageo.com (2025h) </w:t>
      </w:r>
      <w:r w:rsidRPr="00FC7783">
        <w:rPr>
          <w:i/>
          <w:iCs/>
        </w:rPr>
        <w:t>Navigating the cultural trends shaping tomorrow.</w:t>
      </w:r>
      <w:r w:rsidRPr="00FC7783">
        <w:t xml:space="preserve"> Available at: https://www.diageo.com/~/media/Files/D/Diageo-V2/Diageo-Corp/distilled/diageo-distilled-foresight-report-2025.pdf (Accessed 8 October 2025).</w:t>
      </w:r>
    </w:p>
    <w:p w14:paraId="769B2943" w14:textId="77777777" w:rsidR="002F6974" w:rsidRPr="00FC7783" w:rsidRDefault="00567E4E" w:rsidP="00FC7783">
      <w:pPr>
        <w:jc w:val="left"/>
      </w:pPr>
      <w:r w:rsidRPr="00FC7783">
        <w:t xml:space="preserve">Diageo-one.com (2025) </w:t>
      </w:r>
      <w:r w:rsidRPr="00FC7783">
        <w:rPr>
          <w:i/>
          <w:iCs/>
        </w:rPr>
        <w:t>Make your orders count.</w:t>
      </w:r>
      <w:r w:rsidRPr="00FC7783">
        <w:t xml:space="preserve"> Available at: https://www.diageo-one.com/s/?language=en_IE (Accessed 15 October 2025).</w:t>
      </w:r>
    </w:p>
    <w:p w14:paraId="398AD7B7" w14:textId="77777777" w:rsidR="002F6974" w:rsidRPr="00FC7783" w:rsidRDefault="00567E4E" w:rsidP="00FC7783">
      <w:pPr>
        <w:jc w:val="left"/>
      </w:pPr>
      <w:r w:rsidRPr="00FC7783">
        <w:t xml:space="preserve">Drinks-intel.com (2025) </w:t>
      </w:r>
      <w:r w:rsidRPr="00FC7783">
        <w:rPr>
          <w:i/>
          <w:iCs/>
        </w:rPr>
        <w:t>Diageo picks out consumer trends for 2025.</w:t>
      </w:r>
      <w:r w:rsidRPr="00FC7783">
        <w:t xml:space="preserve"> Available at: https://drinks-intel.com/cross-category/diageo-picks-out-consumer-trends-for-2025/ (Accessed 10 October 2025).</w:t>
      </w:r>
    </w:p>
    <w:p w14:paraId="1E82625F" w14:textId="77777777" w:rsidR="002F6974" w:rsidRPr="00FC7783" w:rsidRDefault="00567E4E" w:rsidP="00FC7783">
      <w:pPr>
        <w:jc w:val="left"/>
      </w:pPr>
      <w:r w:rsidRPr="00FC7783">
        <w:lastRenderedPageBreak/>
        <w:t xml:space="preserve">Drinksretailingnews.co.uk (2025) </w:t>
      </w:r>
      <w:r w:rsidRPr="00FC7783">
        <w:rPr>
          <w:i/>
          <w:iCs/>
        </w:rPr>
        <w:t xml:space="preserve">Diageo launches UK luxury arm for £30-plus spirits. </w:t>
      </w:r>
      <w:r w:rsidRPr="00FC7783">
        <w:t>Available at: https://drinksretailingnews.co.uk/diageo-launches-uk-luxury-arm-for-30-plus-spirits/ (Accessed 18 October 2025).</w:t>
      </w:r>
    </w:p>
    <w:p w14:paraId="0B0496A7" w14:textId="77777777" w:rsidR="002F6974" w:rsidRPr="00FC7783" w:rsidRDefault="00567E4E" w:rsidP="00FC7783">
      <w:pPr>
        <w:jc w:val="left"/>
      </w:pPr>
      <w:r w:rsidRPr="00FC7783">
        <w:t xml:space="preserve">Foodmanufacture.co.uk (2025) </w:t>
      </w:r>
      <w:r w:rsidRPr="00FC7783">
        <w:rPr>
          <w:i/>
          <w:iCs/>
        </w:rPr>
        <w:t xml:space="preserve">Diageo issues open call for water management innovations. </w:t>
      </w:r>
      <w:r w:rsidRPr="00FC7783">
        <w:t>Available at: https://www.foodmanufacture.co.uk/Article/2024/01/25/diageo-launches-appeal-for-water-management-innovation/ (Accessed 19 October 2025).</w:t>
      </w:r>
    </w:p>
    <w:p w14:paraId="4A144ABA" w14:textId="77777777" w:rsidR="002F6974" w:rsidRPr="00FC7783" w:rsidRDefault="00567E4E" w:rsidP="00FC7783">
      <w:pPr>
        <w:jc w:val="left"/>
      </w:pPr>
      <w:r w:rsidRPr="00FC7783">
        <w:t xml:space="preserve">Forbes (2025) </w:t>
      </w:r>
      <w:r w:rsidRPr="00FC7783">
        <w:rPr>
          <w:i/>
          <w:iCs/>
        </w:rPr>
        <w:t>Diageo.</w:t>
      </w:r>
      <w:r w:rsidRPr="00FC7783">
        <w:t xml:space="preserve"> Available at: https://www.forbes.com/companies/diageo/ (Accessed 7 October 2025).</w:t>
      </w:r>
    </w:p>
    <w:p w14:paraId="0783950B" w14:textId="77777777" w:rsidR="002F6974" w:rsidRPr="00FC7783" w:rsidRDefault="00567E4E" w:rsidP="00FC7783">
      <w:pPr>
        <w:jc w:val="left"/>
        <w:rPr>
          <w:b/>
          <w:bCs/>
        </w:rPr>
      </w:pPr>
      <w:r w:rsidRPr="00FC7783">
        <w:t xml:space="preserve">Fortune.com (2025) </w:t>
      </w:r>
      <w:r w:rsidRPr="00FC7783">
        <w:rPr>
          <w:i/>
          <w:iCs/>
        </w:rPr>
        <w:t>Diageo plans $500 million of cost cuts as U.S. tariffs kick in.</w:t>
      </w:r>
      <w:r w:rsidRPr="00FC7783">
        <w:t xml:space="preserve"> Available at: https://fortune.com/europe/2025/05/19/diageo-plans-500-million-cost-cuts-us-tariffs-results-trump/ (Accessed 5 October 2025).</w:t>
      </w:r>
    </w:p>
    <w:p w14:paraId="5DF987CF" w14:textId="77777777" w:rsidR="002F6974" w:rsidRPr="00FC7783" w:rsidRDefault="00567E4E" w:rsidP="00FC7783">
      <w:pPr>
        <w:jc w:val="left"/>
        <w:rPr>
          <w:highlight w:val="white"/>
        </w:rPr>
      </w:pPr>
      <w:r w:rsidRPr="00FC7783">
        <w:rPr>
          <w:highlight w:val="white"/>
        </w:rPr>
        <w:t xml:space="preserve">Goffin, K. and Mitchell, R. (2025) </w:t>
      </w:r>
      <w:r w:rsidRPr="00FC7783">
        <w:rPr>
          <w:i/>
          <w:iCs/>
          <w:highlight w:val="white"/>
        </w:rPr>
        <w:t>Innovation management</w:t>
      </w:r>
      <w:r w:rsidRPr="00FC7783">
        <w:rPr>
          <w:highlight w:val="white"/>
        </w:rPr>
        <w:t>. Bloomsbury Publishing.</w:t>
      </w:r>
    </w:p>
    <w:p w14:paraId="48DBEE9C" w14:textId="77777777" w:rsidR="002F6974" w:rsidRPr="00FC7783" w:rsidRDefault="00567E4E" w:rsidP="00FC7783">
      <w:pPr>
        <w:jc w:val="left"/>
      </w:pPr>
      <w:r w:rsidRPr="00FC7783">
        <w:t xml:space="preserve">Hbr.org (2025) </w:t>
      </w:r>
      <w:r w:rsidRPr="00FC7783">
        <w:rPr>
          <w:i/>
          <w:iCs/>
        </w:rPr>
        <w:t>Embracing Agile.</w:t>
      </w:r>
      <w:r w:rsidRPr="00FC7783">
        <w:t xml:space="preserve"> Available at: https://hbr.org/2016/05/embracing-agile (Accessed 7 October 2025).</w:t>
      </w:r>
    </w:p>
    <w:p w14:paraId="385DAB6B" w14:textId="77777777" w:rsidR="002F6974" w:rsidRPr="00FC7783" w:rsidRDefault="00567E4E" w:rsidP="00FC7783">
      <w:pPr>
        <w:jc w:val="left"/>
      </w:pPr>
      <w:r w:rsidRPr="00FC7783">
        <w:t xml:space="preserve">Hoogsteen, D. and Borgman, H. (2022) ‘Empower the workforce, empower the company?’ </w:t>
      </w:r>
      <w:r w:rsidRPr="00FC7783">
        <w:rPr>
          <w:i/>
          <w:iCs/>
        </w:rPr>
        <w:t xml:space="preserve">Citizen development adoption. </w:t>
      </w:r>
      <w:r w:rsidRPr="00FC7783">
        <w:t>Available at:</w:t>
      </w:r>
      <w:r w:rsidRPr="00FC7783">
        <w:rPr>
          <w:i/>
          <w:iCs/>
        </w:rPr>
        <w:t xml:space="preserve"> </w:t>
      </w:r>
      <w:r w:rsidRPr="00FC7783">
        <w:t>https://scholarspace.manoa.hawaii.edu/server/api/core/bitstreams/7d661602-4f05-49dc-b9b5-e13c84385dfc/content</w:t>
      </w:r>
    </w:p>
    <w:p w14:paraId="7C85EC0D" w14:textId="77777777" w:rsidR="002F6974" w:rsidRPr="00FC7783" w:rsidRDefault="00567E4E" w:rsidP="00FC7783">
      <w:pPr>
        <w:jc w:val="left"/>
      </w:pPr>
      <w:r w:rsidRPr="00FC7783">
        <w:t xml:space="preserve">Ibm.com (2025) </w:t>
      </w:r>
      <w:r w:rsidRPr="00FC7783">
        <w:rPr>
          <w:i/>
          <w:iCs/>
        </w:rPr>
        <w:t>What is a digital twin?</w:t>
      </w:r>
      <w:r w:rsidRPr="00FC7783">
        <w:t xml:space="preserve"> Available at: https://www.ibm.com/think/topics/digital-twin (Accessed 4 October 2025).</w:t>
      </w:r>
    </w:p>
    <w:p w14:paraId="48DF3689" w14:textId="77777777" w:rsidR="002F6974" w:rsidRPr="00FC7783" w:rsidRDefault="00567E4E" w:rsidP="00FC7783">
      <w:pPr>
        <w:jc w:val="left"/>
      </w:pPr>
      <w:r w:rsidRPr="00FC7783">
        <w:t xml:space="preserve">Mckinsey.com (2025) </w:t>
      </w:r>
      <w:r w:rsidRPr="00FC7783">
        <w:rPr>
          <w:i/>
          <w:iCs/>
        </w:rPr>
        <w:t xml:space="preserve">Consumers at the core: A conversation with Diageo’s Mark Sandys. </w:t>
      </w:r>
      <w:r w:rsidRPr="00FC7783">
        <w:t>Available at: https://www.mckinsey.com/capabilities/growth-marketing-and-sales/our-insights/consumers-at-the-core-a-conversation-with-diageos-mark-sandys (Accessed 9 October 2025).</w:t>
      </w:r>
    </w:p>
    <w:p w14:paraId="363BFABD" w14:textId="77777777" w:rsidR="002F6974" w:rsidRPr="00FC7783" w:rsidRDefault="00567E4E" w:rsidP="00FC7783">
      <w:pPr>
        <w:jc w:val="left"/>
      </w:pPr>
      <w:r w:rsidRPr="00FC7783">
        <w:t xml:space="preserve">Media.diageo.com (2025) </w:t>
      </w:r>
      <w:r w:rsidRPr="00FC7783">
        <w:rPr>
          <w:i/>
          <w:iCs/>
        </w:rPr>
        <w:t>Reinventing Packaging.</w:t>
      </w:r>
      <w:r w:rsidRPr="00FC7783">
        <w:t xml:space="preserve"> Available at: https://media.diageo.com/diageo-corporate-media/media/b2mfdgxc/becoming-sustainable-by-design-reinventing-packaging-july-2022.pdf (Accessed 6 October 2025).</w:t>
      </w:r>
    </w:p>
    <w:p w14:paraId="360EFDC0" w14:textId="77777777" w:rsidR="002F6974" w:rsidRPr="00FC7783" w:rsidRDefault="00567E4E" w:rsidP="00FC7783">
      <w:pPr>
        <w:jc w:val="left"/>
      </w:pPr>
      <w:r w:rsidRPr="00FC7783">
        <w:t xml:space="preserve">Mlaarchitects.co.uk (2025) </w:t>
      </w:r>
      <w:r w:rsidRPr="00FC7783">
        <w:rPr>
          <w:i/>
          <w:iCs/>
        </w:rPr>
        <w:t>International Supply Innovation &amp; Research Centre.</w:t>
      </w:r>
      <w:r w:rsidRPr="00FC7783">
        <w:t xml:space="preserve"> Available at: https://mlaarchitects.co.uk/projects/international-supply-innovation-research-centre/ (Accessed 20 October 2025).</w:t>
      </w:r>
    </w:p>
    <w:p w14:paraId="78298776" w14:textId="77777777" w:rsidR="002F6974" w:rsidRPr="00FC7783" w:rsidRDefault="00567E4E" w:rsidP="00FC7783">
      <w:pPr>
        <w:jc w:val="left"/>
      </w:pPr>
      <w:r w:rsidRPr="00FC7783">
        <w:t xml:space="preserve">Nestle.com (2025) </w:t>
      </w:r>
      <w:r w:rsidRPr="00FC7783">
        <w:rPr>
          <w:i/>
          <w:iCs/>
        </w:rPr>
        <w:t>Nestlé is creating AI-powered 'digital twins' for brands like Purina, Nescafé Dolce Gusto and Nespresso.</w:t>
      </w:r>
      <w:r w:rsidRPr="00FC7783">
        <w:t xml:space="preserve"> Available at: https://www.nestle.com/media/news/brands-ai-digital-twins-content-service (Accessed 5 October 2025).</w:t>
      </w:r>
    </w:p>
    <w:sectPr w:rsidR="002F6974" w:rsidRPr="00FC7783" w:rsidSect="002F6974">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645F2D6A-04DF-4B2F-BF71-93BD4A207966}"/>
  </w:font>
  <w:font w:name="Calibri">
    <w:panose1 w:val="020F0502020204030204"/>
    <w:charset w:val="00"/>
    <w:family w:val="swiss"/>
    <w:pitch w:val="variable"/>
    <w:sig w:usb0="E4002EFF" w:usb1="C200247B" w:usb2="00000009" w:usb3="00000000" w:csb0="000001FF" w:csb1="00000000"/>
    <w:embedRegular r:id="rId2" w:fontKey="{108D4A32-1E47-4193-8CA2-53BFBF3E71E5}"/>
    <w:embedBold r:id="rId3" w:fontKey="{2F1B3CF8-5D7E-4773-ABDF-19330E7EA735}"/>
  </w:font>
  <w:font w:name="Cambria">
    <w:panose1 w:val="02040503050406030204"/>
    <w:charset w:val="00"/>
    <w:family w:val="roman"/>
    <w:pitch w:val="variable"/>
    <w:sig w:usb0="E00006FF" w:usb1="420024FF" w:usb2="02000000" w:usb3="00000000" w:csb0="0000019F" w:csb1="00000000"/>
    <w:embedRegular r:id="rId4" w:fontKey="{3452BB76-16C9-4A09-B087-A01C03CFCA4B}"/>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D3CE2"/>
    <w:multiLevelType w:val="hybridMultilevel"/>
    <w:tmpl w:val="00000000"/>
    <w:lvl w:ilvl="0" w:tplc="AF2A789C">
      <w:start w:val="1"/>
      <w:numFmt w:val="bullet"/>
      <w:lvlText w:val="●"/>
      <w:lvlJc w:val="left"/>
      <w:pPr>
        <w:ind w:left="720" w:hanging="360"/>
      </w:pPr>
      <w:rPr>
        <w:u w:val="none"/>
      </w:rPr>
    </w:lvl>
    <w:lvl w:ilvl="1" w:tplc="7690E3F0">
      <w:start w:val="1"/>
      <w:numFmt w:val="bullet"/>
      <w:lvlText w:val="○"/>
      <w:lvlJc w:val="left"/>
      <w:pPr>
        <w:ind w:left="1440" w:hanging="360"/>
      </w:pPr>
      <w:rPr>
        <w:u w:val="none"/>
      </w:rPr>
    </w:lvl>
    <w:lvl w:ilvl="2" w:tplc="15AA6084">
      <w:start w:val="1"/>
      <w:numFmt w:val="bullet"/>
      <w:lvlText w:val="■"/>
      <w:lvlJc w:val="left"/>
      <w:pPr>
        <w:ind w:left="2160" w:hanging="360"/>
      </w:pPr>
      <w:rPr>
        <w:u w:val="none"/>
      </w:rPr>
    </w:lvl>
    <w:lvl w:ilvl="3" w:tplc="16FE65EE">
      <w:start w:val="1"/>
      <w:numFmt w:val="bullet"/>
      <w:lvlText w:val="●"/>
      <w:lvlJc w:val="left"/>
      <w:pPr>
        <w:ind w:left="2880" w:hanging="360"/>
      </w:pPr>
      <w:rPr>
        <w:u w:val="none"/>
      </w:rPr>
    </w:lvl>
    <w:lvl w:ilvl="4" w:tplc="B27A9962">
      <w:start w:val="1"/>
      <w:numFmt w:val="bullet"/>
      <w:lvlText w:val="○"/>
      <w:lvlJc w:val="left"/>
      <w:pPr>
        <w:ind w:left="3600" w:hanging="360"/>
      </w:pPr>
      <w:rPr>
        <w:u w:val="none"/>
      </w:rPr>
    </w:lvl>
    <w:lvl w:ilvl="5" w:tplc="BA40D3BA">
      <w:start w:val="1"/>
      <w:numFmt w:val="bullet"/>
      <w:lvlText w:val="■"/>
      <w:lvlJc w:val="left"/>
      <w:pPr>
        <w:ind w:left="4320" w:hanging="360"/>
      </w:pPr>
      <w:rPr>
        <w:u w:val="none"/>
      </w:rPr>
    </w:lvl>
    <w:lvl w:ilvl="6" w:tplc="FFB6B328">
      <w:start w:val="1"/>
      <w:numFmt w:val="bullet"/>
      <w:lvlText w:val="●"/>
      <w:lvlJc w:val="left"/>
      <w:pPr>
        <w:ind w:left="5040" w:hanging="360"/>
      </w:pPr>
      <w:rPr>
        <w:u w:val="none"/>
      </w:rPr>
    </w:lvl>
    <w:lvl w:ilvl="7" w:tplc="A694EC2A">
      <w:start w:val="1"/>
      <w:numFmt w:val="bullet"/>
      <w:lvlText w:val="○"/>
      <w:lvlJc w:val="left"/>
      <w:pPr>
        <w:ind w:left="5760" w:hanging="360"/>
      </w:pPr>
      <w:rPr>
        <w:u w:val="none"/>
      </w:rPr>
    </w:lvl>
    <w:lvl w:ilvl="8" w:tplc="BC0CC25C">
      <w:start w:val="1"/>
      <w:numFmt w:val="bullet"/>
      <w:lvlText w:val="■"/>
      <w:lvlJc w:val="left"/>
      <w:pPr>
        <w:ind w:left="6480" w:hanging="360"/>
      </w:pPr>
      <w:rPr>
        <w:u w:val="none"/>
      </w:rPr>
    </w:lvl>
  </w:abstractNum>
  <w:abstractNum w:abstractNumId="1" w15:restartNumberingAfterBreak="0">
    <w:nsid w:val="127FCD3D"/>
    <w:multiLevelType w:val="hybridMultilevel"/>
    <w:tmpl w:val="00000000"/>
    <w:lvl w:ilvl="0" w:tplc="A6429BA4">
      <w:start w:val="1"/>
      <w:numFmt w:val="bullet"/>
      <w:lvlText w:val="●"/>
      <w:lvlJc w:val="left"/>
      <w:pPr>
        <w:ind w:left="720" w:hanging="360"/>
      </w:pPr>
      <w:rPr>
        <w:u w:val="none"/>
      </w:rPr>
    </w:lvl>
    <w:lvl w:ilvl="1" w:tplc="5858BCEE">
      <w:start w:val="1"/>
      <w:numFmt w:val="bullet"/>
      <w:lvlText w:val="○"/>
      <w:lvlJc w:val="left"/>
      <w:pPr>
        <w:ind w:left="1440" w:hanging="360"/>
      </w:pPr>
      <w:rPr>
        <w:u w:val="none"/>
      </w:rPr>
    </w:lvl>
    <w:lvl w:ilvl="2" w:tplc="806AEA6A">
      <w:start w:val="1"/>
      <w:numFmt w:val="bullet"/>
      <w:lvlText w:val="■"/>
      <w:lvlJc w:val="left"/>
      <w:pPr>
        <w:ind w:left="2160" w:hanging="360"/>
      </w:pPr>
      <w:rPr>
        <w:u w:val="none"/>
      </w:rPr>
    </w:lvl>
    <w:lvl w:ilvl="3" w:tplc="73F866EC">
      <w:start w:val="1"/>
      <w:numFmt w:val="bullet"/>
      <w:lvlText w:val="●"/>
      <w:lvlJc w:val="left"/>
      <w:pPr>
        <w:ind w:left="2880" w:hanging="360"/>
      </w:pPr>
      <w:rPr>
        <w:u w:val="none"/>
      </w:rPr>
    </w:lvl>
    <w:lvl w:ilvl="4" w:tplc="C7D024B4">
      <w:start w:val="1"/>
      <w:numFmt w:val="bullet"/>
      <w:lvlText w:val="○"/>
      <w:lvlJc w:val="left"/>
      <w:pPr>
        <w:ind w:left="3600" w:hanging="360"/>
      </w:pPr>
      <w:rPr>
        <w:u w:val="none"/>
      </w:rPr>
    </w:lvl>
    <w:lvl w:ilvl="5" w:tplc="54B2A4BC">
      <w:start w:val="1"/>
      <w:numFmt w:val="bullet"/>
      <w:lvlText w:val="■"/>
      <w:lvlJc w:val="left"/>
      <w:pPr>
        <w:ind w:left="4320" w:hanging="360"/>
      </w:pPr>
      <w:rPr>
        <w:u w:val="none"/>
      </w:rPr>
    </w:lvl>
    <w:lvl w:ilvl="6" w:tplc="2C42671E">
      <w:start w:val="1"/>
      <w:numFmt w:val="bullet"/>
      <w:lvlText w:val="●"/>
      <w:lvlJc w:val="left"/>
      <w:pPr>
        <w:ind w:left="5040" w:hanging="360"/>
      </w:pPr>
      <w:rPr>
        <w:u w:val="none"/>
      </w:rPr>
    </w:lvl>
    <w:lvl w:ilvl="7" w:tplc="521A1E0A">
      <w:start w:val="1"/>
      <w:numFmt w:val="bullet"/>
      <w:lvlText w:val="○"/>
      <w:lvlJc w:val="left"/>
      <w:pPr>
        <w:ind w:left="5760" w:hanging="360"/>
      </w:pPr>
      <w:rPr>
        <w:u w:val="none"/>
      </w:rPr>
    </w:lvl>
    <w:lvl w:ilvl="8" w:tplc="A7EEF836">
      <w:start w:val="1"/>
      <w:numFmt w:val="bullet"/>
      <w:lvlText w:val="■"/>
      <w:lvlJc w:val="left"/>
      <w:pPr>
        <w:ind w:left="6480" w:hanging="360"/>
      </w:pPr>
      <w:rPr>
        <w:u w:val="none"/>
      </w:rPr>
    </w:lvl>
  </w:abstractNum>
  <w:abstractNum w:abstractNumId="2" w15:restartNumberingAfterBreak="0">
    <w:nsid w:val="29D34B64"/>
    <w:multiLevelType w:val="hybridMultilevel"/>
    <w:tmpl w:val="00000000"/>
    <w:lvl w:ilvl="0" w:tplc="01CC50E2">
      <w:start w:val="1"/>
      <w:numFmt w:val="bullet"/>
      <w:lvlText w:val="●"/>
      <w:lvlJc w:val="left"/>
      <w:pPr>
        <w:ind w:left="720" w:hanging="360"/>
      </w:pPr>
      <w:rPr>
        <w:u w:val="none"/>
      </w:rPr>
    </w:lvl>
    <w:lvl w:ilvl="1" w:tplc="6BB8C9B6">
      <w:start w:val="1"/>
      <w:numFmt w:val="bullet"/>
      <w:lvlText w:val="○"/>
      <w:lvlJc w:val="left"/>
      <w:pPr>
        <w:ind w:left="1440" w:hanging="360"/>
      </w:pPr>
      <w:rPr>
        <w:u w:val="none"/>
      </w:rPr>
    </w:lvl>
    <w:lvl w:ilvl="2" w:tplc="F536A05E">
      <w:start w:val="1"/>
      <w:numFmt w:val="bullet"/>
      <w:lvlText w:val="■"/>
      <w:lvlJc w:val="left"/>
      <w:pPr>
        <w:ind w:left="2160" w:hanging="360"/>
      </w:pPr>
      <w:rPr>
        <w:u w:val="none"/>
      </w:rPr>
    </w:lvl>
    <w:lvl w:ilvl="3" w:tplc="E30CDE3C">
      <w:start w:val="1"/>
      <w:numFmt w:val="bullet"/>
      <w:lvlText w:val="●"/>
      <w:lvlJc w:val="left"/>
      <w:pPr>
        <w:ind w:left="2880" w:hanging="360"/>
      </w:pPr>
      <w:rPr>
        <w:u w:val="none"/>
      </w:rPr>
    </w:lvl>
    <w:lvl w:ilvl="4" w:tplc="2F22AADA">
      <w:start w:val="1"/>
      <w:numFmt w:val="bullet"/>
      <w:lvlText w:val="○"/>
      <w:lvlJc w:val="left"/>
      <w:pPr>
        <w:ind w:left="3600" w:hanging="360"/>
      </w:pPr>
      <w:rPr>
        <w:u w:val="none"/>
      </w:rPr>
    </w:lvl>
    <w:lvl w:ilvl="5" w:tplc="0B1A1E84">
      <w:start w:val="1"/>
      <w:numFmt w:val="bullet"/>
      <w:lvlText w:val="■"/>
      <w:lvlJc w:val="left"/>
      <w:pPr>
        <w:ind w:left="4320" w:hanging="360"/>
      </w:pPr>
      <w:rPr>
        <w:u w:val="none"/>
      </w:rPr>
    </w:lvl>
    <w:lvl w:ilvl="6" w:tplc="FECECA96">
      <w:start w:val="1"/>
      <w:numFmt w:val="bullet"/>
      <w:lvlText w:val="●"/>
      <w:lvlJc w:val="left"/>
      <w:pPr>
        <w:ind w:left="5040" w:hanging="360"/>
      </w:pPr>
      <w:rPr>
        <w:u w:val="none"/>
      </w:rPr>
    </w:lvl>
    <w:lvl w:ilvl="7" w:tplc="6C36F4F6">
      <w:start w:val="1"/>
      <w:numFmt w:val="bullet"/>
      <w:lvlText w:val="○"/>
      <w:lvlJc w:val="left"/>
      <w:pPr>
        <w:ind w:left="5760" w:hanging="360"/>
      </w:pPr>
      <w:rPr>
        <w:u w:val="none"/>
      </w:rPr>
    </w:lvl>
    <w:lvl w:ilvl="8" w:tplc="422C0B96">
      <w:start w:val="1"/>
      <w:numFmt w:val="bullet"/>
      <w:lvlText w:val="■"/>
      <w:lvlJc w:val="left"/>
      <w:pPr>
        <w:ind w:left="6480" w:hanging="360"/>
      </w:pPr>
      <w:rPr>
        <w:u w:val="none"/>
      </w:rPr>
    </w:lvl>
  </w:abstractNum>
  <w:abstractNum w:abstractNumId="3" w15:restartNumberingAfterBreak="0">
    <w:nsid w:val="2AF94AC8"/>
    <w:multiLevelType w:val="hybridMultilevel"/>
    <w:tmpl w:val="00000000"/>
    <w:lvl w:ilvl="0" w:tplc="4DE24AE4">
      <w:start w:val="1"/>
      <w:numFmt w:val="decimal"/>
      <w:lvlText w:val="%1."/>
      <w:lvlJc w:val="left"/>
      <w:pPr>
        <w:ind w:left="720" w:hanging="360"/>
      </w:pPr>
      <w:rPr>
        <w:b/>
        <w:bCs/>
      </w:rPr>
    </w:lvl>
    <w:lvl w:ilvl="1" w:tplc="81AC38E4">
      <w:start w:val="1"/>
      <w:numFmt w:val="lowerLetter"/>
      <w:lvlText w:val="%2."/>
      <w:lvlJc w:val="left"/>
      <w:pPr>
        <w:ind w:left="1440" w:hanging="360"/>
      </w:pPr>
    </w:lvl>
    <w:lvl w:ilvl="2" w:tplc="0F464D2A">
      <w:start w:val="1"/>
      <w:numFmt w:val="lowerRoman"/>
      <w:lvlText w:val="%3."/>
      <w:lvlJc w:val="right"/>
      <w:pPr>
        <w:ind w:left="2160" w:hanging="180"/>
      </w:pPr>
    </w:lvl>
    <w:lvl w:ilvl="3" w:tplc="C0D2B9A4">
      <w:start w:val="1"/>
      <w:numFmt w:val="decimal"/>
      <w:lvlText w:val="%4."/>
      <w:lvlJc w:val="left"/>
      <w:pPr>
        <w:ind w:left="2880" w:hanging="360"/>
      </w:pPr>
    </w:lvl>
    <w:lvl w:ilvl="4" w:tplc="3B88631A">
      <w:start w:val="1"/>
      <w:numFmt w:val="lowerLetter"/>
      <w:lvlText w:val="%5."/>
      <w:lvlJc w:val="left"/>
      <w:pPr>
        <w:ind w:left="3600" w:hanging="360"/>
      </w:pPr>
    </w:lvl>
    <w:lvl w:ilvl="5" w:tplc="6908C178">
      <w:start w:val="1"/>
      <w:numFmt w:val="lowerRoman"/>
      <w:lvlText w:val="%6."/>
      <w:lvlJc w:val="right"/>
      <w:pPr>
        <w:ind w:left="4320" w:hanging="180"/>
      </w:pPr>
    </w:lvl>
    <w:lvl w:ilvl="6" w:tplc="8CFC3BB6">
      <w:start w:val="1"/>
      <w:numFmt w:val="decimal"/>
      <w:lvlText w:val="%7."/>
      <w:lvlJc w:val="left"/>
      <w:pPr>
        <w:ind w:left="5040" w:hanging="360"/>
      </w:pPr>
    </w:lvl>
    <w:lvl w:ilvl="7" w:tplc="2AFC7724">
      <w:start w:val="1"/>
      <w:numFmt w:val="lowerLetter"/>
      <w:lvlText w:val="%8."/>
      <w:lvlJc w:val="left"/>
      <w:pPr>
        <w:ind w:left="5760" w:hanging="360"/>
      </w:pPr>
    </w:lvl>
    <w:lvl w:ilvl="8" w:tplc="3BE2B2D0">
      <w:start w:val="1"/>
      <w:numFmt w:val="lowerRoman"/>
      <w:lvlText w:val="%9."/>
      <w:lvlJc w:val="right"/>
      <w:pPr>
        <w:ind w:left="6480" w:hanging="180"/>
      </w:pPr>
    </w:lvl>
  </w:abstractNum>
  <w:abstractNum w:abstractNumId="4" w15:restartNumberingAfterBreak="0">
    <w:nsid w:val="2F41E2DB"/>
    <w:multiLevelType w:val="hybridMultilevel"/>
    <w:tmpl w:val="00000000"/>
    <w:lvl w:ilvl="0" w:tplc="1E68C7FA">
      <w:start w:val="1"/>
      <w:numFmt w:val="bullet"/>
      <w:lvlText w:val="●"/>
      <w:lvlJc w:val="left"/>
      <w:pPr>
        <w:ind w:left="720" w:hanging="360"/>
      </w:pPr>
      <w:rPr>
        <w:u w:val="none"/>
      </w:rPr>
    </w:lvl>
    <w:lvl w:ilvl="1" w:tplc="4B4C0878">
      <w:start w:val="1"/>
      <w:numFmt w:val="bullet"/>
      <w:lvlText w:val="○"/>
      <w:lvlJc w:val="left"/>
      <w:pPr>
        <w:ind w:left="1440" w:hanging="360"/>
      </w:pPr>
      <w:rPr>
        <w:u w:val="none"/>
      </w:rPr>
    </w:lvl>
    <w:lvl w:ilvl="2" w:tplc="33E4228E">
      <w:start w:val="1"/>
      <w:numFmt w:val="bullet"/>
      <w:lvlText w:val="■"/>
      <w:lvlJc w:val="left"/>
      <w:pPr>
        <w:ind w:left="2160" w:hanging="360"/>
      </w:pPr>
      <w:rPr>
        <w:u w:val="none"/>
      </w:rPr>
    </w:lvl>
    <w:lvl w:ilvl="3" w:tplc="F6E2E882">
      <w:start w:val="1"/>
      <w:numFmt w:val="bullet"/>
      <w:lvlText w:val="●"/>
      <w:lvlJc w:val="left"/>
      <w:pPr>
        <w:ind w:left="2880" w:hanging="360"/>
      </w:pPr>
      <w:rPr>
        <w:u w:val="none"/>
      </w:rPr>
    </w:lvl>
    <w:lvl w:ilvl="4" w:tplc="53A2F726">
      <w:start w:val="1"/>
      <w:numFmt w:val="bullet"/>
      <w:lvlText w:val="○"/>
      <w:lvlJc w:val="left"/>
      <w:pPr>
        <w:ind w:left="3600" w:hanging="360"/>
      </w:pPr>
      <w:rPr>
        <w:u w:val="none"/>
      </w:rPr>
    </w:lvl>
    <w:lvl w:ilvl="5" w:tplc="2638A4A4">
      <w:start w:val="1"/>
      <w:numFmt w:val="bullet"/>
      <w:lvlText w:val="■"/>
      <w:lvlJc w:val="left"/>
      <w:pPr>
        <w:ind w:left="4320" w:hanging="360"/>
      </w:pPr>
      <w:rPr>
        <w:u w:val="none"/>
      </w:rPr>
    </w:lvl>
    <w:lvl w:ilvl="6" w:tplc="D8C21126">
      <w:start w:val="1"/>
      <w:numFmt w:val="bullet"/>
      <w:lvlText w:val="●"/>
      <w:lvlJc w:val="left"/>
      <w:pPr>
        <w:ind w:left="5040" w:hanging="360"/>
      </w:pPr>
      <w:rPr>
        <w:u w:val="none"/>
      </w:rPr>
    </w:lvl>
    <w:lvl w:ilvl="7" w:tplc="1C347A6A">
      <w:start w:val="1"/>
      <w:numFmt w:val="bullet"/>
      <w:lvlText w:val="○"/>
      <w:lvlJc w:val="left"/>
      <w:pPr>
        <w:ind w:left="5760" w:hanging="360"/>
      </w:pPr>
      <w:rPr>
        <w:u w:val="none"/>
      </w:rPr>
    </w:lvl>
    <w:lvl w:ilvl="8" w:tplc="BA8295F0">
      <w:start w:val="1"/>
      <w:numFmt w:val="bullet"/>
      <w:lvlText w:val="■"/>
      <w:lvlJc w:val="left"/>
      <w:pPr>
        <w:ind w:left="6480" w:hanging="360"/>
      </w:pPr>
      <w:rPr>
        <w:u w:val="none"/>
      </w:rPr>
    </w:lvl>
  </w:abstractNum>
  <w:abstractNum w:abstractNumId="5" w15:restartNumberingAfterBreak="0">
    <w:nsid w:val="33BD0902"/>
    <w:multiLevelType w:val="hybridMultilevel"/>
    <w:tmpl w:val="00000000"/>
    <w:lvl w:ilvl="0" w:tplc="D638B69C">
      <w:start w:val="1"/>
      <w:numFmt w:val="bullet"/>
      <w:lvlText w:val="●"/>
      <w:lvlJc w:val="left"/>
      <w:pPr>
        <w:ind w:left="720" w:hanging="360"/>
      </w:pPr>
      <w:rPr>
        <w:u w:val="none"/>
      </w:rPr>
    </w:lvl>
    <w:lvl w:ilvl="1" w:tplc="344C967A">
      <w:start w:val="1"/>
      <w:numFmt w:val="bullet"/>
      <w:lvlText w:val="○"/>
      <w:lvlJc w:val="left"/>
      <w:pPr>
        <w:ind w:left="1440" w:hanging="360"/>
      </w:pPr>
      <w:rPr>
        <w:u w:val="none"/>
      </w:rPr>
    </w:lvl>
    <w:lvl w:ilvl="2" w:tplc="536EF5DA">
      <w:start w:val="1"/>
      <w:numFmt w:val="bullet"/>
      <w:lvlText w:val="■"/>
      <w:lvlJc w:val="left"/>
      <w:pPr>
        <w:ind w:left="2160" w:hanging="360"/>
      </w:pPr>
      <w:rPr>
        <w:u w:val="none"/>
      </w:rPr>
    </w:lvl>
    <w:lvl w:ilvl="3" w:tplc="6CCA0A4E">
      <w:start w:val="1"/>
      <w:numFmt w:val="bullet"/>
      <w:lvlText w:val="●"/>
      <w:lvlJc w:val="left"/>
      <w:pPr>
        <w:ind w:left="2880" w:hanging="360"/>
      </w:pPr>
      <w:rPr>
        <w:u w:val="none"/>
      </w:rPr>
    </w:lvl>
    <w:lvl w:ilvl="4" w:tplc="D788039C">
      <w:start w:val="1"/>
      <w:numFmt w:val="bullet"/>
      <w:lvlText w:val="○"/>
      <w:lvlJc w:val="left"/>
      <w:pPr>
        <w:ind w:left="3600" w:hanging="360"/>
      </w:pPr>
      <w:rPr>
        <w:u w:val="none"/>
      </w:rPr>
    </w:lvl>
    <w:lvl w:ilvl="5" w:tplc="F5A2FF88">
      <w:start w:val="1"/>
      <w:numFmt w:val="bullet"/>
      <w:lvlText w:val="■"/>
      <w:lvlJc w:val="left"/>
      <w:pPr>
        <w:ind w:left="4320" w:hanging="360"/>
      </w:pPr>
      <w:rPr>
        <w:u w:val="none"/>
      </w:rPr>
    </w:lvl>
    <w:lvl w:ilvl="6" w:tplc="C036910C">
      <w:start w:val="1"/>
      <w:numFmt w:val="bullet"/>
      <w:lvlText w:val="●"/>
      <w:lvlJc w:val="left"/>
      <w:pPr>
        <w:ind w:left="5040" w:hanging="360"/>
      </w:pPr>
      <w:rPr>
        <w:u w:val="none"/>
      </w:rPr>
    </w:lvl>
    <w:lvl w:ilvl="7" w:tplc="FA400E86">
      <w:start w:val="1"/>
      <w:numFmt w:val="bullet"/>
      <w:lvlText w:val="○"/>
      <w:lvlJc w:val="left"/>
      <w:pPr>
        <w:ind w:left="5760" w:hanging="360"/>
      </w:pPr>
      <w:rPr>
        <w:u w:val="none"/>
      </w:rPr>
    </w:lvl>
    <w:lvl w:ilvl="8" w:tplc="768C7EF8">
      <w:start w:val="1"/>
      <w:numFmt w:val="bullet"/>
      <w:lvlText w:val="■"/>
      <w:lvlJc w:val="left"/>
      <w:pPr>
        <w:ind w:left="6480" w:hanging="360"/>
      </w:pPr>
      <w:rPr>
        <w:u w:val="none"/>
      </w:rPr>
    </w:lvl>
  </w:abstractNum>
  <w:abstractNum w:abstractNumId="6" w15:restartNumberingAfterBreak="0">
    <w:nsid w:val="3AEDA870"/>
    <w:multiLevelType w:val="hybridMultilevel"/>
    <w:tmpl w:val="00000000"/>
    <w:lvl w:ilvl="0" w:tplc="B6101246">
      <w:start w:val="1"/>
      <w:numFmt w:val="bullet"/>
      <w:lvlText w:val="●"/>
      <w:lvlJc w:val="left"/>
      <w:pPr>
        <w:ind w:left="720" w:hanging="360"/>
      </w:pPr>
      <w:rPr>
        <w:u w:val="none"/>
      </w:rPr>
    </w:lvl>
    <w:lvl w:ilvl="1" w:tplc="58C86954">
      <w:start w:val="1"/>
      <w:numFmt w:val="bullet"/>
      <w:lvlText w:val="○"/>
      <w:lvlJc w:val="left"/>
      <w:pPr>
        <w:ind w:left="1440" w:hanging="360"/>
      </w:pPr>
      <w:rPr>
        <w:u w:val="none"/>
      </w:rPr>
    </w:lvl>
    <w:lvl w:ilvl="2" w:tplc="32566F84">
      <w:start w:val="1"/>
      <w:numFmt w:val="bullet"/>
      <w:lvlText w:val="■"/>
      <w:lvlJc w:val="left"/>
      <w:pPr>
        <w:ind w:left="2160" w:hanging="360"/>
      </w:pPr>
      <w:rPr>
        <w:u w:val="none"/>
      </w:rPr>
    </w:lvl>
    <w:lvl w:ilvl="3" w:tplc="AEF20444">
      <w:start w:val="1"/>
      <w:numFmt w:val="bullet"/>
      <w:lvlText w:val="●"/>
      <w:lvlJc w:val="left"/>
      <w:pPr>
        <w:ind w:left="2880" w:hanging="360"/>
      </w:pPr>
      <w:rPr>
        <w:u w:val="none"/>
      </w:rPr>
    </w:lvl>
    <w:lvl w:ilvl="4" w:tplc="EA985F26">
      <w:start w:val="1"/>
      <w:numFmt w:val="bullet"/>
      <w:lvlText w:val="○"/>
      <w:lvlJc w:val="left"/>
      <w:pPr>
        <w:ind w:left="3600" w:hanging="360"/>
      </w:pPr>
      <w:rPr>
        <w:u w:val="none"/>
      </w:rPr>
    </w:lvl>
    <w:lvl w:ilvl="5" w:tplc="8F02AC16">
      <w:start w:val="1"/>
      <w:numFmt w:val="bullet"/>
      <w:lvlText w:val="■"/>
      <w:lvlJc w:val="left"/>
      <w:pPr>
        <w:ind w:left="4320" w:hanging="360"/>
      </w:pPr>
      <w:rPr>
        <w:u w:val="none"/>
      </w:rPr>
    </w:lvl>
    <w:lvl w:ilvl="6" w:tplc="50042156">
      <w:start w:val="1"/>
      <w:numFmt w:val="bullet"/>
      <w:lvlText w:val="●"/>
      <w:lvlJc w:val="left"/>
      <w:pPr>
        <w:ind w:left="5040" w:hanging="360"/>
      </w:pPr>
      <w:rPr>
        <w:u w:val="none"/>
      </w:rPr>
    </w:lvl>
    <w:lvl w:ilvl="7" w:tplc="441415BE">
      <w:start w:val="1"/>
      <w:numFmt w:val="bullet"/>
      <w:lvlText w:val="○"/>
      <w:lvlJc w:val="left"/>
      <w:pPr>
        <w:ind w:left="5760" w:hanging="360"/>
      </w:pPr>
      <w:rPr>
        <w:u w:val="none"/>
      </w:rPr>
    </w:lvl>
    <w:lvl w:ilvl="8" w:tplc="8110EAB8">
      <w:start w:val="1"/>
      <w:numFmt w:val="bullet"/>
      <w:lvlText w:val="■"/>
      <w:lvlJc w:val="left"/>
      <w:pPr>
        <w:ind w:left="6480" w:hanging="360"/>
      </w:pPr>
      <w:rPr>
        <w:u w:val="none"/>
      </w:rPr>
    </w:lvl>
  </w:abstractNum>
  <w:abstractNum w:abstractNumId="7" w15:restartNumberingAfterBreak="0">
    <w:nsid w:val="4C503C20"/>
    <w:multiLevelType w:val="hybridMultilevel"/>
    <w:tmpl w:val="00000000"/>
    <w:lvl w:ilvl="0" w:tplc="8488C8AC">
      <w:start w:val="1"/>
      <w:numFmt w:val="bullet"/>
      <w:lvlText w:val="●"/>
      <w:lvlJc w:val="left"/>
      <w:pPr>
        <w:ind w:left="720" w:hanging="360"/>
      </w:pPr>
      <w:rPr>
        <w:u w:val="none"/>
      </w:rPr>
    </w:lvl>
    <w:lvl w:ilvl="1" w:tplc="F34682BA">
      <w:start w:val="1"/>
      <w:numFmt w:val="bullet"/>
      <w:lvlText w:val="○"/>
      <w:lvlJc w:val="left"/>
      <w:pPr>
        <w:ind w:left="1440" w:hanging="360"/>
      </w:pPr>
      <w:rPr>
        <w:u w:val="none"/>
      </w:rPr>
    </w:lvl>
    <w:lvl w:ilvl="2" w:tplc="8550B480">
      <w:start w:val="1"/>
      <w:numFmt w:val="bullet"/>
      <w:lvlText w:val="■"/>
      <w:lvlJc w:val="left"/>
      <w:pPr>
        <w:ind w:left="2160" w:hanging="360"/>
      </w:pPr>
      <w:rPr>
        <w:u w:val="none"/>
      </w:rPr>
    </w:lvl>
    <w:lvl w:ilvl="3" w:tplc="092C1718">
      <w:start w:val="1"/>
      <w:numFmt w:val="bullet"/>
      <w:lvlText w:val="●"/>
      <w:lvlJc w:val="left"/>
      <w:pPr>
        <w:ind w:left="2880" w:hanging="360"/>
      </w:pPr>
      <w:rPr>
        <w:u w:val="none"/>
      </w:rPr>
    </w:lvl>
    <w:lvl w:ilvl="4" w:tplc="70805E6C">
      <w:start w:val="1"/>
      <w:numFmt w:val="bullet"/>
      <w:lvlText w:val="○"/>
      <w:lvlJc w:val="left"/>
      <w:pPr>
        <w:ind w:left="3600" w:hanging="360"/>
      </w:pPr>
      <w:rPr>
        <w:u w:val="none"/>
      </w:rPr>
    </w:lvl>
    <w:lvl w:ilvl="5" w:tplc="A7EA4B7E">
      <w:start w:val="1"/>
      <w:numFmt w:val="bullet"/>
      <w:lvlText w:val="■"/>
      <w:lvlJc w:val="left"/>
      <w:pPr>
        <w:ind w:left="4320" w:hanging="360"/>
      </w:pPr>
      <w:rPr>
        <w:u w:val="none"/>
      </w:rPr>
    </w:lvl>
    <w:lvl w:ilvl="6" w:tplc="AFF4C2F4">
      <w:start w:val="1"/>
      <w:numFmt w:val="bullet"/>
      <w:lvlText w:val="●"/>
      <w:lvlJc w:val="left"/>
      <w:pPr>
        <w:ind w:left="5040" w:hanging="360"/>
      </w:pPr>
      <w:rPr>
        <w:u w:val="none"/>
      </w:rPr>
    </w:lvl>
    <w:lvl w:ilvl="7" w:tplc="AFC8FC22">
      <w:start w:val="1"/>
      <w:numFmt w:val="bullet"/>
      <w:lvlText w:val="○"/>
      <w:lvlJc w:val="left"/>
      <w:pPr>
        <w:ind w:left="5760" w:hanging="360"/>
      </w:pPr>
      <w:rPr>
        <w:u w:val="none"/>
      </w:rPr>
    </w:lvl>
    <w:lvl w:ilvl="8" w:tplc="4BDA5DA8">
      <w:start w:val="1"/>
      <w:numFmt w:val="bullet"/>
      <w:lvlText w:val="■"/>
      <w:lvlJc w:val="left"/>
      <w:pPr>
        <w:ind w:left="6480" w:hanging="360"/>
      </w:pPr>
      <w:rPr>
        <w:u w:val="none"/>
      </w:rPr>
    </w:lvl>
  </w:abstractNum>
  <w:abstractNum w:abstractNumId="8" w15:restartNumberingAfterBreak="0">
    <w:nsid w:val="4C825BA8"/>
    <w:multiLevelType w:val="hybridMultilevel"/>
    <w:tmpl w:val="00000000"/>
    <w:lvl w:ilvl="0" w:tplc="F32A2FB4">
      <w:start w:val="1"/>
      <w:numFmt w:val="bullet"/>
      <w:lvlText w:val="●"/>
      <w:lvlJc w:val="left"/>
      <w:pPr>
        <w:ind w:left="720" w:hanging="360"/>
      </w:pPr>
      <w:rPr>
        <w:u w:val="none"/>
      </w:rPr>
    </w:lvl>
    <w:lvl w:ilvl="1" w:tplc="79206382">
      <w:start w:val="1"/>
      <w:numFmt w:val="bullet"/>
      <w:lvlText w:val="○"/>
      <w:lvlJc w:val="left"/>
      <w:pPr>
        <w:ind w:left="1440" w:hanging="360"/>
      </w:pPr>
      <w:rPr>
        <w:u w:val="none"/>
      </w:rPr>
    </w:lvl>
    <w:lvl w:ilvl="2" w:tplc="0A908110">
      <w:start w:val="1"/>
      <w:numFmt w:val="bullet"/>
      <w:lvlText w:val="■"/>
      <w:lvlJc w:val="left"/>
      <w:pPr>
        <w:ind w:left="2160" w:hanging="360"/>
      </w:pPr>
      <w:rPr>
        <w:u w:val="none"/>
      </w:rPr>
    </w:lvl>
    <w:lvl w:ilvl="3" w:tplc="D78469EA">
      <w:start w:val="1"/>
      <w:numFmt w:val="bullet"/>
      <w:lvlText w:val="●"/>
      <w:lvlJc w:val="left"/>
      <w:pPr>
        <w:ind w:left="2880" w:hanging="360"/>
      </w:pPr>
      <w:rPr>
        <w:u w:val="none"/>
      </w:rPr>
    </w:lvl>
    <w:lvl w:ilvl="4" w:tplc="C96E30DA">
      <w:start w:val="1"/>
      <w:numFmt w:val="bullet"/>
      <w:lvlText w:val="○"/>
      <w:lvlJc w:val="left"/>
      <w:pPr>
        <w:ind w:left="3600" w:hanging="360"/>
      </w:pPr>
      <w:rPr>
        <w:u w:val="none"/>
      </w:rPr>
    </w:lvl>
    <w:lvl w:ilvl="5" w:tplc="9332786E">
      <w:start w:val="1"/>
      <w:numFmt w:val="bullet"/>
      <w:lvlText w:val="■"/>
      <w:lvlJc w:val="left"/>
      <w:pPr>
        <w:ind w:left="4320" w:hanging="360"/>
      </w:pPr>
      <w:rPr>
        <w:u w:val="none"/>
      </w:rPr>
    </w:lvl>
    <w:lvl w:ilvl="6" w:tplc="7028157A">
      <w:start w:val="1"/>
      <w:numFmt w:val="bullet"/>
      <w:lvlText w:val="●"/>
      <w:lvlJc w:val="left"/>
      <w:pPr>
        <w:ind w:left="5040" w:hanging="360"/>
      </w:pPr>
      <w:rPr>
        <w:u w:val="none"/>
      </w:rPr>
    </w:lvl>
    <w:lvl w:ilvl="7" w:tplc="70CE1074">
      <w:start w:val="1"/>
      <w:numFmt w:val="bullet"/>
      <w:lvlText w:val="○"/>
      <w:lvlJc w:val="left"/>
      <w:pPr>
        <w:ind w:left="5760" w:hanging="360"/>
      </w:pPr>
      <w:rPr>
        <w:u w:val="none"/>
      </w:rPr>
    </w:lvl>
    <w:lvl w:ilvl="8" w:tplc="8C5C37F0">
      <w:start w:val="1"/>
      <w:numFmt w:val="bullet"/>
      <w:lvlText w:val="■"/>
      <w:lvlJc w:val="left"/>
      <w:pPr>
        <w:ind w:left="6480" w:hanging="360"/>
      </w:pPr>
      <w:rPr>
        <w:u w:val="none"/>
      </w:rPr>
    </w:lvl>
  </w:abstractNum>
  <w:abstractNum w:abstractNumId="9" w15:restartNumberingAfterBreak="0">
    <w:nsid w:val="5EDC41C4"/>
    <w:multiLevelType w:val="hybridMultilevel"/>
    <w:tmpl w:val="00000000"/>
    <w:lvl w:ilvl="0" w:tplc="825CA6B6">
      <w:start w:val="1"/>
      <w:numFmt w:val="bullet"/>
      <w:lvlText w:val="●"/>
      <w:lvlJc w:val="left"/>
      <w:pPr>
        <w:ind w:left="720" w:hanging="360"/>
      </w:pPr>
      <w:rPr>
        <w:u w:val="none"/>
      </w:rPr>
    </w:lvl>
    <w:lvl w:ilvl="1" w:tplc="3DA089A4">
      <w:start w:val="1"/>
      <w:numFmt w:val="bullet"/>
      <w:lvlText w:val="○"/>
      <w:lvlJc w:val="left"/>
      <w:pPr>
        <w:ind w:left="1440" w:hanging="360"/>
      </w:pPr>
      <w:rPr>
        <w:u w:val="none"/>
      </w:rPr>
    </w:lvl>
    <w:lvl w:ilvl="2" w:tplc="F7D8A630">
      <w:start w:val="1"/>
      <w:numFmt w:val="bullet"/>
      <w:lvlText w:val="■"/>
      <w:lvlJc w:val="left"/>
      <w:pPr>
        <w:ind w:left="2160" w:hanging="360"/>
      </w:pPr>
      <w:rPr>
        <w:u w:val="none"/>
      </w:rPr>
    </w:lvl>
    <w:lvl w:ilvl="3" w:tplc="056E9C76">
      <w:start w:val="1"/>
      <w:numFmt w:val="bullet"/>
      <w:lvlText w:val="●"/>
      <w:lvlJc w:val="left"/>
      <w:pPr>
        <w:ind w:left="2880" w:hanging="360"/>
      </w:pPr>
      <w:rPr>
        <w:u w:val="none"/>
      </w:rPr>
    </w:lvl>
    <w:lvl w:ilvl="4" w:tplc="0510B324">
      <w:start w:val="1"/>
      <w:numFmt w:val="bullet"/>
      <w:lvlText w:val="○"/>
      <w:lvlJc w:val="left"/>
      <w:pPr>
        <w:ind w:left="3600" w:hanging="360"/>
      </w:pPr>
      <w:rPr>
        <w:u w:val="none"/>
      </w:rPr>
    </w:lvl>
    <w:lvl w:ilvl="5" w:tplc="F538FD18">
      <w:start w:val="1"/>
      <w:numFmt w:val="bullet"/>
      <w:lvlText w:val="■"/>
      <w:lvlJc w:val="left"/>
      <w:pPr>
        <w:ind w:left="4320" w:hanging="360"/>
      </w:pPr>
      <w:rPr>
        <w:u w:val="none"/>
      </w:rPr>
    </w:lvl>
    <w:lvl w:ilvl="6" w:tplc="069851B4">
      <w:start w:val="1"/>
      <w:numFmt w:val="bullet"/>
      <w:lvlText w:val="●"/>
      <w:lvlJc w:val="left"/>
      <w:pPr>
        <w:ind w:left="5040" w:hanging="360"/>
      </w:pPr>
      <w:rPr>
        <w:u w:val="none"/>
      </w:rPr>
    </w:lvl>
    <w:lvl w:ilvl="7" w:tplc="C5D4F50E">
      <w:start w:val="1"/>
      <w:numFmt w:val="bullet"/>
      <w:lvlText w:val="○"/>
      <w:lvlJc w:val="left"/>
      <w:pPr>
        <w:ind w:left="5760" w:hanging="360"/>
      </w:pPr>
      <w:rPr>
        <w:u w:val="none"/>
      </w:rPr>
    </w:lvl>
    <w:lvl w:ilvl="8" w:tplc="AE3A5ACC">
      <w:start w:val="1"/>
      <w:numFmt w:val="bullet"/>
      <w:lvlText w:val="■"/>
      <w:lvlJc w:val="left"/>
      <w:pPr>
        <w:ind w:left="6480" w:hanging="360"/>
      </w:pPr>
      <w:rPr>
        <w:u w:val="none"/>
      </w:rPr>
    </w:lvl>
  </w:abstractNum>
  <w:abstractNum w:abstractNumId="10" w15:restartNumberingAfterBreak="0">
    <w:nsid w:val="6147BE40"/>
    <w:multiLevelType w:val="hybridMultilevel"/>
    <w:tmpl w:val="00000000"/>
    <w:lvl w:ilvl="0" w:tplc="EF648E14">
      <w:start w:val="1"/>
      <w:numFmt w:val="bullet"/>
      <w:lvlText w:val="●"/>
      <w:lvlJc w:val="left"/>
      <w:pPr>
        <w:ind w:left="720" w:hanging="360"/>
      </w:pPr>
      <w:rPr>
        <w:u w:val="none"/>
      </w:rPr>
    </w:lvl>
    <w:lvl w:ilvl="1" w:tplc="22183E28">
      <w:start w:val="1"/>
      <w:numFmt w:val="bullet"/>
      <w:lvlText w:val="○"/>
      <w:lvlJc w:val="left"/>
      <w:pPr>
        <w:ind w:left="1440" w:hanging="360"/>
      </w:pPr>
      <w:rPr>
        <w:u w:val="none"/>
      </w:rPr>
    </w:lvl>
    <w:lvl w:ilvl="2" w:tplc="D6285FFC">
      <w:start w:val="1"/>
      <w:numFmt w:val="bullet"/>
      <w:lvlText w:val="■"/>
      <w:lvlJc w:val="left"/>
      <w:pPr>
        <w:ind w:left="2160" w:hanging="360"/>
      </w:pPr>
      <w:rPr>
        <w:u w:val="none"/>
      </w:rPr>
    </w:lvl>
    <w:lvl w:ilvl="3" w:tplc="B3FC72B0">
      <w:start w:val="1"/>
      <w:numFmt w:val="bullet"/>
      <w:lvlText w:val="●"/>
      <w:lvlJc w:val="left"/>
      <w:pPr>
        <w:ind w:left="2880" w:hanging="360"/>
      </w:pPr>
      <w:rPr>
        <w:u w:val="none"/>
      </w:rPr>
    </w:lvl>
    <w:lvl w:ilvl="4" w:tplc="3F26EE8A">
      <w:start w:val="1"/>
      <w:numFmt w:val="bullet"/>
      <w:lvlText w:val="○"/>
      <w:lvlJc w:val="left"/>
      <w:pPr>
        <w:ind w:left="3600" w:hanging="360"/>
      </w:pPr>
      <w:rPr>
        <w:u w:val="none"/>
      </w:rPr>
    </w:lvl>
    <w:lvl w:ilvl="5" w:tplc="A4BAFA04">
      <w:start w:val="1"/>
      <w:numFmt w:val="bullet"/>
      <w:lvlText w:val="■"/>
      <w:lvlJc w:val="left"/>
      <w:pPr>
        <w:ind w:left="4320" w:hanging="360"/>
      </w:pPr>
      <w:rPr>
        <w:u w:val="none"/>
      </w:rPr>
    </w:lvl>
    <w:lvl w:ilvl="6" w:tplc="3668C074">
      <w:start w:val="1"/>
      <w:numFmt w:val="bullet"/>
      <w:lvlText w:val="●"/>
      <w:lvlJc w:val="left"/>
      <w:pPr>
        <w:ind w:left="5040" w:hanging="360"/>
      </w:pPr>
      <w:rPr>
        <w:u w:val="none"/>
      </w:rPr>
    </w:lvl>
    <w:lvl w:ilvl="7" w:tplc="9D74DEBE">
      <w:start w:val="1"/>
      <w:numFmt w:val="bullet"/>
      <w:lvlText w:val="○"/>
      <w:lvlJc w:val="left"/>
      <w:pPr>
        <w:ind w:left="5760" w:hanging="360"/>
      </w:pPr>
      <w:rPr>
        <w:u w:val="none"/>
      </w:rPr>
    </w:lvl>
    <w:lvl w:ilvl="8" w:tplc="DC4628A8">
      <w:start w:val="1"/>
      <w:numFmt w:val="bullet"/>
      <w:lvlText w:val="■"/>
      <w:lvlJc w:val="left"/>
      <w:pPr>
        <w:ind w:left="6480" w:hanging="360"/>
      </w:pPr>
      <w:rPr>
        <w:u w:val="none"/>
      </w:rPr>
    </w:lvl>
  </w:abstractNum>
  <w:abstractNum w:abstractNumId="11" w15:restartNumberingAfterBreak="0">
    <w:nsid w:val="68122F80"/>
    <w:multiLevelType w:val="hybridMultilevel"/>
    <w:tmpl w:val="00000000"/>
    <w:lvl w:ilvl="0" w:tplc="CCC08ED6">
      <w:start w:val="1"/>
      <w:numFmt w:val="bullet"/>
      <w:lvlText w:val="●"/>
      <w:lvlJc w:val="left"/>
      <w:pPr>
        <w:ind w:left="720" w:hanging="360"/>
      </w:pPr>
      <w:rPr>
        <w:u w:val="none"/>
      </w:rPr>
    </w:lvl>
    <w:lvl w:ilvl="1" w:tplc="309AE77E">
      <w:start w:val="1"/>
      <w:numFmt w:val="bullet"/>
      <w:lvlText w:val="○"/>
      <w:lvlJc w:val="left"/>
      <w:pPr>
        <w:ind w:left="1440" w:hanging="360"/>
      </w:pPr>
      <w:rPr>
        <w:u w:val="none"/>
      </w:rPr>
    </w:lvl>
    <w:lvl w:ilvl="2" w:tplc="75B8B676">
      <w:start w:val="1"/>
      <w:numFmt w:val="bullet"/>
      <w:lvlText w:val="■"/>
      <w:lvlJc w:val="left"/>
      <w:pPr>
        <w:ind w:left="2160" w:hanging="360"/>
      </w:pPr>
      <w:rPr>
        <w:u w:val="none"/>
      </w:rPr>
    </w:lvl>
    <w:lvl w:ilvl="3" w:tplc="5C6E465E">
      <w:start w:val="1"/>
      <w:numFmt w:val="bullet"/>
      <w:lvlText w:val="●"/>
      <w:lvlJc w:val="left"/>
      <w:pPr>
        <w:ind w:left="2880" w:hanging="360"/>
      </w:pPr>
      <w:rPr>
        <w:u w:val="none"/>
      </w:rPr>
    </w:lvl>
    <w:lvl w:ilvl="4" w:tplc="03CE42D2">
      <w:start w:val="1"/>
      <w:numFmt w:val="bullet"/>
      <w:lvlText w:val="○"/>
      <w:lvlJc w:val="left"/>
      <w:pPr>
        <w:ind w:left="3600" w:hanging="360"/>
      </w:pPr>
      <w:rPr>
        <w:u w:val="none"/>
      </w:rPr>
    </w:lvl>
    <w:lvl w:ilvl="5" w:tplc="0688F010">
      <w:start w:val="1"/>
      <w:numFmt w:val="bullet"/>
      <w:lvlText w:val="■"/>
      <w:lvlJc w:val="left"/>
      <w:pPr>
        <w:ind w:left="4320" w:hanging="360"/>
      </w:pPr>
      <w:rPr>
        <w:u w:val="none"/>
      </w:rPr>
    </w:lvl>
    <w:lvl w:ilvl="6" w:tplc="48B6FF0A">
      <w:start w:val="1"/>
      <w:numFmt w:val="bullet"/>
      <w:lvlText w:val="●"/>
      <w:lvlJc w:val="left"/>
      <w:pPr>
        <w:ind w:left="5040" w:hanging="360"/>
      </w:pPr>
      <w:rPr>
        <w:u w:val="none"/>
      </w:rPr>
    </w:lvl>
    <w:lvl w:ilvl="7" w:tplc="D4462206">
      <w:start w:val="1"/>
      <w:numFmt w:val="bullet"/>
      <w:lvlText w:val="○"/>
      <w:lvlJc w:val="left"/>
      <w:pPr>
        <w:ind w:left="5760" w:hanging="360"/>
      </w:pPr>
      <w:rPr>
        <w:u w:val="none"/>
      </w:rPr>
    </w:lvl>
    <w:lvl w:ilvl="8" w:tplc="BD7E0B32">
      <w:start w:val="1"/>
      <w:numFmt w:val="bullet"/>
      <w:lvlText w:val="■"/>
      <w:lvlJc w:val="left"/>
      <w:pPr>
        <w:ind w:left="6480" w:hanging="360"/>
      </w:pPr>
      <w:rPr>
        <w:u w:val="none"/>
      </w:rPr>
    </w:lvl>
  </w:abstractNum>
  <w:num w:numId="1" w16cid:durableId="1003701161">
    <w:abstractNumId w:val="10"/>
  </w:num>
  <w:num w:numId="2" w16cid:durableId="1027802702">
    <w:abstractNumId w:val="7"/>
  </w:num>
  <w:num w:numId="3" w16cid:durableId="1183780851">
    <w:abstractNumId w:val="2"/>
  </w:num>
  <w:num w:numId="4" w16cid:durableId="458031793">
    <w:abstractNumId w:val="1"/>
  </w:num>
  <w:num w:numId="5" w16cid:durableId="2023312570">
    <w:abstractNumId w:val="9"/>
  </w:num>
  <w:num w:numId="6" w16cid:durableId="656885007">
    <w:abstractNumId w:val="11"/>
  </w:num>
  <w:num w:numId="7" w16cid:durableId="1039008907">
    <w:abstractNumId w:val="5"/>
  </w:num>
  <w:num w:numId="8" w16cid:durableId="1801653934">
    <w:abstractNumId w:val="3"/>
  </w:num>
  <w:num w:numId="9" w16cid:durableId="644898878">
    <w:abstractNumId w:val="6"/>
  </w:num>
  <w:num w:numId="10" w16cid:durableId="381828605">
    <w:abstractNumId w:val="4"/>
  </w:num>
  <w:num w:numId="11" w16cid:durableId="1927231271">
    <w:abstractNumId w:val="0"/>
  </w:num>
  <w:num w:numId="12" w16cid:durableId="205207274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974"/>
    <w:rsid w:val="001760A9"/>
    <w:rsid w:val="002F6974"/>
    <w:rsid w:val="00567E4E"/>
    <w:rsid w:val="005F21F1"/>
    <w:rsid w:val="005F405D"/>
    <w:rsid w:val="008779D6"/>
    <w:rsid w:val="00CA263B"/>
    <w:rsid w:val="00FC7783"/>
    <w:rsid w:val="00FD70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5AC3D"/>
  <w15:docId w15:val="{D696DD93-2B18-45F1-84B2-9401013A2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F6974"/>
  </w:style>
  <w:style w:type="paragraph" w:styleId="Heading1">
    <w:name w:val="heading 1"/>
    <w:basedOn w:val="Normal"/>
    <w:next w:val="Normal"/>
    <w:rsid w:val="002F6974"/>
    <w:pPr>
      <w:keepNext/>
      <w:keepLines/>
      <w:pBdr>
        <w:top w:val="nil"/>
        <w:left w:val="nil"/>
        <w:bottom w:val="nil"/>
        <w:right w:val="nil"/>
        <w:between w:val="nil"/>
      </w:pBdr>
      <w:spacing w:before="400" w:after="120"/>
      <w:outlineLvl w:val="0"/>
    </w:pPr>
    <w:rPr>
      <w:b/>
      <w:bCs/>
      <w:color w:val="000000"/>
      <w:sz w:val="28"/>
      <w:szCs w:val="28"/>
    </w:rPr>
  </w:style>
  <w:style w:type="paragraph" w:styleId="Heading2">
    <w:name w:val="heading 2"/>
    <w:basedOn w:val="Normal"/>
    <w:next w:val="Normal"/>
    <w:rsid w:val="002F6974"/>
    <w:pPr>
      <w:keepNext/>
      <w:keepLines/>
      <w:pBdr>
        <w:top w:val="nil"/>
        <w:left w:val="nil"/>
        <w:bottom w:val="nil"/>
        <w:right w:val="nil"/>
        <w:between w:val="nil"/>
      </w:pBdr>
      <w:spacing w:before="360" w:after="120"/>
      <w:outlineLvl w:val="1"/>
    </w:pPr>
    <w:rPr>
      <w:b/>
      <w:bCs/>
      <w:color w:val="000000"/>
      <w:sz w:val="24"/>
      <w:szCs w:val="24"/>
    </w:rPr>
  </w:style>
  <w:style w:type="paragraph" w:styleId="Heading3">
    <w:name w:val="heading 3"/>
    <w:basedOn w:val="Normal"/>
    <w:next w:val="Normal"/>
    <w:rsid w:val="002F6974"/>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rsid w:val="002F6974"/>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rsid w:val="002F6974"/>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rsid w:val="002F6974"/>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2F6974"/>
    <w:tblPr>
      <w:tblCellMar>
        <w:top w:w="100" w:type="dxa"/>
        <w:left w:w="100" w:type="dxa"/>
        <w:bottom w:w="100" w:type="dxa"/>
        <w:right w:w="100" w:type="dxa"/>
      </w:tblCellMar>
    </w:tblPr>
  </w:style>
  <w:style w:type="paragraph" w:styleId="Title">
    <w:name w:val="Title"/>
    <w:basedOn w:val="Normal"/>
    <w:next w:val="Normal"/>
    <w:rsid w:val="002F6974"/>
    <w:pPr>
      <w:keepNext/>
      <w:keepLines/>
      <w:pBdr>
        <w:top w:val="nil"/>
        <w:left w:val="nil"/>
        <w:bottom w:val="nil"/>
        <w:right w:val="nil"/>
        <w:between w:val="nil"/>
      </w:pBdr>
      <w:spacing w:after="60"/>
    </w:pPr>
    <w:rPr>
      <w:color w:val="000000"/>
      <w:sz w:val="52"/>
      <w:szCs w:val="52"/>
    </w:rPr>
  </w:style>
  <w:style w:type="table" w:customStyle="1" w:styleId="TableNormal00">
    <w:name w:val="TableNormal_0"/>
    <w:rsid w:val="002F6974"/>
    <w:tblPr>
      <w:tblCellMar>
        <w:top w:w="100" w:type="dxa"/>
        <w:left w:w="100" w:type="dxa"/>
        <w:bottom w:w="100" w:type="dxa"/>
        <w:right w:w="100" w:type="dxa"/>
      </w:tblCellMar>
    </w:tblPr>
  </w:style>
  <w:style w:type="table" w:customStyle="1" w:styleId="TableNormal000">
    <w:name w:val="TableNormal_0_0"/>
    <w:rsid w:val="00921E5B"/>
    <w:tblPr>
      <w:tblCellMar>
        <w:top w:w="100" w:type="dxa"/>
        <w:left w:w="100" w:type="dxa"/>
        <w:bottom w:w="100" w:type="dxa"/>
        <w:right w:w="100" w:type="dxa"/>
      </w:tblCellMar>
    </w:tblPr>
  </w:style>
  <w:style w:type="paragraph" w:customStyle="1" w:styleId="normal0">
    <w:name w:val="normal_0"/>
    <w:rsid w:val="00921E5B"/>
  </w:style>
  <w:style w:type="paragraph" w:styleId="BalloonText">
    <w:name w:val="Balloon Text"/>
    <w:basedOn w:val="Normal"/>
    <w:link w:val="BalloonTextChar"/>
    <w:uiPriority w:val="99"/>
    <w:semiHidden/>
    <w:unhideWhenUsed/>
    <w:rsid w:val="007F1B2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1B29"/>
    <w:rPr>
      <w:rFonts w:ascii="Tahoma" w:hAnsi="Tahoma" w:cs="Tahoma"/>
      <w:sz w:val="16"/>
      <w:szCs w:val="16"/>
    </w:rPr>
  </w:style>
  <w:style w:type="paragraph" w:styleId="TOCHeading">
    <w:name w:val="TOC Heading"/>
    <w:basedOn w:val="Heading1"/>
    <w:next w:val="Normal"/>
    <w:uiPriority w:val="39"/>
    <w:unhideWhenUsed/>
    <w:qFormat/>
    <w:rsid w:val="00234B9F"/>
    <w:pPr>
      <w:spacing w:before="480" w:after="0" w:line="276" w:lineRule="auto"/>
      <w:jc w:val="left"/>
      <w:outlineLvl w:val="9"/>
    </w:pPr>
    <w:rPr>
      <w:rFonts w:asciiTheme="majorHAnsi" w:eastAsiaTheme="majorEastAsia" w:hAnsiTheme="majorHAnsi" w:cstheme="majorBidi"/>
      <w:color w:val="365F91" w:themeColor="accent1" w:themeShade="BF"/>
    </w:rPr>
  </w:style>
  <w:style w:type="paragraph" w:styleId="TOC1">
    <w:name w:val="toc 1"/>
    <w:basedOn w:val="Normal"/>
    <w:next w:val="Normal"/>
    <w:autoRedefine/>
    <w:uiPriority w:val="39"/>
    <w:unhideWhenUsed/>
    <w:rsid w:val="00234B9F"/>
    <w:pPr>
      <w:spacing w:after="100"/>
    </w:pPr>
  </w:style>
  <w:style w:type="paragraph" w:styleId="TOC2">
    <w:name w:val="toc 2"/>
    <w:basedOn w:val="Normal"/>
    <w:next w:val="Normal"/>
    <w:autoRedefine/>
    <w:uiPriority w:val="39"/>
    <w:unhideWhenUsed/>
    <w:rsid w:val="00234B9F"/>
    <w:pPr>
      <w:spacing w:after="100"/>
      <w:ind w:left="220"/>
    </w:pPr>
  </w:style>
  <w:style w:type="character" w:styleId="Hyperlink">
    <w:name w:val="Hyperlink"/>
    <w:basedOn w:val="DefaultParagraphFont"/>
    <w:uiPriority w:val="99"/>
    <w:unhideWhenUsed/>
    <w:rsid w:val="00234B9F"/>
    <w:rPr>
      <w:color w:val="0000FF" w:themeColor="hyperlink"/>
      <w:u w:val="single"/>
    </w:rPr>
  </w:style>
  <w:style w:type="table" w:customStyle="1" w:styleId="Table1">
    <w:name w:val="Table1"/>
    <w:basedOn w:val="TableNormal"/>
    <w:rsid w:val="002F6974"/>
    <w:tblPr>
      <w:tblStyleRowBandSize w:val="1"/>
      <w:tblStyleColBandSize w:val="1"/>
    </w:tblPr>
  </w:style>
  <w:style w:type="table" w:customStyle="1" w:styleId="Table2">
    <w:name w:val="Table2"/>
    <w:basedOn w:val="TableNormal"/>
    <w:rsid w:val="002F6974"/>
    <w:tblPr>
      <w:tblStyleRowBandSize w:val="1"/>
      <w:tblStyleColBandSize w:val="1"/>
    </w:tblPr>
  </w:style>
  <w:style w:type="paragraph" w:styleId="CommentText">
    <w:name w:val="annotation text"/>
    <w:basedOn w:val="Normal"/>
    <w:link w:val="CommentTextChar"/>
    <w:uiPriority w:val="99"/>
    <w:semiHidden/>
    <w:unhideWhenUsed/>
    <w:rsid w:val="002F6974"/>
    <w:pPr>
      <w:spacing w:line="240" w:lineRule="auto"/>
    </w:pPr>
    <w:rPr>
      <w:sz w:val="20"/>
      <w:szCs w:val="20"/>
    </w:rPr>
  </w:style>
  <w:style w:type="character" w:customStyle="1" w:styleId="CommentTextChar">
    <w:name w:val="Comment Text Char"/>
    <w:basedOn w:val="DefaultParagraphFont"/>
    <w:link w:val="CommentText"/>
    <w:uiPriority w:val="99"/>
    <w:semiHidden/>
    <w:rsid w:val="002F6974"/>
    <w:rPr>
      <w:sz w:val="20"/>
      <w:szCs w:val="20"/>
    </w:rPr>
  </w:style>
  <w:style w:type="character" w:styleId="CommentReference">
    <w:name w:val="annotation reference"/>
    <w:basedOn w:val="DefaultParagraphFont"/>
    <w:uiPriority w:val="99"/>
    <w:semiHidden/>
    <w:unhideWhenUsed/>
    <w:rsid w:val="002F6974"/>
    <w:rPr>
      <w:sz w:val="16"/>
      <w:szCs w:val="16"/>
    </w:rPr>
  </w:style>
  <w:style w:type="paragraph" w:styleId="ListParagraph">
    <w:name w:val="List Paragraph"/>
    <w:basedOn w:val="Normal"/>
    <w:uiPriority w:val="34"/>
    <w:qFormat/>
    <w:rsid w:val="00973F4B"/>
    <w:pPr>
      <w:ind w:left="720"/>
      <w:contextualSpacing/>
    </w:pPr>
  </w:style>
  <w:style w:type="paragraph" w:styleId="Header">
    <w:name w:val="header"/>
    <w:basedOn w:val="Normal"/>
    <w:link w:val="HeaderChar"/>
    <w:uiPriority w:val="99"/>
    <w:unhideWhenUsed/>
    <w:rsid w:val="002861B0"/>
    <w:pPr>
      <w:tabs>
        <w:tab w:val="center" w:pos="4513"/>
        <w:tab w:val="right" w:pos="9026"/>
      </w:tabs>
      <w:spacing w:line="240" w:lineRule="auto"/>
    </w:pPr>
  </w:style>
  <w:style w:type="character" w:customStyle="1" w:styleId="HeaderChar">
    <w:name w:val="Header Char"/>
    <w:basedOn w:val="DefaultParagraphFont"/>
    <w:link w:val="Header"/>
    <w:uiPriority w:val="99"/>
    <w:rsid w:val="002861B0"/>
    <w:rPr>
      <w:color w:val="000000" w:themeColor="text1"/>
    </w:rPr>
  </w:style>
  <w:style w:type="paragraph" w:styleId="Footer">
    <w:name w:val="footer"/>
    <w:basedOn w:val="Normal"/>
    <w:link w:val="FooterChar"/>
    <w:uiPriority w:val="99"/>
    <w:unhideWhenUsed/>
    <w:rsid w:val="002861B0"/>
    <w:pPr>
      <w:tabs>
        <w:tab w:val="center" w:pos="4513"/>
        <w:tab w:val="right" w:pos="9026"/>
      </w:tabs>
      <w:spacing w:line="240" w:lineRule="auto"/>
    </w:pPr>
  </w:style>
  <w:style w:type="character" w:customStyle="1" w:styleId="FooterChar">
    <w:name w:val="Footer Char"/>
    <w:basedOn w:val="DefaultParagraphFont"/>
    <w:link w:val="Footer"/>
    <w:uiPriority w:val="99"/>
    <w:rsid w:val="002861B0"/>
    <w:rPr>
      <w:color w:val="000000" w:themeColor="text1"/>
    </w:rPr>
  </w:style>
  <w:style w:type="paragraph" w:styleId="Subtitle">
    <w:name w:val="Subtitle"/>
    <w:basedOn w:val="Normal"/>
    <w:next w:val="Normal"/>
    <w:rsid w:val="002F6974"/>
    <w:pPr>
      <w:keepNext/>
      <w:keepLines/>
      <w:pBdr>
        <w:top w:val="nil"/>
        <w:left w:val="nil"/>
        <w:bottom w:val="nil"/>
        <w:right w:val="nil"/>
        <w:between w:val="nil"/>
      </w:pBdr>
      <w:spacing w:after="320"/>
    </w:pPr>
    <w:rPr>
      <w:color w:val="666666"/>
      <w:sz w:val="30"/>
      <w:szCs w:val="30"/>
    </w:rPr>
  </w:style>
  <w:style w:type="table" w:customStyle="1" w:styleId="Table10">
    <w:name w:val="Table1_0"/>
    <w:basedOn w:val="TableNormal"/>
    <w:rsid w:val="002F6974"/>
    <w:tblPr>
      <w:tblStyleRowBandSize w:val="1"/>
      <w:tblStyleColBandSize w:val="1"/>
    </w:tblPr>
  </w:style>
  <w:style w:type="table" w:customStyle="1" w:styleId="Table20">
    <w:name w:val="Table2_0"/>
    <w:basedOn w:val="TableNormal"/>
    <w:rsid w:val="002F6974"/>
    <w:tblPr>
      <w:tblStyleRowBandSize w:val="1"/>
      <w:tblStyleColBandSize w:val="1"/>
    </w:tblPr>
  </w:style>
  <w:style w:type="table" w:customStyle="1" w:styleId="Table3">
    <w:name w:val="Table3"/>
    <w:basedOn w:val="TableNormal"/>
    <w:rsid w:val="002F6974"/>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oSxn13PZx8FMcVR0Cdz/toukZEg==">CgMxLjAaHwoBMBIaChgICVIUChJ0YWJsZS44cnN0OXQ3cWJrc3MyDmguMmwwdmkxc3N0dWtiMg5oLmRkbWE1OWl2dWI4bTIOaC5vem1razVudTk5dDIyDmguZ3M0cTh5OW1zdHlrMg5oLnFxZ3h0MnNscmM3YzIOaC5uaXNrYThmMHh6YWcyDmgua2x1MjljMzN6cWwyMg5oLnl1azVhNm5jN3psbDIOaC45MXJncW44YTM5cmcyDmgubWJydGtkZzdjODliMg5oLmczNmk5bGVxcXk5bDIOaC5uM29wOXJwNjFwOG8yDWgudnVlaXJmZ3RhdjMyDmguazB6bDliZ2R5NG5mMg5oLmExb3BzNmVzNnBqNTIOaC51amZwYjRxNWJoM28yDmguOWwzdm9yMmlpbHJkMg5oLmxidWNmandsZ29xczgAciExWnhMX0hrZU01UVpuY3p6Vzk4OHNLUjB3Z2ROS29PQT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5381</Words>
  <Characters>30675</Characters>
  <Application>Microsoft Office Word</Application>
  <DocSecurity>0</DocSecurity>
  <Lines>255</Lines>
  <Paragraphs>71</Paragraphs>
  <ScaleCrop>false</ScaleCrop>
  <Company/>
  <LinksUpToDate>false</LinksUpToDate>
  <CharactersWithSpaces>35985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Ancuta Bahnean</cp:lastModifiedBy>
  <cp:revision>2</cp:revision>
  <dcterms:created xsi:type="dcterms:W3CDTF">2025-11-16T11:34:00Z</dcterms:created>
  <dcterms:modified xsi:type="dcterms:W3CDTF">2025-11-16T11:34:00Z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342c050a-0e38-4db4-9a69-ec32927bdf6d</vt:lpwstr>
  </property>
</Properties>
</file>