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72ADF" w:rsidR="00B72ADF" w:rsidP="730F9435" w:rsidRDefault="608AD175" w14:paraId="3E5E3747" w14:textId="2FBEF19E">
      <w:pPr>
        <w:pStyle w:val="Normal"/>
        <w:spacing w:before="240" w:after="240" w:line="278" w:lineRule="auto"/>
        <w:rPr>
          <w:rFonts w:ascii="Arial" w:hAnsi="Arial" w:eastAsia="Arial" w:cs="Arial"/>
          <w:sz w:val="72"/>
          <w:szCs w:val="72"/>
        </w:rPr>
      </w:pPr>
      <w:r w:rsidRPr="730F9435" w:rsidR="6E282B87">
        <w:rPr>
          <w:rFonts w:ascii="Arial" w:hAnsi="Arial" w:eastAsia="Arial" w:cs="Arial"/>
          <w:sz w:val="72"/>
          <w:szCs w:val="72"/>
        </w:rPr>
        <w:t>MODULE:</w:t>
      </w:r>
      <w:r w:rsidRPr="730F9435" w:rsidR="6E282B87">
        <w:rPr>
          <w:rFonts w:ascii="Arial" w:hAnsi="Arial" w:eastAsia="Arial" w:cs="Arial"/>
          <w:sz w:val="72"/>
          <w:szCs w:val="72"/>
        </w:rPr>
        <w:t xml:space="preserve"> LCLM500</w:t>
      </w:r>
      <w:r w:rsidRPr="730F9435" w:rsidR="49B3C54C">
        <w:rPr>
          <w:rFonts w:ascii="Arial" w:hAnsi="Arial" w:eastAsia="Arial" w:cs="Arial"/>
          <w:sz w:val="72"/>
          <w:szCs w:val="72"/>
        </w:rPr>
        <w:t>5</w:t>
      </w:r>
      <w:r w:rsidRPr="730F9435" w:rsidR="7589B143">
        <w:rPr>
          <w:rFonts w:ascii="Arial" w:hAnsi="Arial" w:eastAsia="Arial" w:cs="Arial"/>
          <w:sz w:val="72"/>
          <w:szCs w:val="72"/>
        </w:rPr>
        <w:t xml:space="preserve"> </w:t>
      </w:r>
      <w:r w:rsidRPr="730F9435" w:rsidR="6E282B87">
        <w:rPr>
          <w:rFonts w:ascii="Arial" w:hAnsi="Arial" w:eastAsia="Arial" w:cs="Arial"/>
          <w:sz w:val="72"/>
          <w:szCs w:val="72"/>
        </w:rPr>
        <w:t xml:space="preserve">– </w:t>
      </w:r>
    </w:p>
    <w:p w:rsidRPr="00B72ADF" w:rsidR="00B72ADF" w:rsidP="7EAE0672" w:rsidRDefault="16A48F26" w14:paraId="3E3E0B04" w14:textId="7BB547AF">
      <w:pPr>
        <w:spacing w:before="240" w:after="240" w:line="278" w:lineRule="auto"/>
        <w:rPr>
          <w:rFonts w:ascii="Arial" w:hAnsi="Arial" w:eastAsia="Arial" w:cs="Arial"/>
          <w:sz w:val="72"/>
          <w:szCs w:val="72"/>
        </w:rPr>
      </w:pPr>
      <w:r w:rsidRPr="7EAE0672">
        <w:rPr>
          <w:rFonts w:ascii="Arial" w:hAnsi="Arial" w:eastAsia="Arial" w:cs="Arial"/>
          <w:sz w:val="72"/>
          <w:szCs w:val="72"/>
        </w:rPr>
        <w:t xml:space="preserve">Organisational Culture </w:t>
      </w:r>
    </w:p>
    <w:p w:rsidRPr="00B72ADF" w:rsidR="00B72ADF" w:rsidP="7EAE0672" w:rsidRDefault="608AD175" w14:paraId="09A3793A" w14:textId="676EE4A7">
      <w:pPr>
        <w:spacing w:before="240" w:after="240" w:line="278" w:lineRule="auto"/>
      </w:pPr>
      <w:r w:rsidRPr="7EAE0672">
        <w:rPr>
          <w:rFonts w:ascii="Arial" w:hAnsi="Arial" w:eastAsia="Arial" w:cs="Arial"/>
          <w:sz w:val="72"/>
          <w:szCs w:val="72"/>
        </w:rPr>
        <w:t>UNIVERSITY: University of Wales Trinity Saint David (UWTSD)</w:t>
      </w:r>
    </w:p>
    <w:p w:rsidRPr="00B72ADF" w:rsidR="00B72ADF" w:rsidP="7EAE0672" w:rsidRDefault="608AD175" w14:paraId="6AA0F3D8" w14:textId="10FFECBA">
      <w:pPr>
        <w:spacing w:before="240" w:after="240" w:line="278" w:lineRule="auto"/>
      </w:pPr>
      <w:r w:rsidRPr="7EAE0672">
        <w:rPr>
          <w:rFonts w:ascii="Arial" w:hAnsi="Arial" w:eastAsia="Arial" w:cs="Arial"/>
          <w:sz w:val="72"/>
          <w:szCs w:val="72"/>
        </w:rPr>
        <w:t xml:space="preserve"> STUDENT NAME: </w:t>
      </w:r>
    </w:p>
    <w:p w:rsidRPr="00B72ADF" w:rsidR="00B72ADF" w:rsidP="7EAE0672" w:rsidRDefault="608AD175" w14:paraId="229CB6E7" w14:textId="09E791B2">
      <w:pPr>
        <w:spacing w:before="240" w:after="240" w:line="278" w:lineRule="auto"/>
      </w:pPr>
      <w:r w:rsidRPr="7EAE0672">
        <w:rPr>
          <w:rFonts w:ascii="Arial" w:hAnsi="Arial" w:eastAsia="Arial" w:cs="Arial"/>
          <w:sz w:val="72"/>
          <w:szCs w:val="72"/>
        </w:rPr>
        <w:t xml:space="preserve">Ousman Bobb </w:t>
      </w:r>
    </w:p>
    <w:p w:rsidRPr="00B72ADF" w:rsidR="00B72ADF" w:rsidP="7EAE0672" w:rsidRDefault="608AD175" w14:paraId="040A39A7" w14:textId="3A652620">
      <w:pPr>
        <w:spacing w:before="240" w:after="240" w:line="278" w:lineRule="auto"/>
      </w:pPr>
      <w:r w:rsidRPr="730F9435" w:rsidR="6E282B87">
        <w:rPr>
          <w:rFonts w:ascii="Arial" w:hAnsi="Arial" w:eastAsia="Arial" w:cs="Arial"/>
          <w:sz w:val="72"/>
          <w:szCs w:val="72"/>
        </w:rPr>
        <w:t xml:space="preserve"> </w:t>
      </w:r>
      <w:r w:rsidRPr="730F9435" w:rsidR="6E282B87">
        <w:rPr>
          <w:rFonts w:ascii="Arial" w:hAnsi="Arial" w:eastAsia="Arial" w:cs="Arial"/>
          <w:sz w:val="56"/>
          <w:szCs w:val="56"/>
        </w:rPr>
        <w:t>STUDENT</w:t>
      </w:r>
      <w:r w:rsidRPr="730F9435" w:rsidR="6E282B87">
        <w:rPr>
          <w:rFonts w:ascii="Arial" w:hAnsi="Arial" w:eastAsia="Arial" w:cs="Arial"/>
          <w:sz w:val="72"/>
          <w:szCs w:val="72"/>
        </w:rPr>
        <w:t xml:space="preserve"> ID: 2331955</w:t>
      </w:r>
    </w:p>
    <w:p w:rsidRPr="00B72ADF" w:rsidR="00B72ADF" w:rsidP="730F9435" w:rsidRDefault="00B72ADF" w14:paraId="168780E3" w14:textId="256E23C5">
      <w:pPr>
        <w:pStyle w:val="Title"/>
      </w:pPr>
    </w:p>
    <w:p w:rsidRPr="00B72ADF" w:rsidR="00B72ADF" w:rsidP="730F9435" w:rsidRDefault="00B72ADF" w14:paraId="75F28DD2" w14:textId="261093FB">
      <w:pPr>
        <w:pStyle w:val="Heading1"/>
        <w:rPr>
          <w:rFonts w:ascii="Arial" w:hAnsi="Arial" w:eastAsia="Arial" w:cs="Arial"/>
        </w:rPr>
      </w:pPr>
    </w:p>
    <w:p w:rsidRPr="00B72ADF" w:rsidR="00B72ADF" w:rsidP="730F9435" w:rsidRDefault="00B72ADF" w14:paraId="39E90AFA" w14:textId="5AD0B7F9">
      <w:pPr>
        <w:pStyle w:val="Title"/>
        <w:rPr>
          <w:rFonts w:ascii="Arial" w:hAnsi="Arial" w:eastAsia="Arial" w:cs="Arial"/>
          <w:sz w:val="52"/>
          <w:szCs w:val="52"/>
        </w:rPr>
      </w:pPr>
    </w:p>
    <w:p w:rsidRPr="00B72ADF" w:rsidR="00B72ADF" w:rsidP="730F9435" w:rsidRDefault="00B72ADF" w14:paraId="467B58B3" w14:textId="61E995B3">
      <w:pPr>
        <w:pStyle w:val="Title"/>
        <w:rPr>
          <w:rFonts w:ascii="Arial" w:hAnsi="Arial" w:eastAsia="Arial" w:cs="Arial"/>
          <w:sz w:val="52"/>
          <w:szCs w:val="52"/>
        </w:rPr>
      </w:pPr>
      <w:r w:rsidRPr="1FB48523" w:rsidR="500A1DD9">
        <w:rPr>
          <w:rFonts w:ascii="Arial" w:hAnsi="Arial" w:eastAsia="Arial" w:cs="Arial"/>
          <w:sz w:val="52"/>
          <w:szCs w:val="52"/>
        </w:rPr>
        <w:t>Organisational Culture, Structure and Performance at Toyota Motor Corporation: Navigating the EV Transition</w:t>
      </w:r>
    </w:p>
    <w:p w:rsidR="1FB48523" w:rsidP="1FB48523" w:rsidRDefault="1FB48523" w14:paraId="4EB1EC66" w14:textId="479BEFF7">
      <w:pPr>
        <w:pStyle w:val="Normal"/>
      </w:pPr>
    </w:p>
    <w:sdt>
      <w:sdtPr>
        <w:id w:val="223218580"/>
        <w:docPartObj>
          <w:docPartGallery w:val="Table of Contents"/>
          <w:docPartUnique/>
        </w:docPartObj>
      </w:sdtPr>
      <w:sdtContent>
        <w:p w:rsidRPr="00B72ADF" w:rsidR="00B72ADF" w:rsidP="730F9435" w:rsidRDefault="00B72ADF" w14:paraId="015F059F" w14:textId="07F14420">
          <w:pPr>
            <w:pStyle w:val="TOC1"/>
            <w:tabs>
              <w:tab w:val="right" w:leader="dot" w:pos="9015"/>
            </w:tabs>
            <w:bidi w:val="0"/>
            <w:rPr>
              <w:rStyle w:val="Hyperlink"/>
            </w:rPr>
          </w:pPr>
          <w:r>
            <w:fldChar w:fldCharType="begin"/>
          </w:r>
          <w:r>
            <w:instrText xml:space="preserve">TOC \o "1-9" \z \u \h</w:instrText>
          </w:r>
          <w:r>
            <w:fldChar w:fldCharType="separate"/>
          </w:r>
          <w:hyperlink w:anchor="_Toc1053248440">
            <w:r w:rsidRPr="730F9435" w:rsidR="730F9435">
              <w:rPr>
                <w:rStyle w:val="Hyperlink"/>
              </w:rPr>
              <w:t>Introduction</w:t>
            </w:r>
            <w:r>
              <w:tab/>
            </w:r>
            <w:r>
              <w:fldChar w:fldCharType="begin"/>
            </w:r>
            <w:r>
              <w:instrText xml:space="preserve">PAGEREF _Toc1053248440 \h</w:instrText>
            </w:r>
            <w:r>
              <w:fldChar w:fldCharType="separate"/>
            </w:r>
            <w:r w:rsidRPr="730F9435" w:rsidR="730F9435">
              <w:rPr>
                <w:rStyle w:val="Hyperlink"/>
              </w:rPr>
              <w:t>2</w:t>
            </w:r>
            <w:r>
              <w:fldChar w:fldCharType="end"/>
            </w:r>
          </w:hyperlink>
        </w:p>
        <w:p w:rsidRPr="00B72ADF" w:rsidR="00B72ADF" w:rsidP="730F9435" w:rsidRDefault="00B72ADF" w14:paraId="2A1660C6" w14:textId="28EEF16B">
          <w:pPr>
            <w:pStyle w:val="TOC1"/>
            <w:tabs>
              <w:tab w:val="right" w:leader="dot" w:pos="9015"/>
            </w:tabs>
            <w:bidi w:val="0"/>
            <w:rPr>
              <w:rStyle w:val="Hyperlink"/>
            </w:rPr>
          </w:pPr>
          <w:hyperlink w:anchor="_Toc727172120">
            <w:r w:rsidRPr="730F9435" w:rsidR="730F9435">
              <w:rPr>
                <w:rStyle w:val="Hyperlink"/>
              </w:rPr>
              <w:t>2.0 Organisational Culture, Structure and Decision-Making at Toyota</w:t>
            </w:r>
            <w:r>
              <w:tab/>
            </w:r>
            <w:r>
              <w:fldChar w:fldCharType="begin"/>
            </w:r>
            <w:r>
              <w:instrText xml:space="preserve">PAGEREF _Toc727172120 \h</w:instrText>
            </w:r>
            <w:r>
              <w:fldChar w:fldCharType="separate"/>
            </w:r>
            <w:r w:rsidRPr="730F9435" w:rsidR="730F9435">
              <w:rPr>
                <w:rStyle w:val="Hyperlink"/>
              </w:rPr>
              <w:t>3</w:t>
            </w:r>
            <w:r>
              <w:fldChar w:fldCharType="end"/>
            </w:r>
          </w:hyperlink>
        </w:p>
        <w:p w:rsidRPr="00B72ADF" w:rsidR="00B72ADF" w:rsidP="730F9435" w:rsidRDefault="00B72ADF" w14:paraId="68B11332" w14:textId="0B6AAE23">
          <w:pPr>
            <w:pStyle w:val="TOC1"/>
            <w:tabs>
              <w:tab w:val="right" w:leader="dot" w:pos="9015"/>
            </w:tabs>
            <w:bidi w:val="0"/>
            <w:rPr>
              <w:rStyle w:val="Hyperlink"/>
            </w:rPr>
          </w:pPr>
          <w:hyperlink w:anchor="_Toc844506324">
            <w:r w:rsidRPr="730F9435" w:rsidR="730F9435">
              <w:rPr>
                <w:rStyle w:val="Hyperlink"/>
              </w:rPr>
              <w:t>3.0 Analysing Toyota’s Organisational Culture Through Theoretical Lenses</w:t>
            </w:r>
            <w:r>
              <w:tab/>
            </w:r>
            <w:r>
              <w:fldChar w:fldCharType="begin"/>
            </w:r>
            <w:r>
              <w:instrText xml:space="preserve">PAGEREF _Toc844506324 \h</w:instrText>
            </w:r>
            <w:r>
              <w:fldChar w:fldCharType="separate"/>
            </w:r>
            <w:r w:rsidRPr="730F9435" w:rsidR="730F9435">
              <w:rPr>
                <w:rStyle w:val="Hyperlink"/>
              </w:rPr>
              <w:t>5</w:t>
            </w:r>
            <w:r>
              <w:fldChar w:fldCharType="end"/>
            </w:r>
          </w:hyperlink>
        </w:p>
        <w:p w:rsidRPr="00B72ADF" w:rsidR="00B72ADF" w:rsidP="730F9435" w:rsidRDefault="00B72ADF" w14:paraId="1976806C" w14:textId="1A611378">
          <w:pPr>
            <w:pStyle w:val="TOC1"/>
            <w:tabs>
              <w:tab w:val="right" w:leader="dot" w:pos="9015"/>
            </w:tabs>
            <w:bidi w:val="0"/>
            <w:rPr>
              <w:rStyle w:val="Hyperlink"/>
            </w:rPr>
          </w:pPr>
          <w:hyperlink w:anchor="_Toc1058446490">
            <w:r w:rsidRPr="730F9435" w:rsidR="730F9435">
              <w:rPr>
                <w:rStyle w:val="Hyperlink"/>
              </w:rPr>
              <w:t>3.2 Hofstede’s Cultural Dimensions</w:t>
            </w:r>
            <w:r>
              <w:tab/>
            </w:r>
            <w:r>
              <w:fldChar w:fldCharType="begin"/>
            </w:r>
            <w:r>
              <w:instrText xml:space="preserve">PAGEREF _Toc1058446490 \h</w:instrText>
            </w:r>
            <w:r>
              <w:fldChar w:fldCharType="separate"/>
            </w:r>
            <w:r w:rsidRPr="730F9435" w:rsidR="730F9435">
              <w:rPr>
                <w:rStyle w:val="Hyperlink"/>
              </w:rPr>
              <w:t>6</w:t>
            </w:r>
            <w:r>
              <w:fldChar w:fldCharType="end"/>
            </w:r>
          </w:hyperlink>
        </w:p>
        <w:p w:rsidRPr="00B72ADF" w:rsidR="00B72ADF" w:rsidP="730F9435" w:rsidRDefault="00B72ADF" w14:paraId="207C6A34" w14:textId="4F45021E">
          <w:pPr>
            <w:pStyle w:val="TOC1"/>
            <w:tabs>
              <w:tab w:val="right" w:leader="dot" w:pos="9015"/>
            </w:tabs>
            <w:bidi w:val="0"/>
            <w:rPr>
              <w:rStyle w:val="Hyperlink"/>
            </w:rPr>
          </w:pPr>
          <w:hyperlink w:anchor="_Toc1406401297">
            <w:r w:rsidRPr="730F9435" w:rsidR="730F9435">
              <w:rPr>
                <w:rStyle w:val="Hyperlink"/>
              </w:rPr>
              <w:t>3.3 Handy’s Cultural Typology</w:t>
            </w:r>
            <w:r>
              <w:tab/>
            </w:r>
            <w:r>
              <w:fldChar w:fldCharType="begin"/>
            </w:r>
            <w:r>
              <w:instrText xml:space="preserve">PAGEREF _Toc1406401297 \h</w:instrText>
            </w:r>
            <w:r>
              <w:fldChar w:fldCharType="separate"/>
            </w:r>
            <w:r w:rsidRPr="730F9435" w:rsidR="730F9435">
              <w:rPr>
                <w:rStyle w:val="Hyperlink"/>
              </w:rPr>
              <w:t>7</w:t>
            </w:r>
            <w:r>
              <w:fldChar w:fldCharType="end"/>
            </w:r>
          </w:hyperlink>
        </w:p>
        <w:p w:rsidRPr="00B72ADF" w:rsidR="00B72ADF" w:rsidP="730F9435" w:rsidRDefault="00B72ADF" w14:paraId="5E2FEE3C" w14:textId="103BDB9B">
          <w:pPr>
            <w:pStyle w:val="TOC1"/>
            <w:tabs>
              <w:tab w:val="right" w:leader="dot" w:pos="9015"/>
            </w:tabs>
            <w:bidi w:val="0"/>
            <w:rPr>
              <w:rStyle w:val="Hyperlink"/>
            </w:rPr>
          </w:pPr>
          <w:hyperlink w:anchor="_Toc1194232718">
            <w:r w:rsidRPr="730F9435" w:rsidR="730F9435">
              <w:rPr>
                <w:rStyle w:val="Hyperlink"/>
              </w:rPr>
              <w:t>4.0 Organisational Culture and Environmental Adaptation</w:t>
            </w:r>
            <w:r>
              <w:tab/>
            </w:r>
            <w:r>
              <w:fldChar w:fldCharType="begin"/>
            </w:r>
            <w:r>
              <w:instrText xml:space="preserve">PAGEREF _Toc1194232718 \h</w:instrText>
            </w:r>
            <w:r>
              <w:fldChar w:fldCharType="separate"/>
            </w:r>
            <w:r w:rsidRPr="730F9435" w:rsidR="730F9435">
              <w:rPr>
                <w:rStyle w:val="Hyperlink"/>
              </w:rPr>
              <w:t>7</w:t>
            </w:r>
            <w:r>
              <w:fldChar w:fldCharType="end"/>
            </w:r>
          </w:hyperlink>
        </w:p>
        <w:p w:rsidRPr="00B72ADF" w:rsidR="00B72ADF" w:rsidP="730F9435" w:rsidRDefault="00B72ADF" w14:paraId="62A807B1" w14:textId="5B4E82E6">
          <w:pPr>
            <w:pStyle w:val="TOC1"/>
            <w:tabs>
              <w:tab w:val="right" w:leader="dot" w:pos="9015"/>
            </w:tabs>
            <w:bidi w:val="0"/>
            <w:rPr>
              <w:rStyle w:val="Hyperlink"/>
            </w:rPr>
          </w:pPr>
          <w:hyperlink w:anchor="_Toc479254488">
            <w:r w:rsidRPr="730F9435" w:rsidR="730F9435">
              <w:rPr>
                <w:rStyle w:val="Hyperlink"/>
              </w:rPr>
              <w:t>5.0 Cultural Constraints on Organisational Effectiveness</w:t>
            </w:r>
            <w:r>
              <w:tab/>
            </w:r>
            <w:r>
              <w:fldChar w:fldCharType="begin"/>
            </w:r>
            <w:r>
              <w:instrText xml:space="preserve">PAGEREF _Toc479254488 \h</w:instrText>
            </w:r>
            <w:r>
              <w:fldChar w:fldCharType="separate"/>
            </w:r>
            <w:r w:rsidRPr="730F9435" w:rsidR="730F9435">
              <w:rPr>
                <w:rStyle w:val="Hyperlink"/>
              </w:rPr>
              <w:t>8</w:t>
            </w:r>
            <w:r>
              <w:fldChar w:fldCharType="end"/>
            </w:r>
          </w:hyperlink>
        </w:p>
        <w:p w:rsidRPr="00B72ADF" w:rsidR="00B72ADF" w:rsidP="730F9435" w:rsidRDefault="00B72ADF" w14:paraId="1E798F42" w14:textId="696396FA">
          <w:pPr>
            <w:pStyle w:val="TOC1"/>
            <w:tabs>
              <w:tab w:val="right" w:leader="dot" w:pos="9015"/>
            </w:tabs>
            <w:bidi w:val="0"/>
            <w:rPr>
              <w:rStyle w:val="Hyperlink"/>
            </w:rPr>
          </w:pPr>
          <w:hyperlink w:anchor="_Toc1149229681">
            <w:r w:rsidRPr="730F9435" w:rsidR="730F9435">
              <w:rPr>
                <w:rStyle w:val="Hyperlink"/>
              </w:rPr>
              <w:t>6.0 Culture–Performance Relationships</w:t>
            </w:r>
            <w:r>
              <w:tab/>
            </w:r>
            <w:r>
              <w:fldChar w:fldCharType="begin"/>
            </w:r>
            <w:r>
              <w:instrText xml:space="preserve">PAGEREF _Toc1149229681 \h</w:instrText>
            </w:r>
            <w:r>
              <w:fldChar w:fldCharType="separate"/>
            </w:r>
            <w:r w:rsidRPr="730F9435" w:rsidR="730F9435">
              <w:rPr>
                <w:rStyle w:val="Hyperlink"/>
              </w:rPr>
              <w:t>9</w:t>
            </w:r>
            <w:r>
              <w:fldChar w:fldCharType="end"/>
            </w:r>
          </w:hyperlink>
        </w:p>
        <w:p w:rsidRPr="00B72ADF" w:rsidR="00B72ADF" w:rsidP="730F9435" w:rsidRDefault="00B72ADF" w14:paraId="4B1D8E91" w14:textId="44E9BB2A">
          <w:pPr>
            <w:pStyle w:val="TOC1"/>
            <w:tabs>
              <w:tab w:val="right" w:leader="dot" w:pos="9015"/>
            </w:tabs>
            <w:bidi w:val="0"/>
            <w:rPr>
              <w:rStyle w:val="Hyperlink"/>
            </w:rPr>
          </w:pPr>
          <w:hyperlink w:anchor="_Toc103224803">
            <w:r w:rsidRPr="730F9435" w:rsidR="730F9435">
              <w:rPr>
                <w:rStyle w:val="Hyperlink"/>
              </w:rPr>
              <w:t>7.0 Recommendations</w:t>
            </w:r>
            <w:r>
              <w:tab/>
            </w:r>
            <w:r>
              <w:fldChar w:fldCharType="begin"/>
            </w:r>
            <w:r>
              <w:instrText xml:space="preserve">PAGEREF _Toc103224803 \h</w:instrText>
            </w:r>
            <w:r>
              <w:fldChar w:fldCharType="separate"/>
            </w:r>
            <w:r w:rsidRPr="730F9435" w:rsidR="730F9435">
              <w:rPr>
                <w:rStyle w:val="Hyperlink"/>
              </w:rPr>
              <w:t>9</w:t>
            </w:r>
            <w:r>
              <w:fldChar w:fldCharType="end"/>
            </w:r>
          </w:hyperlink>
        </w:p>
        <w:p w:rsidRPr="00B72ADF" w:rsidR="00B72ADF" w:rsidP="730F9435" w:rsidRDefault="00B72ADF" w14:paraId="10215D29" w14:textId="4EAEB62F">
          <w:pPr>
            <w:pStyle w:val="TOC1"/>
            <w:tabs>
              <w:tab w:val="right" w:leader="dot" w:pos="9015"/>
            </w:tabs>
            <w:bidi w:val="0"/>
            <w:rPr>
              <w:rStyle w:val="Hyperlink"/>
            </w:rPr>
          </w:pPr>
          <w:hyperlink w:anchor="_Toc997843897">
            <w:r w:rsidRPr="730F9435" w:rsidR="730F9435">
              <w:rPr>
                <w:rStyle w:val="Hyperlink"/>
              </w:rPr>
              <w:t>8.0 Conclusion</w:t>
            </w:r>
            <w:r>
              <w:tab/>
            </w:r>
            <w:r>
              <w:fldChar w:fldCharType="begin"/>
            </w:r>
            <w:r>
              <w:instrText xml:space="preserve">PAGEREF _Toc997843897 \h</w:instrText>
            </w:r>
            <w:r>
              <w:fldChar w:fldCharType="separate"/>
            </w:r>
            <w:r w:rsidRPr="730F9435" w:rsidR="730F9435">
              <w:rPr>
                <w:rStyle w:val="Hyperlink"/>
              </w:rPr>
              <w:t>10</w:t>
            </w:r>
            <w:r>
              <w:fldChar w:fldCharType="end"/>
            </w:r>
          </w:hyperlink>
        </w:p>
        <w:p w:rsidRPr="00B72ADF" w:rsidR="00B72ADF" w:rsidP="730F9435" w:rsidRDefault="00B72ADF" w14:paraId="0A624811" w14:textId="61D21B92">
          <w:pPr>
            <w:pStyle w:val="TOC1"/>
            <w:tabs>
              <w:tab w:val="right" w:leader="dot" w:pos="9015"/>
            </w:tabs>
            <w:bidi w:val="0"/>
            <w:rPr>
              <w:rStyle w:val="Hyperlink"/>
            </w:rPr>
          </w:pPr>
          <w:hyperlink w:anchor="_Toc437646234">
            <w:r w:rsidRPr="730F9435" w:rsidR="730F9435">
              <w:rPr>
                <w:rStyle w:val="Hyperlink"/>
              </w:rPr>
              <w:t>References</w:t>
            </w:r>
            <w:r>
              <w:tab/>
            </w:r>
            <w:r>
              <w:fldChar w:fldCharType="begin"/>
            </w:r>
            <w:r>
              <w:instrText xml:space="preserve">PAGEREF _Toc437646234 \h</w:instrText>
            </w:r>
            <w:r>
              <w:fldChar w:fldCharType="separate"/>
            </w:r>
            <w:r w:rsidRPr="730F9435" w:rsidR="730F9435">
              <w:rPr>
                <w:rStyle w:val="Hyperlink"/>
              </w:rPr>
              <w:t>11</w:t>
            </w:r>
            <w:r>
              <w:fldChar w:fldCharType="end"/>
            </w:r>
          </w:hyperlink>
          <w:r>
            <w:fldChar w:fldCharType="end"/>
          </w:r>
        </w:p>
      </w:sdtContent>
    </w:sdt>
    <w:p w:rsidRPr="00B72ADF" w:rsidR="00B72ADF" w:rsidP="730F9435" w:rsidRDefault="00B72ADF" w14:paraId="68808036" w14:textId="4A3C0C21">
      <w:pPr>
        <w:pStyle w:val="Normal"/>
      </w:pPr>
    </w:p>
    <w:sdt>
      <w:sdtPr>
        <w:id w:val="364867582"/>
        <w:docPartObj>
          <w:docPartGallery w:val="Table of Contents"/>
          <w:docPartUnique/>
        </w:docPartObj>
      </w:sdtPr>
      <w:sdtContent>
        <w:p w:rsidRPr="00B72ADF" w:rsidR="00B72ADF" w:rsidP="730F9435" w:rsidRDefault="00B72ADF" w14:paraId="36005F84" w14:textId="584FF848">
          <w:pPr>
            <w:pStyle w:val="TOC1"/>
            <w:tabs>
              <w:tab w:val="right" w:leader="dot" w:pos="9015"/>
            </w:tabs>
            <w:bidi w:val="0"/>
            <w:rPr>
              <w:rStyle w:val="Hyperlink"/>
            </w:rPr>
          </w:pPr>
          <w:r>
            <w:fldChar w:fldCharType="begin"/>
          </w:r>
          <w:r>
            <w:instrText xml:space="preserve">TOC \o \z \u \h</w:instrText>
          </w:r>
          <w:r>
            <w:fldChar w:fldCharType="separate"/>
          </w:r>
          <w:hyperlink w:anchor="_Toc2135174970">
            <w:r w:rsidRPr="730F9435" w:rsidR="730F9435">
              <w:rPr>
                <w:rStyle w:val="Hyperlink"/>
              </w:rPr>
              <w:t>Introduction</w:t>
            </w:r>
            <w:r>
              <w:tab/>
            </w:r>
            <w:r>
              <w:fldChar w:fldCharType="begin"/>
            </w:r>
            <w:r>
              <w:instrText xml:space="preserve">PAGEREF _Toc2135174970 \h</w:instrText>
            </w:r>
            <w:r>
              <w:fldChar w:fldCharType="separate"/>
            </w:r>
            <w:r w:rsidRPr="730F9435" w:rsidR="730F9435">
              <w:rPr>
                <w:rStyle w:val="Hyperlink"/>
              </w:rPr>
              <w:t>1</w:t>
            </w:r>
            <w:r>
              <w:fldChar w:fldCharType="end"/>
            </w:r>
          </w:hyperlink>
        </w:p>
        <w:p w:rsidRPr="00B72ADF" w:rsidR="00B72ADF" w:rsidP="730F9435" w:rsidRDefault="00B72ADF" w14:paraId="56DAD6DF" w14:textId="422D27A2">
          <w:pPr>
            <w:pStyle w:val="TOC1"/>
            <w:tabs>
              <w:tab w:val="right" w:leader="dot" w:pos="9015"/>
            </w:tabs>
            <w:bidi w:val="0"/>
            <w:rPr>
              <w:rStyle w:val="Hyperlink"/>
            </w:rPr>
          </w:pPr>
          <w:hyperlink w:anchor="_Toc400930874">
            <w:r w:rsidRPr="730F9435" w:rsidR="730F9435">
              <w:rPr>
                <w:rStyle w:val="Hyperlink"/>
              </w:rPr>
              <w:t>2.0 Organisational Culture, Structure and Decision-Making at Toyota</w:t>
            </w:r>
            <w:r>
              <w:tab/>
            </w:r>
            <w:r>
              <w:fldChar w:fldCharType="begin"/>
            </w:r>
            <w:r>
              <w:instrText xml:space="preserve">PAGEREF _Toc400930874 \h</w:instrText>
            </w:r>
            <w:r>
              <w:fldChar w:fldCharType="separate"/>
            </w:r>
            <w:r w:rsidRPr="730F9435" w:rsidR="730F9435">
              <w:rPr>
                <w:rStyle w:val="Hyperlink"/>
              </w:rPr>
              <w:t>3</w:t>
            </w:r>
            <w:r>
              <w:fldChar w:fldCharType="end"/>
            </w:r>
          </w:hyperlink>
        </w:p>
        <w:p w:rsidRPr="00B72ADF" w:rsidR="00B72ADF" w:rsidP="730F9435" w:rsidRDefault="00B72ADF" w14:paraId="71181FB1" w14:textId="6FCF5CC0">
          <w:pPr>
            <w:pStyle w:val="TOC1"/>
            <w:tabs>
              <w:tab w:val="right" w:leader="dot" w:pos="9015"/>
            </w:tabs>
            <w:bidi w:val="0"/>
            <w:rPr>
              <w:rStyle w:val="Hyperlink"/>
            </w:rPr>
          </w:pPr>
          <w:hyperlink w:anchor="_Toc498406519">
            <w:r w:rsidRPr="730F9435" w:rsidR="730F9435">
              <w:rPr>
                <w:rStyle w:val="Hyperlink"/>
              </w:rPr>
              <w:t>3.0 Analysing Toyota’s Organisational Culture Through Theoretical Lenses</w:t>
            </w:r>
            <w:r>
              <w:tab/>
            </w:r>
            <w:r>
              <w:fldChar w:fldCharType="begin"/>
            </w:r>
            <w:r>
              <w:instrText xml:space="preserve">PAGEREF _Toc498406519 \h</w:instrText>
            </w:r>
            <w:r>
              <w:fldChar w:fldCharType="separate"/>
            </w:r>
            <w:r w:rsidRPr="730F9435" w:rsidR="730F9435">
              <w:rPr>
                <w:rStyle w:val="Hyperlink"/>
              </w:rPr>
              <w:t>5</w:t>
            </w:r>
            <w:r>
              <w:fldChar w:fldCharType="end"/>
            </w:r>
          </w:hyperlink>
        </w:p>
        <w:p w:rsidRPr="00B72ADF" w:rsidR="00B72ADF" w:rsidP="730F9435" w:rsidRDefault="00B72ADF" w14:paraId="777628AA" w14:textId="7A293413">
          <w:pPr>
            <w:pStyle w:val="TOC1"/>
            <w:tabs>
              <w:tab w:val="right" w:leader="dot" w:pos="9015"/>
            </w:tabs>
            <w:bidi w:val="0"/>
            <w:rPr>
              <w:rStyle w:val="Hyperlink"/>
            </w:rPr>
          </w:pPr>
          <w:hyperlink w:anchor="_Toc438382951">
            <w:r w:rsidRPr="730F9435" w:rsidR="730F9435">
              <w:rPr>
                <w:rStyle w:val="Hyperlink"/>
              </w:rPr>
              <w:t>3.2 Hofstede’s Cultural Dimensions</w:t>
            </w:r>
            <w:r>
              <w:tab/>
            </w:r>
            <w:r>
              <w:fldChar w:fldCharType="begin"/>
            </w:r>
            <w:r>
              <w:instrText xml:space="preserve">PAGEREF _Toc438382951 \h</w:instrText>
            </w:r>
            <w:r>
              <w:fldChar w:fldCharType="separate"/>
            </w:r>
            <w:r w:rsidRPr="730F9435" w:rsidR="730F9435">
              <w:rPr>
                <w:rStyle w:val="Hyperlink"/>
              </w:rPr>
              <w:t>6</w:t>
            </w:r>
            <w:r>
              <w:fldChar w:fldCharType="end"/>
            </w:r>
          </w:hyperlink>
        </w:p>
        <w:p w:rsidRPr="00B72ADF" w:rsidR="00B72ADF" w:rsidP="730F9435" w:rsidRDefault="00B72ADF" w14:paraId="7F71F57E" w14:textId="45229948">
          <w:pPr>
            <w:pStyle w:val="TOC1"/>
            <w:tabs>
              <w:tab w:val="right" w:leader="dot" w:pos="9015"/>
            </w:tabs>
            <w:bidi w:val="0"/>
            <w:rPr>
              <w:rStyle w:val="Hyperlink"/>
            </w:rPr>
          </w:pPr>
          <w:hyperlink w:anchor="_Toc903168191">
            <w:r w:rsidRPr="730F9435" w:rsidR="730F9435">
              <w:rPr>
                <w:rStyle w:val="Hyperlink"/>
              </w:rPr>
              <w:t>3.3 Handy’s Cultural Typology</w:t>
            </w:r>
            <w:r>
              <w:tab/>
            </w:r>
            <w:r>
              <w:fldChar w:fldCharType="begin"/>
            </w:r>
            <w:r>
              <w:instrText xml:space="preserve">PAGEREF _Toc903168191 \h</w:instrText>
            </w:r>
            <w:r>
              <w:fldChar w:fldCharType="separate"/>
            </w:r>
            <w:r w:rsidRPr="730F9435" w:rsidR="730F9435">
              <w:rPr>
                <w:rStyle w:val="Hyperlink"/>
              </w:rPr>
              <w:t>7</w:t>
            </w:r>
            <w:r>
              <w:fldChar w:fldCharType="end"/>
            </w:r>
          </w:hyperlink>
        </w:p>
        <w:p w:rsidRPr="00B72ADF" w:rsidR="00B72ADF" w:rsidP="730F9435" w:rsidRDefault="00B72ADF" w14:paraId="28BAA430" w14:textId="0DA1628D">
          <w:pPr>
            <w:pStyle w:val="TOC1"/>
            <w:tabs>
              <w:tab w:val="right" w:leader="dot" w:pos="9015"/>
            </w:tabs>
            <w:bidi w:val="0"/>
            <w:rPr>
              <w:rStyle w:val="Hyperlink"/>
            </w:rPr>
          </w:pPr>
          <w:hyperlink w:anchor="_Toc1460781409">
            <w:r w:rsidRPr="730F9435" w:rsidR="730F9435">
              <w:rPr>
                <w:rStyle w:val="Hyperlink"/>
              </w:rPr>
              <w:t>4.0 Organisational Culture and Environmental Adaptation</w:t>
            </w:r>
            <w:r>
              <w:tab/>
            </w:r>
            <w:r>
              <w:fldChar w:fldCharType="begin"/>
            </w:r>
            <w:r>
              <w:instrText xml:space="preserve">PAGEREF _Toc1460781409 \h</w:instrText>
            </w:r>
            <w:r>
              <w:fldChar w:fldCharType="separate"/>
            </w:r>
            <w:r w:rsidRPr="730F9435" w:rsidR="730F9435">
              <w:rPr>
                <w:rStyle w:val="Hyperlink"/>
              </w:rPr>
              <w:t>7</w:t>
            </w:r>
            <w:r>
              <w:fldChar w:fldCharType="end"/>
            </w:r>
          </w:hyperlink>
        </w:p>
        <w:p w:rsidRPr="00B72ADF" w:rsidR="00B72ADF" w:rsidP="730F9435" w:rsidRDefault="00B72ADF" w14:paraId="1F9FD8DE" w14:textId="1DD41829">
          <w:pPr>
            <w:pStyle w:val="TOC1"/>
            <w:tabs>
              <w:tab w:val="right" w:leader="dot" w:pos="9015"/>
            </w:tabs>
            <w:bidi w:val="0"/>
            <w:rPr>
              <w:rStyle w:val="Hyperlink"/>
            </w:rPr>
          </w:pPr>
          <w:hyperlink w:anchor="_Toc1579411757">
            <w:r w:rsidRPr="730F9435" w:rsidR="730F9435">
              <w:rPr>
                <w:rStyle w:val="Hyperlink"/>
              </w:rPr>
              <w:t>5.0 Cultural Constraints on Organisational Effectiveness</w:t>
            </w:r>
            <w:r>
              <w:tab/>
            </w:r>
            <w:r>
              <w:fldChar w:fldCharType="begin"/>
            </w:r>
            <w:r>
              <w:instrText xml:space="preserve">PAGEREF _Toc1579411757 \h</w:instrText>
            </w:r>
            <w:r>
              <w:fldChar w:fldCharType="separate"/>
            </w:r>
            <w:r w:rsidRPr="730F9435" w:rsidR="730F9435">
              <w:rPr>
                <w:rStyle w:val="Hyperlink"/>
              </w:rPr>
              <w:t>8</w:t>
            </w:r>
            <w:r>
              <w:fldChar w:fldCharType="end"/>
            </w:r>
          </w:hyperlink>
        </w:p>
        <w:p w:rsidRPr="00B72ADF" w:rsidR="00B72ADF" w:rsidP="730F9435" w:rsidRDefault="00B72ADF" w14:paraId="3E42FE3B" w14:textId="1E2AFF07">
          <w:pPr>
            <w:pStyle w:val="TOC1"/>
            <w:tabs>
              <w:tab w:val="right" w:leader="dot" w:pos="9015"/>
            </w:tabs>
            <w:bidi w:val="0"/>
            <w:rPr>
              <w:rStyle w:val="Hyperlink"/>
            </w:rPr>
          </w:pPr>
          <w:hyperlink w:anchor="_Toc616225866">
            <w:r w:rsidRPr="730F9435" w:rsidR="730F9435">
              <w:rPr>
                <w:rStyle w:val="Hyperlink"/>
              </w:rPr>
              <w:t>6.0 Culture–Performance Relationships</w:t>
            </w:r>
            <w:r>
              <w:tab/>
            </w:r>
            <w:r>
              <w:fldChar w:fldCharType="begin"/>
            </w:r>
            <w:r>
              <w:instrText xml:space="preserve">PAGEREF _Toc616225866 \h</w:instrText>
            </w:r>
            <w:r>
              <w:fldChar w:fldCharType="separate"/>
            </w:r>
            <w:r w:rsidRPr="730F9435" w:rsidR="730F9435">
              <w:rPr>
                <w:rStyle w:val="Hyperlink"/>
              </w:rPr>
              <w:t>9</w:t>
            </w:r>
            <w:r>
              <w:fldChar w:fldCharType="end"/>
            </w:r>
          </w:hyperlink>
        </w:p>
        <w:p w:rsidRPr="00B72ADF" w:rsidR="00B72ADF" w:rsidP="730F9435" w:rsidRDefault="00B72ADF" w14:paraId="42EEDA87" w14:textId="51444104">
          <w:pPr>
            <w:pStyle w:val="TOC1"/>
            <w:tabs>
              <w:tab w:val="right" w:leader="dot" w:pos="9015"/>
            </w:tabs>
            <w:bidi w:val="0"/>
            <w:rPr>
              <w:rStyle w:val="Hyperlink"/>
            </w:rPr>
          </w:pPr>
          <w:hyperlink w:anchor="_Toc1181283516">
            <w:r w:rsidRPr="730F9435" w:rsidR="730F9435">
              <w:rPr>
                <w:rStyle w:val="Hyperlink"/>
              </w:rPr>
              <w:t>7.0 Recommendations</w:t>
            </w:r>
            <w:r>
              <w:tab/>
            </w:r>
            <w:r>
              <w:fldChar w:fldCharType="begin"/>
            </w:r>
            <w:r>
              <w:instrText xml:space="preserve">PAGEREF _Toc1181283516 \h</w:instrText>
            </w:r>
            <w:r>
              <w:fldChar w:fldCharType="separate"/>
            </w:r>
            <w:r w:rsidRPr="730F9435" w:rsidR="730F9435">
              <w:rPr>
                <w:rStyle w:val="Hyperlink"/>
              </w:rPr>
              <w:t>10</w:t>
            </w:r>
            <w:r>
              <w:fldChar w:fldCharType="end"/>
            </w:r>
          </w:hyperlink>
        </w:p>
        <w:p w:rsidRPr="00B72ADF" w:rsidR="00B72ADF" w:rsidP="730F9435" w:rsidRDefault="00B72ADF" w14:paraId="63C698AA" w14:textId="66466F56">
          <w:pPr>
            <w:pStyle w:val="TOC1"/>
            <w:tabs>
              <w:tab w:val="right" w:leader="dot" w:pos="9015"/>
            </w:tabs>
            <w:bidi w:val="0"/>
            <w:rPr>
              <w:rStyle w:val="Hyperlink"/>
            </w:rPr>
          </w:pPr>
          <w:hyperlink w:anchor="_Toc274893682">
            <w:r w:rsidRPr="730F9435" w:rsidR="730F9435">
              <w:rPr>
                <w:rStyle w:val="Hyperlink"/>
              </w:rPr>
              <w:t>8.0 Conclusion</w:t>
            </w:r>
            <w:r>
              <w:tab/>
            </w:r>
            <w:r>
              <w:fldChar w:fldCharType="begin"/>
            </w:r>
            <w:r>
              <w:instrText xml:space="preserve">PAGEREF _Toc274893682 \h</w:instrText>
            </w:r>
            <w:r>
              <w:fldChar w:fldCharType="separate"/>
            </w:r>
            <w:r w:rsidRPr="730F9435" w:rsidR="730F9435">
              <w:rPr>
                <w:rStyle w:val="Hyperlink"/>
              </w:rPr>
              <w:t>11</w:t>
            </w:r>
            <w:r>
              <w:fldChar w:fldCharType="end"/>
            </w:r>
          </w:hyperlink>
        </w:p>
        <w:p w:rsidRPr="00B72ADF" w:rsidR="00B72ADF" w:rsidP="730F9435" w:rsidRDefault="00B72ADF" w14:paraId="56F27647" w14:textId="475F8EA6">
          <w:pPr>
            <w:pStyle w:val="TOC1"/>
            <w:tabs>
              <w:tab w:val="right" w:leader="dot" w:pos="9015"/>
            </w:tabs>
            <w:bidi w:val="0"/>
            <w:rPr>
              <w:rStyle w:val="Hyperlink"/>
            </w:rPr>
          </w:pPr>
          <w:hyperlink w:anchor="_Toc840360084">
            <w:r w:rsidRPr="730F9435" w:rsidR="730F9435">
              <w:rPr>
                <w:rStyle w:val="Hyperlink"/>
              </w:rPr>
              <w:t>References</w:t>
            </w:r>
            <w:r>
              <w:tab/>
            </w:r>
            <w:r>
              <w:fldChar w:fldCharType="begin"/>
            </w:r>
            <w:r>
              <w:instrText xml:space="preserve">PAGEREF _Toc840360084 \h</w:instrText>
            </w:r>
            <w:r>
              <w:fldChar w:fldCharType="separate"/>
            </w:r>
            <w:r w:rsidRPr="730F9435" w:rsidR="730F9435">
              <w:rPr>
                <w:rStyle w:val="Hyperlink"/>
              </w:rPr>
              <w:t>12</w:t>
            </w:r>
            <w:r>
              <w:fldChar w:fldCharType="end"/>
            </w:r>
          </w:hyperlink>
          <w:r>
            <w:fldChar w:fldCharType="end"/>
          </w:r>
        </w:p>
      </w:sdtContent>
    </w:sdt>
    <w:p w:rsidRPr="00B72ADF" w:rsidR="00B72ADF" w:rsidP="730F9435" w:rsidRDefault="00B72ADF" w14:paraId="65B97E49" w14:textId="2BF82EBA">
      <w:pPr>
        <w:pStyle w:val="Normal"/>
      </w:pPr>
    </w:p>
    <w:p w:rsidRPr="00B72ADF" w:rsidR="00B72ADF" w:rsidP="730F9435" w:rsidRDefault="00B72ADF" w14:paraId="0F4DEF42" w14:textId="2D32FE0D">
      <w:pPr>
        <w:pStyle w:val="Heading1"/>
        <w:rPr>
          <w:rFonts w:ascii="Arial" w:hAnsi="Arial" w:eastAsia="Arial" w:cs="Arial"/>
        </w:rPr>
      </w:pPr>
    </w:p>
    <w:p w:rsidRPr="00B72ADF" w:rsidR="00B72ADF" w:rsidP="730F9435" w:rsidRDefault="00B72ADF" w14:paraId="5E2A697E" w14:textId="01AEA335">
      <w:pPr>
        <w:pStyle w:val="Heading1"/>
        <w:rPr>
          <w:rFonts w:ascii="Arial" w:hAnsi="Arial" w:eastAsia="Arial" w:cs="Arial"/>
        </w:rPr>
      </w:pPr>
    </w:p>
    <w:p w:rsidRPr="00B72ADF" w:rsidR="00B72ADF" w:rsidP="730F9435" w:rsidRDefault="00B72ADF" w14:paraId="386365FB" w14:textId="22DD7813">
      <w:pPr>
        <w:pStyle w:val="Heading1"/>
        <w:rPr>
          <w:rFonts w:ascii="Arial" w:hAnsi="Arial" w:eastAsia="Arial" w:cs="Arial"/>
        </w:rPr>
      </w:pPr>
      <w:bookmarkStart w:name="_Toc2135174970" w:id="1946307421"/>
      <w:bookmarkStart w:name="_Toc1053248440" w:id="2117083865"/>
      <w:r w:rsidRPr="730F9435" w:rsidR="6613F30C">
        <w:rPr>
          <w:rFonts w:ascii="Arial" w:hAnsi="Arial" w:eastAsia="Arial" w:cs="Arial"/>
        </w:rPr>
        <w:t>Introduction</w:t>
      </w:r>
      <w:bookmarkEnd w:id="1946307421"/>
      <w:bookmarkEnd w:id="2117083865"/>
    </w:p>
    <w:p w:rsidRPr="00B72ADF" w:rsidR="00B72ADF" w:rsidP="00B72ADF" w:rsidRDefault="00B72ADF" w14:paraId="584C2B05" w14:textId="77777777">
      <w:pPr>
        <w:pStyle w:val="ListParagraph"/>
        <w:numPr>
          <w:ilvl w:val="0"/>
          <w:numId w:val="2"/>
        </w:numPr>
        <w:rPr>
          <w:rFonts w:ascii="Arial" w:hAnsi="Arial" w:eastAsia="Arial" w:cs="Arial"/>
        </w:rPr>
      </w:pPr>
    </w:p>
    <w:p w:rsidR="00B72ADF" w:rsidP="71C39D64" w:rsidRDefault="00B72ADF" w14:paraId="7D1B3AAD" w14:textId="77777777">
      <w:pPr>
        <w:rPr>
          <w:rFonts w:ascii="Arial" w:hAnsi="Arial" w:eastAsia="Arial" w:cs="Arial"/>
        </w:rPr>
      </w:pPr>
      <w:r>
        <w:rPr>
          <w:rFonts w:ascii="Arial" w:hAnsi="Arial" w:eastAsia="Arial" w:cs="Arial"/>
        </w:rPr>
        <w:t>Organisational culture operates as the invisible architecture through which shared assumptions, values, and behavioural scripts coordinate collective action without explicit directive. Mullins and Christy (2016) conceptualise this architecture as shaping how organisational members interpret strategic priorities, negotiate problem resolution, and mobilise responses to environmental shifts. In contemporary business environments characterised by technological discontinuity, geopolitical fragmentation, and workforce demographic transformation, culture has migrated from peripheral human resource concern to central strategic capability. Adaptive cultural configurations enable organisational responsiveness, whereas rigid cultural formations may generate strategic inertia and competitive vulnerability (Schein and Schein, 2017).</w:t>
      </w:r>
    </w:p>
    <w:p w:rsidR="00B72ADF" w:rsidP="71C39D64" w:rsidRDefault="00B72ADF" w14:paraId="18A6F337" w14:textId="77777777">
      <w:pPr>
        <w:rPr>
          <w:rFonts w:ascii="Arial" w:hAnsi="Arial" w:eastAsia="Arial" w:cs="Arial"/>
        </w:rPr>
      </w:pPr>
    </w:p>
    <w:p w:rsidR="00B72ADF" w:rsidP="71C39D64" w:rsidRDefault="00B72ADF" w14:paraId="777FEC39" w14:textId="69B72105">
      <w:pPr>
        <w:rPr>
          <w:rFonts w:ascii="Arial" w:hAnsi="Arial" w:eastAsia="Arial" w:cs="Arial"/>
        </w:rPr>
      </w:pPr>
      <w:r w:rsidRPr="730F9435" w:rsidR="6613F30C">
        <w:rPr>
          <w:rFonts w:ascii="Arial" w:hAnsi="Arial" w:eastAsia="Arial" w:cs="Arial"/>
        </w:rPr>
        <w:t xml:space="preserve">For multinational corporations spanning heterogeneous institutional contexts, culture </w:t>
      </w:r>
      <w:r w:rsidRPr="730F9435" w:rsidR="6613F30C">
        <w:rPr>
          <w:rFonts w:ascii="Arial" w:hAnsi="Arial" w:eastAsia="Arial" w:cs="Arial"/>
        </w:rPr>
        <w:t>provides</w:t>
      </w:r>
      <w:r w:rsidRPr="730F9435" w:rsidR="6613F30C">
        <w:rPr>
          <w:rFonts w:ascii="Arial" w:hAnsi="Arial" w:eastAsia="Arial" w:cs="Arial"/>
        </w:rPr>
        <w:t xml:space="preserve"> the integrative mechanism aligning geographically dispersed operations with unified strategic intent. Leadership </w:t>
      </w:r>
      <w:r w:rsidRPr="730F9435" w:rsidR="6613F30C">
        <w:rPr>
          <w:rFonts w:ascii="Arial" w:hAnsi="Arial" w:eastAsia="Arial" w:cs="Arial"/>
        </w:rPr>
        <w:t>consequently</w:t>
      </w:r>
      <w:r w:rsidRPr="730F9435" w:rsidR="6613F30C">
        <w:rPr>
          <w:rFonts w:ascii="Arial" w:hAnsi="Arial" w:eastAsia="Arial" w:cs="Arial"/>
        </w:rPr>
        <w:t xml:space="preserve"> assumes decisive significance in ensuring cultural values sustain long-term competitiveness while </w:t>
      </w:r>
      <w:r w:rsidRPr="730F9435" w:rsidR="6613F30C">
        <w:rPr>
          <w:rFonts w:ascii="Arial" w:hAnsi="Arial" w:eastAsia="Arial" w:cs="Arial"/>
        </w:rPr>
        <w:t>retaining</w:t>
      </w:r>
      <w:r w:rsidRPr="730F9435" w:rsidR="6613F30C">
        <w:rPr>
          <w:rFonts w:ascii="Arial" w:hAnsi="Arial" w:eastAsia="Arial" w:cs="Arial"/>
        </w:rPr>
        <w:t xml:space="preserve"> sufficient plasticity to accommodate environmental turbulence. From a critical leadership perspective, organisational culture functions not merely as shared meaning system but as strategic apparatus through which direction is interpreted, contested, and enacted across global operations.</w:t>
      </w:r>
    </w:p>
    <w:p w:rsidR="00B72ADF" w:rsidP="71C39D64" w:rsidRDefault="00B72ADF" w14:paraId="7D702749" w14:textId="42522517">
      <w:pPr>
        <w:rPr>
          <w:rFonts w:ascii="Arial" w:hAnsi="Arial" w:eastAsia="Arial" w:cs="Arial"/>
        </w:rPr>
      </w:pPr>
      <w:r w:rsidRPr="730F9435" w:rsidR="6613F30C">
        <w:rPr>
          <w:rFonts w:ascii="Arial" w:hAnsi="Arial" w:eastAsia="Arial" w:cs="Arial"/>
        </w:rPr>
        <w:t xml:space="preserve">Toyota Motor Corporation presents a critical case for interrogating culture-structure-performance relationships. As the automotive sector’s most valuable manufacturer by market capitalisation (300bn as of 2024), Toyota has sustained competitive advantage across eight decades through distinctive operational philosophy—the “Toyota Way”—and production </w:t>
      </w:r>
      <w:r w:rsidRPr="730F9435" w:rsidR="6613F30C">
        <w:rPr>
          <w:rFonts w:ascii="Arial" w:hAnsi="Arial" w:eastAsia="Arial" w:cs="Arial"/>
        </w:rPr>
        <w:t>methodology</w:t>
      </w:r>
      <w:r w:rsidRPr="730F9435" w:rsidR="6613F30C">
        <w:rPr>
          <w:rFonts w:ascii="Arial" w:hAnsi="Arial" w:eastAsia="Arial" w:cs="Arial"/>
        </w:rPr>
        <w:t>, the Toyota Production System (TPS) (Toyota, 2024). However, the organisation now confronts unprecedented strategic discontinuity: global propulsion system electrification, software-centric vehicle architecture, and aggressive competition from unencumbered entrants including Tesla (800bn market cap) and BYD. These developments challenge manufacturing paradigms optimised for mechanical precision and incremental refinement.</w:t>
      </w:r>
    </w:p>
    <w:p w:rsidR="00B72ADF" w:rsidP="71C39D64" w:rsidRDefault="00B72ADF" w14:paraId="52A00C10" w14:textId="62C3105E">
      <w:pPr>
        <w:rPr>
          <w:rFonts w:ascii="Arial" w:hAnsi="Arial" w:eastAsia="Arial" w:cs="Arial"/>
        </w:rPr>
      </w:pPr>
      <w:r w:rsidRPr="730F9435" w:rsidR="6613F30C">
        <w:rPr>
          <w:rFonts w:ascii="Arial" w:hAnsi="Arial" w:eastAsia="Arial" w:cs="Arial"/>
        </w:rPr>
        <w:t xml:space="preserve">Toyota’s delayed electrification strategy—ceding first-mover advantage to Tesla despite pioneering hybrid technology with the 1997 Prius—suggests potential cultural constraints on strategic adaptation. The 2023 announcement of ¥1.5 trillion (10bn) dedicated battery investment and </w:t>
      </w:r>
      <w:r w:rsidRPr="730F9435" w:rsidR="6613F30C">
        <w:rPr>
          <w:rFonts w:ascii="Arial" w:hAnsi="Arial" w:eastAsia="Arial" w:cs="Arial"/>
        </w:rPr>
        <w:t>subsequent</w:t>
      </w:r>
      <w:r w:rsidRPr="730F9435" w:rsidR="6613F30C">
        <w:rPr>
          <w:rFonts w:ascii="Arial" w:hAnsi="Arial" w:eastAsia="Arial" w:cs="Arial"/>
        </w:rPr>
        <w:t xml:space="preserve"> restructuring initiatives </w:t>
      </w:r>
      <w:r w:rsidRPr="730F9435" w:rsidR="6613F30C">
        <w:rPr>
          <w:rFonts w:ascii="Arial" w:hAnsi="Arial" w:eastAsia="Arial" w:cs="Arial"/>
        </w:rPr>
        <w:t>indicate</w:t>
      </w:r>
      <w:r w:rsidRPr="730F9435" w:rsidR="6613F30C">
        <w:rPr>
          <w:rFonts w:ascii="Arial" w:hAnsi="Arial" w:eastAsia="Arial" w:cs="Arial"/>
        </w:rPr>
        <w:t xml:space="preserve"> recognition of cultural adaptation imperatives (Toyota, 2023). This report critically examines how Toyota’s cultural configuration interfaces with structural arrangements and performance outcomes during technological transition. Deploying Schein’s (2017) tripartite cultural model, Hofstede’s dimensional framework (Hofstede, </w:t>
      </w:r>
      <w:bookmarkStart w:name="_Int_THjCLBdb" w:id="1461121325"/>
      <w:r w:rsidRPr="730F9435" w:rsidR="6613F30C">
        <w:rPr>
          <w:rFonts w:ascii="Arial" w:hAnsi="Arial" w:eastAsia="Arial" w:cs="Arial"/>
        </w:rPr>
        <w:t>Hofstede</w:t>
      </w:r>
      <w:bookmarkEnd w:id="1461121325"/>
      <w:r w:rsidRPr="730F9435" w:rsidR="6613F30C">
        <w:rPr>
          <w:rFonts w:ascii="Arial" w:hAnsi="Arial" w:eastAsia="Arial" w:cs="Arial"/>
        </w:rPr>
        <w:t xml:space="preserve"> and </w:t>
      </w:r>
      <w:r w:rsidRPr="730F9435" w:rsidR="6613F30C">
        <w:rPr>
          <w:rFonts w:ascii="Arial" w:hAnsi="Arial" w:eastAsia="Arial" w:cs="Arial"/>
        </w:rPr>
        <w:t>Minkov</w:t>
      </w:r>
      <w:r w:rsidRPr="730F9435" w:rsidR="6613F30C">
        <w:rPr>
          <w:rFonts w:ascii="Arial" w:hAnsi="Arial" w:eastAsia="Arial" w:cs="Arial"/>
        </w:rPr>
        <w:t xml:space="preserve">, 2010), and </w:t>
      </w:r>
      <w:r w:rsidRPr="730F9435" w:rsidR="6613F30C">
        <w:rPr>
          <w:rFonts w:ascii="Arial" w:hAnsi="Arial" w:eastAsia="Arial" w:cs="Arial"/>
        </w:rPr>
        <w:t>Handy’s</w:t>
      </w:r>
      <w:r w:rsidRPr="730F9435" w:rsidR="6613F30C">
        <w:rPr>
          <w:rFonts w:ascii="Arial" w:hAnsi="Arial" w:eastAsia="Arial" w:cs="Arial"/>
        </w:rPr>
        <w:t xml:space="preserve"> (1993) cultural typology, it evaluates cultural support for or constraint upon environmental adaptation, specifically electrification and digitalisation pressures. Evidence-informed recommendations address enhancing cultural agility without sacrificing operational excellence.</w:t>
      </w:r>
    </w:p>
    <w:p w:rsidR="00B72ADF" w:rsidP="71C39D64" w:rsidRDefault="00B72ADF" w14:paraId="60FBA072" w14:textId="77777777">
      <w:pPr>
        <w:rPr>
          <w:rFonts w:ascii="Arial" w:hAnsi="Arial" w:eastAsia="Arial" w:cs="Arial"/>
        </w:rPr>
      </w:pPr>
    </w:p>
    <w:p w:rsidR="00B72ADF" w:rsidP="730F9435" w:rsidRDefault="00B72ADF" w14:paraId="30471F10" w14:textId="77777777">
      <w:pPr>
        <w:pStyle w:val="Heading1"/>
        <w:rPr>
          <w:rFonts w:ascii="Arial" w:hAnsi="Arial" w:eastAsia="Arial" w:cs="Arial"/>
        </w:rPr>
      </w:pPr>
      <w:bookmarkStart w:name="_Toc400930874" w:id="1885679001"/>
      <w:bookmarkStart w:name="_Toc727172120" w:id="1738261868"/>
      <w:r w:rsidRPr="730F9435" w:rsidR="6613F30C">
        <w:rPr>
          <w:rFonts w:ascii="Arial" w:hAnsi="Arial" w:eastAsia="Arial" w:cs="Arial"/>
        </w:rPr>
        <w:t>2.0 Organisational Culture, Structure and Decision-Making at Toyota</w:t>
      </w:r>
      <w:bookmarkEnd w:id="1885679001"/>
      <w:bookmarkEnd w:id="1738261868"/>
    </w:p>
    <w:p w:rsidR="00B72ADF" w:rsidP="71C39D64" w:rsidRDefault="00B72ADF" w14:paraId="337F8700" w14:textId="77777777">
      <w:pPr>
        <w:rPr>
          <w:rFonts w:ascii="Arial" w:hAnsi="Arial" w:eastAsia="Arial" w:cs="Arial"/>
        </w:rPr>
      </w:pPr>
    </w:p>
    <w:p w:rsidRPr="00B72ADF" w:rsidR="00B72ADF" w:rsidP="730F9435" w:rsidRDefault="00B72ADF" w14:paraId="3E6ACAD7" w14:textId="7057BEDC">
      <w:pPr>
        <w:pStyle w:val="ListParagraph"/>
        <w:numPr>
          <w:ilvl w:val="1"/>
          <w:numId w:val="2"/>
        </w:numPr>
        <w:rPr>
          <w:rFonts w:ascii="Arial" w:hAnsi="Arial" w:eastAsia="Arial" w:cs="Arial"/>
          <w:b w:val="1"/>
          <w:bCs w:val="1"/>
          <w:sz w:val="24"/>
          <w:szCs w:val="24"/>
        </w:rPr>
      </w:pPr>
      <w:r w:rsidRPr="730F9435" w:rsidR="6613F30C">
        <w:rPr>
          <w:rFonts w:ascii="Arial" w:hAnsi="Arial" w:eastAsia="Arial" w:cs="Arial"/>
          <w:b w:val="1"/>
          <w:bCs w:val="1"/>
          <w:sz w:val="24"/>
          <w:szCs w:val="24"/>
        </w:rPr>
        <w:t>Cultural Imprinting on Structural Configuration</w:t>
      </w:r>
    </w:p>
    <w:p w:rsidRPr="00B72ADF" w:rsidR="00B72ADF" w:rsidP="730F9435" w:rsidRDefault="00B72ADF" w14:paraId="21F46AA8" w14:textId="77777777">
      <w:pPr>
        <w:pStyle w:val="ListParagraph"/>
        <w:numPr>
          <w:ilvl w:val="1"/>
          <w:numId w:val="2"/>
        </w:numPr>
        <w:rPr>
          <w:rFonts w:ascii="Arial" w:hAnsi="Arial" w:eastAsia="Arial" w:cs="Arial"/>
          <w:sz w:val="28"/>
          <w:szCs w:val="28"/>
        </w:rPr>
      </w:pPr>
    </w:p>
    <w:p w:rsidR="00B72ADF" w:rsidP="71C39D64" w:rsidRDefault="00B72ADF" w14:paraId="38AC6CA0" w14:textId="77777777">
      <w:pPr>
        <w:rPr>
          <w:rFonts w:ascii="Arial" w:hAnsi="Arial" w:eastAsia="Arial" w:cs="Arial"/>
        </w:rPr>
      </w:pPr>
      <w:r>
        <w:rPr>
          <w:rFonts w:ascii="Arial" w:hAnsi="Arial" w:eastAsia="Arial" w:cs="Arial"/>
        </w:rPr>
        <w:t>Organisational structure embodies and reinforces cultural assumptions regarding legitimate authority, coordination modalities, and control mechanisms (Mullins and Christy, 2016). At Toyota, structural evolution reflects deep cultural prioritisation of operational discipline, relentless incremental improvement (kaizen), and collective accountability—yielding hybrid architectural forms combining hierarchical oversight with distributed operational autonomy.</w:t>
      </w:r>
    </w:p>
    <w:p w:rsidR="00B72ADF" w:rsidP="71C39D64" w:rsidRDefault="00B72ADF" w14:paraId="49CFF570" w14:textId="77777777">
      <w:pPr>
        <w:rPr>
          <w:rFonts w:ascii="Arial" w:hAnsi="Arial" w:eastAsia="Arial" w:cs="Arial"/>
        </w:rPr>
      </w:pPr>
    </w:p>
    <w:p w:rsidR="00B72ADF" w:rsidP="71C39D64" w:rsidRDefault="00B72ADF" w14:paraId="24E50384" w14:textId="2DC642A5">
      <w:pPr>
        <w:rPr>
          <w:rFonts w:ascii="Arial" w:hAnsi="Arial" w:eastAsia="Arial" w:cs="Arial"/>
        </w:rPr>
      </w:pPr>
      <w:r w:rsidRPr="730F9435" w:rsidR="6613F30C">
        <w:rPr>
          <w:rFonts w:ascii="Arial" w:hAnsi="Arial" w:eastAsia="Arial" w:cs="Arial"/>
        </w:rPr>
        <w:t xml:space="preserve">Strategic apexes </w:t>
      </w:r>
      <w:r w:rsidRPr="730F9435" w:rsidR="6613F30C">
        <w:rPr>
          <w:rFonts w:ascii="Arial" w:hAnsi="Arial" w:eastAsia="Arial" w:cs="Arial"/>
        </w:rPr>
        <w:t>maintain</w:t>
      </w:r>
      <w:r w:rsidRPr="730F9435" w:rsidR="6613F30C">
        <w:rPr>
          <w:rFonts w:ascii="Arial" w:hAnsi="Arial" w:eastAsia="Arial" w:cs="Arial"/>
        </w:rPr>
        <w:t xml:space="preserve"> crystallised authority through formalised reporting relationships, standardised protocols, and prescribed role boundaries, </w:t>
      </w:r>
      <w:r w:rsidRPr="730F9435" w:rsidR="6613F30C">
        <w:rPr>
          <w:rFonts w:ascii="Arial" w:hAnsi="Arial" w:eastAsia="Arial" w:cs="Arial"/>
        </w:rPr>
        <w:t>exhibiting</w:t>
      </w:r>
      <w:r w:rsidRPr="730F9435" w:rsidR="6613F30C">
        <w:rPr>
          <w:rFonts w:ascii="Arial" w:hAnsi="Arial" w:eastAsia="Arial" w:cs="Arial"/>
        </w:rPr>
        <w:t xml:space="preserve"> characteristics of </w:t>
      </w:r>
      <w:r w:rsidRPr="730F9435" w:rsidR="6613F30C">
        <w:rPr>
          <w:rFonts w:ascii="Arial" w:hAnsi="Arial" w:eastAsia="Arial" w:cs="Arial"/>
        </w:rPr>
        <w:t>Handy’s</w:t>
      </w:r>
      <w:r w:rsidRPr="730F9435" w:rsidR="6613F30C">
        <w:rPr>
          <w:rFonts w:ascii="Arial" w:hAnsi="Arial" w:eastAsia="Arial" w:cs="Arial"/>
        </w:rPr>
        <w:t xml:space="preserve"> (1993) role culture where stability </w:t>
      </w:r>
      <w:r w:rsidRPr="730F9435" w:rsidR="6613F30C">
        <w:rPr>
          <w:rFonts w:ascii="Arial" w:hAnsi="Arial" w:eastAsia="Arial" w:cs="Arial"/>
        </w:rPr>
        <w:t>emerges</w:t>
      </w:r>
      <w:r w:rsidRPr="730F9435" w:rsidR="6613F30C">
        <w:rPr>
          <w:rFonts w:ascii="Arial" w:hAnsi="Arial" w:eastAsia="Arial" w:cs="Arial"/>
        </w:rPr>
        <w:t xml:space="preserve"> from position-based rather than person-based organising logic. This structural configuration ensures consistency across Toyota’s manufacturing network encompassing 70+ facilities in 28 countries, enabling standardisation foundational to TPS quality benchmarks. The 2025 reorganisation of Toyota Motor North America (TMNA) into tripartite pillars—Manufacturing Business Operations, Manufacturing Operations, and Production Engineering—with seven regional clusters coordinating workforce deployment, supplier interfaces, and digital infrastructure under centralised governance, reinforces role culture dominance (Automotive Manufacturing Solutions, 2025).</w:t>
      </w:r>
    </w:p>
    <w:p w:rsidR="00B72ADF" w:rsidP="71C39D64" w:rsidRDefault="00B72ADF" w14:paraId="1193E7BB" w14:textId="42F2DB2D">
      <w:pPr>
        <w:rPr>
          <w:rFonts w:ascii="Arial" w:hAnsi="Arial" w:eastAsia="Arial" w:cs="Arial"/>
        </w:rPr>
      </w:pPr>
      <w:r w:rsidRPr="730F9435" w:rsidR="6613F30C">
        <w:rPr>
          <w:rFonts w:ascii="Arial" w:hAnsi="Arial" w:eastAsia="Arial" w:cs="Arial"/>
        </w:rPr>
        <w:t xml:space="preserve">However, Toyota simultaneously institutionalises distributed problem-solving authority at operational levels through </w:t>
      </w:r>
      <w:r w:rsidRPr="730F9435" w:rsidR="6613F30C">
        <w:rPr>
          <w:rFonts w:ascii="Arial" w:hAnsi="Arial" w:eastAsia="Arial" w:cs="Arial"/>
        </w:rPr>
        <w:t>jidoka</w:t>
      </w:r>
      <w:r w:rsidRPr="730F9435" w:rsidR="6613F30C">
        <w:rPr>
          <w:rFonts w:ascii="Arial" w:hAnsi="Arial" w:eastAsia="Arial" w:cs="Arial"/>
        </w:rPr>
        <w:t xml:space="preserve"> principles (</w:t>
      </w:r>
      <w:r w:rsidRPr="730F9435" w:rsidR="6613F30C">
        <w:rPr>
          <w:rFonts w:ascii="Arial" w:hAnsi="Arial" w:eastAsia="Arial" w:cs="Arial"/>
        </w:rPr>
        <w:t>autonomation</w:t>
      </w:r>
      <w:r w:rsidRPr="730F9435" w:rsidR="6613F30C">
        <w:rPr>
          <w:rFonts w:ascii="Arial" w:hAnsi="Arial" w:eastAsia="Arial" w:cs="Arial"/>
        </w:rPr>
        <w:t xml:space="preserve"> with human judgment). Production personnel </w:t>
      </w:r>
      <w:r w:rsidRPr="730F9435" w:rsidR="6613F30C">
        <w:rPr>
          <w:rFonts w:ascii="Arial" w:hAnsi="Arial" w:eastAsia="Arial" w:cs="Arial"/>
        </w:rPr>
        <w:t>possess</w:t>
      </w:r>
      <w:r w:rsidRPr="730F9435" w:rsidR="6613F30C">
        <w:rPr>
          <w:rFonts w:ascii="Arial" w:hAnsi="Arial" w:eastAsia="Arial" w:cs="Arial"/>
        </w:rPr>
        <w:t xml:space="preserve"> discretionary power to halt manufacturing upon defect identification, reflecting cultural premises that proximal operational knowledge exceeds distant managerial information for quality assurance. This incorporation of task culture elements—cross-functional problem-solving teams, project-based innovation, and quality circles—within </w:t>
      </w:r>
      <w:bookmarkStart w:name="_Int_8G5nOFnE" w:id="845021966"/>
      <w:r w:rsidRPr="730F9435" w:rsidR="6613F30C">
        <w:rPr>
          <w:rFonts w:ascii="Arial" w:hAnsi="Arial" w:eastAsia="Arial" w:cs="Arial"/>
        </w:rPr>
        <w:t>predominantly role-based</w:t>
      </w:r>
      <w:bookmarkEnd w:id="845021966"/>
      <w:r w:rsidRPr="730F9435" w:rsidR="6613F30C">
        <w:rPr>
          <w:rFonts w:ascii="Arial" w:hAnsi="Arial" w:eastAsia="Arial" w:cs="Arial"/>
        </w:rPr>
        <w:t xml:space="preserve"> architecture enables “controlled autonomy” (Daft, 2021).</w:t>
      </w:r>
    </w:p>
    <w:p w:rsidR="00B72ADF" w:rsidP="71C39D64" w:rsidRDefault="00B72ADF" w14:paraId="722D9BCB" w14:textId="32DA04A3">
      <w:pPr>
        <w:rPr>
          <w:rFonts w:ascii="Arial" w:hAnsi="Arial" w:eastAsia="Arial" w:cs="Arial"/>
        </w:rPr>
      </w:pPr>
      <w:r w:rsidRPr="730F9435" w:rsidR="6613F30C">
        <w:rPr>
          <w:rFonts w:ascii="Arial" w:hAnsi="Arial" w:eastAsia="Arial" w:cs="Arial"/>
        </w:rPr>
        <w:t xml:space="preserve">Critical examination reveals inherent structural tensions generating path dependencies. </w:t>
      </w:r>
      <w:r w:rsidRPr="730F9435" w:rsidR="6613F30C">
        <w:rPr>
          <w:rFonts w:ascii="Arial" w:hAnsi="Arial" w:eastAsia="Arial" w:cs="Arial"/>
        </w:rPr>
        <w:t>Alvesson</w:t>
      </w:r>
      <w:r w:rsidRPr="730F9435" w:rsidR="6613F30C">
        <w:rPr>
          <w:rFonts w:ascii="Arial" w:hAnsi="Arial" w:eastAsia="Arial" w:cs="Arial"/>
        </w:rPr>
        <w:t xml:space="preserve"> (2013) contends that tight culture-structure alignment impedes rapid reconfiguration when environmental shifts demand architectural transformation. Toyota’s 2023-2024 restructuring of Woven Planet Holdings (</w:t>
      </w:r>
      <w:r w:rsidRPr="730F9435" w:rsidR="6613F30C">
        <w:rPr>
          <w:rFonts w:ascii="Arial" w:hAnsi="Arial" w:eastAsia="Arial" w:cs="Arial"/>
        </w:rPr>
        <w:t>subsequently</w:t>
      </w:r>
      <w:r w:rsidRPr="730F9435" w:rsidR="6613F30C">
        <w:rPr>
          <w:rFonts w:ascii="Arial" w:hAnsi="Arial" w:eastAsia="Arial" w:cs="Arial"/>
        </w:rPr>
        <w:t xml:space="preserve"> Woven by Toyota) illustrates these constraints. Initially constituted as independent subsidiary to accelerate software development through Silicon Valley operating rhythms, Woven Planet was reabsorbed as </w:t>
      </w:r>
      <w:r w:rsidRPr="730F9435" w:rsidR="28BA11FA">
        <w:rPr>
          <w:rFonts w:ascii="Arial" w:hAnsi="Arial" w:eastAsia="Arial" w:cs="Arial"/>
        </w:rPr>
        <w:t>wholly owned</w:t>
      </w:r>
      <w:r w:rsidRPr="730F9435" w:rsidR="6613F30C">
        <w:rPr>
          <w:rFonts w:ascii="Arial" w:hAnsi="Arial" w:eastAsia="Arial" w:cs="Arial"/>
        </w:rPr>
        <w:t xml:space="preserve"> subsidiary in September 2023, with software development “</w:t>
      </w:r>
      <w:r w:rsidRPr="730F9435" w:rsidR="70D6CC16">
        <w:rPr>
          <w:rFonts w:ascii="Arial" w:hAnsi="Arial" w:eastAsia="Arial" w:cs="Arial"/>
        </w:rPr>
        <w:t>reinternalized</w:t>
      </w:r>
      <w:r w:rsidRPr="730F9435" w:rsidR="6613F30C">
        <w:rPr>
          <w:rFonts w:ascii="Arial" w:hAnsi="Arial" w:eastAsia="Arial" w:cs="Arial"/>
        </w:rPr>
        <w:t xml:space="preserve">” within centralised architecture (Toyota, 2023). This reversal suggests role culture </w:t>
      </w:r>
      <w:bookmarkStart w:name="_Int_q7ydex8x" w:id="737623933"/>
      <w:r w:rsidRPr="730F9435" w:rsidR="6613F30C">
        <w:rPr>
          <w:rFonts w:ascii="Arial" w:hAnsi="Arial" w:eastAsia="Arial" w:cs="Arial"/>
        </w:rPr>
        <w:t>ultimately subordinated</w:t>
      </w:r>
      <w:bookmarkEnd w:id="737623933"/>
      <w:r w:rsidRPr="730F9435" w:rsidR="6613F30C">
        <w:rPr>
          <w:rFonts w:ascii="Arial" w:hAnsi="Arial" w:eastAsia="Arial" w:cs="Arial"/>
        </w:rPr>
        <w:t xml:space="preserve"> task culture experimentation, potentially constraining software-defined innovation essential for EV competitiveness. Leadership’s failure to protect structural differentiation for digital operations </w:t>
      </w:r>
      <w:r w:rsidRPr="730F9435" w:rsidR="6613F30C">
        <w:rPr>
          <w:rFonts w:ascii="Arial" w:hAnsi="Arial" w:eastAsia="Arial" w:cs="Arial"/>
        </w:rPr>
        <w:t>indicates</w:t>
      </w:r>
      <w:r w:rsidRPr="730F9435" w:rsidR="6613F30C">
        <w:rPr>
          <w:rFonts w:ascii="Arial" w:hAnsi="Arial" w:eastAsia="Arial" w:cs="Arial"/>
        </w:rPr>
        <w:t xml:space="preserve"> cultural assumptions </w:t>
      </w:r>
      <w:r w:rsidRPr="730F9435" w:rsidR="6613F30C">
        <w:rPr>
          <w:rFonts w:ascii="Arial" w:hAnsi="Arial" w:eastAsia="Arial" w:cs="Arial"/>
        </w:rPr>
        <w:t>regarding</w:t>
      </w:r>
      <w:r w:rsidRPr="730F9435" w:rsidR="6613F30C">
        <w:rPr>
          <w:rFonts w:ascii="Arial" w:hAnsi="Arial" w:eastAsia="Arial" w:cs="Arial"/>
        </w:rPr>
        <w:t xml:space="preserve"> control and quality assurance prevailed over agility imperatives.</w:t>
      </w:r>
    </w:p>
    <w:p w:rsidR="00B72ADF" w:rsidP="71C39D64" w:rsidRDefault="00B72ADF" w14:paraId="5ABE9C30" w14:textId="77777777">
      <w:pPr>
        <w:rPr>
          <w:rFonts w:ascii="Arial" w:hAnsi="Arial" w:eastAsia="Arial" w:cs="Arial"/>
        </w:rPr>
      </w:pPr>
    </w:p>
    <w:p w:rsidRPr="00B72ADF" w:rsidR="00B72ADF" w:rsidP="730F9435" w:rsidRDefault="00B72ADF" w14:paraId="5D7AD300" w14:textId="1EC0AF32">
      <w:pPr>
        <w:pStyle w:val="ListParagraph"/>
        <w:numPr>
          <w:ilvl w:val="1"/>
          <w:numId w:val="2"/>
        </w:numPr>
        <w:rPr>
          <w:rFonts w:ascii="Arial" w:hAnsi="Arial" w:eastAsia="Arial" w:cs="Arial"/>
          <w:b w:val="1"/>
          <w:bCs w:val="1"/>
        </w:rPr>
      </w:pPr>
      <w:r w:rsidRPr="730F9435" w:rsidR="6613F30C">
        <w:rPr>
          <w:rFonts w:ascii="Arial" w:hAnsi="Arial" w:eastAsia="Arial" w:cs="Arial"/>
          <w:b w:val="1"/>
          <w:bCs w:val="1"/>
        </w:rPr>
        <w:t>Cultural Constitution of Decision-Making Processes</w:t>
      </w:r>
    </w:p>
    <w:p w:rsidRPr="00B72ADF" w:rsidR="00B72ADF" w:rsidP="730F9435" w:rsidRDefault="00B72ADF" w14:paraId="4BFD809D" w14:textId="77777777">
      <w:pPr>
        <w:pStyle w:val="ListParagraph"/>
        <w:numPr>
          <w:ilvl w:val="1"/>
          <w:numId w:val="2"/>
        </w:numPr>
        <w:rPr>
          <w:rFonts w:ascii="Arial" w:hAnsi="Arial" w:eastAsia="Arial" w:cs="Arial"/>
          <w:b w:val="1"/>
          <w:bCs w:val="1"/>
        </w:rPr>
      </w:pPr>
    </w:p>
    <w:p w:rsidR="00B72ADF" w:rsidP="71C39D64" w:rsidRDefault="00B72ADF" w14:paraId="30933303" w14:textId="48C54335">
      <w:pPr>
        <w:rPr>
          <w:rFonts w:ascii="Arial" w:hAnsi="Arial" w:eastAsia="Arial" w:cs="Arial"/>
        </w:rPr>
      </w:pPr>
      <w:r w:rsidRPr="730F9435" w:rsidR="6613F30C">
        <w:rPr>
          <w:rFonts w:ascii="Arial" w:hAnsi="Arial" w:eastAsia="Arial" w:cs="Arial"/>
        </w:rPr>
        <w:t xml:space="preserve">Decision-making at Toyota </w:t>
      </w:r>
      <w:r w:rsidRPr="730F9435" w:rsidR="6613F30C">
        <w:rPr>
          <w:rFonts w:ascii="Arial" w:hAnsi="Arial" w:eastAsia="Arial" w:cs="Arial"/>
        </w:rPr>
        <w:t>operates</w:t>
      </w:r>
      <w:r w:rsidRPr="730F9435" w:rsidR="6613F30C">
        <w:rPr>
          <w:rFonts w:ascii="Arial" w:hAnsi="Arial" w:eastAsia="Arial" w:cs="Arial"/>
        </w:rPr>
        <w:t xml:space="preserve"> through cultural principles emphasising pre-decisional consensus-building (</w:t>
      </w:r>
      <w:r w:rsidRPr="730F9435" w:rsidR="6613F30C">
        <w:rPr>
          <w:rFonts w:ascii="Arial" w:hAnsi="Arial" w:eastAsia="Arial" w:cs="Arial"/>
        </w:rPr>
        <w:t>nemawashi</w:t>
      </w:r>
      <w:r w:rsidRPr="730F9435" w:rsidR="6613F30C">
        <w:rPr>
          <w:rFonts w:ascii="Arial" w:hAnsi="Arial" w:eastAsia="Arial" w:cs="Arial"/>
        </w:rPr>
        <w:t xml:space="preserve">), extended temporal horizons, and collective knowledge accumulation. </w:t>
      </w:r>
      <w:r w:rsidRPr="730F9435" w:rsidR="6613F30C">
        <w:rPr>
          <w:rFonts w:ascii="Arial" w:hAnsi="Arial" w:eastAsia="Arial" w:cs="Arial"/>
        </w:rPr>
        <w:t>Nemawashi</w:t>
      </w:r>
      <w:r w:rsidRPr="730F9435" w:rsidR="6613F30C">
        <w:rPr>
          <w:rFonts w:ascii="Arial" w:hAnsi="Arial" w:eastAsia="Arial" w:cs="Arial"/>
        </w:rPr>
        <w:t>—informal consultation and alignment cultivation preceding formal decisions—incorporates diverse perspectives, reducing implementation friction through shared ownership generation (Schein and Schein, 2017).</w:t>
      </w:r>
    </w:p>
    <w:p w:rsidR="00B72ADF" w:rsidP="71C39D64" w:rsidRDefault="00B72ADF" w14:paraId="1A18C732" w14:textId="149D9C72">
      <w:pPr>
        <w:rPr>
          <w:rFonts w:ascii="Arial" w:hAnsi="Arial" w:eastAsia="Arial" w:cs="Arial"/>
        </w:rPr>
      </w:pPr>
      <w:r>
        <w:rPr>
          <w:rFonts w:ascii="Arial" w:hAnsi="Arial" w:eastAsia="Arial" w:cs="Arial"/>
        </w:rPr>
        <w:t>Denison and Mishra (1995) demonstrate that participative decision configurations enhance organisational commitment and performance through improved knowledge circulation. Toyota’s consensus-oriented approach historically supported organisational learning, enabling cumulative refinements achieving 10 million hybrid vehicle sales by 2020. However, the 2009-2010 global recall crisis—encompassing 8.5 million vehicles for unintended acceleration—exposed critical vulnerabilities. Congressional investigations revealed hierarchical communication barriers and cultural prioritisation of harmonious relations delayed safety concern escalation, with no US-based executive possessing direct recall authority (US Congress, 2010).</w:t>
      </w:r>
    </w:p>
    <w:p w:rsidR="00B72ADF" w:rsidP="71C39D64" w:rsidRDefault="00B72ADF" w14:paraId="439E791E" w14:textId="77777777">
      <w:pPr>
        <w:rPr>
          <w:rFonts w:ascii="Arial" w:hAnsi="Arial" w:eastAsia="Arial" w:cs="Arial"/>
        </w:rPr>
      </w:pPr>
    </w:p>
    <w:p w:rsidR="00B72ADF" w:rsidP="71C39D64" w:rsidRDefault="00B72ADF" w14:paraId="31995754" w14:textId="423DADDF">
      <w:pPr>
        <w:rPr>
          <w:rFonts w:ascii="Arial" w:hAnsi="Arial" w:eastAsia="Arial" w:cs="Arial"/>
        </w:rPr>
      </w:pPr>
      <w:r>
        <w:rPr>
          <w:rFonts w:ascii="Arial" w:hAnsi="Arial" w:eastAsia="Arial" w:cs="Arial"/>
        </w:rPr>
        <w:t xml:space="preserve">This illustrates the “consensus trap”: while </w:t>
      </w:r>
      <w:proofErr w:type="spellStart"/>
      <w:r>
        <w:rPr>
          <w:rFonts w:ascii="Arial" w:hAnsi="Arial" w:eastAsia="Arial" w:cs="Arial"/>
        </w:rPr>
        <w:t>nemawashi</w:t>
      </w:r>
      <w:proofErr w:type="spellEnd"/>
      <w:r>
        <w:rPr>
          <w:rFonts w:ascii="Arial" w:hAnsi="Arial" w:eastAsia="Arial" w:cs="Arial"/>
        </w:rPr>
        <w:t xml:space="preserve"> enhances implementation fidelity, it compromises agility in rapidly shifting environments. Kotter and </w:t>
      </w:r>
      <w:proofErr w:type="spellStart"/>
      <w:r>
        <w:rPr>
          <w:rFonts w:ascii="Arial" w:hAnsi="Arial" w:eastAsia="Arial" w:cs="Arial"/>
        </w:rPr>
        <w:t>Heskett</w:t>
      </w:r>
      <w:proofErr w:type="spellEnd"/>
      <w:r>
        <w:rPr>
          <w:rFonts w:ascii="Arial" w:hAnsi="Arial" w:eastAsia="Arial" w:cs="Arial"/>
        </w:rPr>
        <w:t xml:space="preserve"> (1992) caution that cultures emphasising stability and relational harmony struggle with discontinuous change. Toyota’s delayed EV market entry—surrendering first-mover advantage to Tesla despite hybrid technology pioneering—suggests consensus-based decision architectures may be maladapted to technology transitions requiring rapid, high-stakes strategic reorientation. The 2023 battery investment U-turn, following years of hydrogen fuel cell prioritisation, indicates external competitive shock was required to disrupt internal consensus formation.</w:t>
      </w:r>
    </w:p>
    <w:p w:rsidR="00B72ADF" w:rsidP="71C39D64" w:rsidRDefault="00B72ADF" w14:paraId="62B80CC7" w14:textId="77777777">
      <w:pPr>
        <w:rPr>
          <w:rFonts w:ascii="Arial" w:hAnsi="Arial" w:eastAsia="Arial" w:cs="Arial"/>
        </w:rPr>
      </w:pPr>
    </w:p>
    <w:p w:rsidR="00B72ADF" w:rsidP="730F9435" w:rsidRDefault="00B72ADF" w14:paraId="49CF1146" w14:textId="776803CB">
      <w:pPr>
        <w:pStyle w:val="Heading1"/>
        <w:rPr>
          <w:rFonts w:ascii="Arial" w:hAnsi="Arial" w:eastAsia="Arial" w:cs="Arial"/>
        </w:rPr>
      </w:pPr>
      <w:bookmarkStart w:name="_Toc498406519" w:id="356786364"/>
      <w:bookmarkStart w:name="_Toc844506324" w:id="1390988199"/>
      <w:r w:rsidRPr="730F9435" w:rsidR="6613F30C">
        <w:rPr>
          <w:rFonts w:ascii="Arial" w:hAnsi="Arial" w:eastAsia="Arial" w:cs="Arial"/>
        </w:rPr>
        <w:t>3.0 Analysing Toyota’s Organisational Culture Through Theoretical Lenses</w:t>
      </w:r>
      <w:bookmarkEnd w:id="356786364"/>
      <w:bookmarkEnd w:id="1390988199"/>
    </w:p>
    <w:p w:rsidR="00B72ADF" w:rsidP="71C39D64" w:rsidRDefault="00B72ADF" w14:paraId="27D6823F" w14:textId="77777777">
      <w:pPr>
        <w:rPr>
          <w:rFonts w:ascii="Arial" w:hAnsi="Arial" w:eastAsia="Arial" w:cs="Arial"/>
        </w:rPr>
      </w:pPr>
    </w:p>
    <w:p w:rsidR="00B72ADF" w:rsidP="730F9435" w:rsidRDefault="00B72ADF" w14:paraId="6B4F803A" w14:textId="3547242E">
      <w:pPr>
        <w:rPr>
          <w:rFonts w:ascii="Arial" w:hAnsi="Arial" w:eastAsia="Arial" w:cs="Arial"/>
          <w:b w:val="1"/>
          <w:bCs w:val="1"/>
        </w:rPr>
      </w:pPr>
      <w:r w:rsidRPr="730F9435" w:rsidR="6613F30C">
        <w:rPr>
          <w:rFonts w:ascii="Arial" w:hAnsi="Arial" w:eastAsia="Arial" w:cs="Arial"/>
          <w:b w:val="1"/>
          <w:bCs w:val="1"/>
        </w:rPr>
        <w:t>3.1</w:t>
      </w:r>
      <w:r w:rsidRPr="730F9435" w:rsidR="6613F30C">
        <w:rPr>
          <w:rFonts w:ascii="Arial" w:hAnsi="Arial" w:eastAsia="Arial" w:cs="Arial"/>
          <w:b w:val="1"/>
          <w:bCs w:val="1"/>
        </w:rPr>
        <w:t xml:space="preserve"> Schein’s Tripartite Cultural Model</w:t>
      </w:r>
    </w:p>
    <w:p w:rsidR="00B72ADF" w:rsidP="730F9435" w:rsidRDefault="00B72ADF" w14:paraId="63F72D00" w14:textId="77777777">
      <w:pPr>
        <w:rPr>
          <w:rFonts w:ascii="Arial" w:hAnsi="Arial" w:eastAsia="Arial" w:cs="Arial"/>
          <w:b w:val="1"/>
          <w:bCs w:val="1"/>
        </w:rPr>
      </w:pPr>
    </w:p>
    <w:p w:rsidR="00B72ADF" w:rsidP="71C39D64" w:rsidRDefault="00B72ADF" w14:paraId="1C86437A" w14:textId="12312818">
      <w:pPr>
        <w:rPr>
          <w:rFonts w:ascii="Arial" w:hAnsi="Arial" w:eastAsia="Arial" w:cs="Arial"/>
        </w:rPr>
      </w:pPr>
      <w:r>
        <w:rPr>
          <w:rFonts w:ascii="Arial" w:hAnsi="Arial" w:eastAsia="Arial" w:cs="Arial"/>
        </w:rPr>
        <w:t>Surface Manifestations: Toyota’s culture becomes visible through tangible elements including production line stop mechanisms (Andon cords), visual workflow management (</w:t>
      </w:r>
      <w:proofErr w:type="spellStart"/>
      <w:r>
        <w:rPr>
          <w:rFonts w:ascii="Arial" w:hAnsi="Arial" w:eastAsia="Arial" w:cs="Arial"/>
        </w:rPr>
        <w:t>kanban</w:t>
      </w:r>
      <w:proofErr w:type="spellEnd"/>
      <w:r>
        <w:rPr>
          <w:rFonts w:ascii="Arial" w:hAnsi="Arial" w:eastAsia="Arial" w:cs="Arial"/>
        </w:rPr>
        <w:t>), continuous improvement displays, and team-based refinement events. The 2024 deployment of AI-enhanced quality inspection systems—developed through Google Cloud partnership—represents emerging digital artefacts reinterpreting TPS principles for software-integrated manufacturing (Google Cloud, 2024). These surface elements communicate expectations regarding operational discipline, efficiency optimisation, and evidence-based enhancement while signalling adaptation attempts.</w:t>
      </w:r>
    </w:p>
    <w:p w:rsidR="00B72ADF" w:rsidP="71C39D64" w:rsidRDefault="00B72ADF" w14:paraId="65D75711" w14:textId="77777777">
      <w:pPr>
        <w:rPr>
          <w:rFonts w:ascii="Arial" w:hAnsi="Arial" w:eastAsia="Arial" w:cs="Arial"/>
        </w:rPr>
      </w:pPr>
    </w:p>
    <w:p w:rsidR="00B72ADF" w:rsidP="71C39D64" w:rsidRDefault="00B72ADF" w14:paraId="13E6BED1" w14:textId="29FEBA65">
      <w:pPr>
        <w:rPr>
          <w:rFonts w:ascii="Arial" w:hAnsi="Arial" w:eastAsia="Arial" w:cs="Arial"/>
        </w:rPr>
      </w:pPr>
      <w:r w:rsidRPr="730F9435" w:rsidR="6613F30C">
        <w:rPr>
          <w:rFonts w:ascii="Arial" w:hAnsi="Arial" w:eastAsia="Arial" w:cs="Arial"/>
        </w:rPr>
        <w:t>Articulated Values: Toyota formally expresses commitments including relentless improvement (kaizen), human dignity (</w:t>
      </w:r>
      <w:r w:rsidRPr="730F9435" w:rsidR="6613F30C">
        <w:rPr>
          <w:rFonts w:ascii="Arial" w:hAnsi="Arial" w:eastAsia="Arial" w:cs="Arial"/>
        </w:rPr>
        <w:t>ninjo</w:t>
      </w:r>
      <w:r w:rsidRPr="730F9435" w:rsidR="6613F30C">
        <w:rPr>
          <w:rFonts w:ascii="Arial" w:hAnsi="Arial" w:eastAsia="Arial" w:cs="Arial"/>
        </w:rPr>
        <w:t xml:space="preserve">), collaborative achievement, and enduring value creation through the “Toyota Way 2001.” Unlike organisations where stated values function symbolically, Toyota </w:t>
      </w:r>
      <w:r w:rsidRPr="730F9435" w:rsidR="6613F30C">
        <w:rPr>
          <w:rFonts w:ascii="Arial" w:hAnsi="Arial" w:eastAsia="Arial" w:cs="Arial"/>
        </w:rPr>
        <w:t>demonstrates</w:t>
      </w:r>
      <w:r w:rsidRPr="730F9435" w:rsidR="6613F30C">
        <w:rPr>
          <w:rFonts w:ascii="Arial" w:hAnsi="Arial" w:eastAsia="Arial" w:cs="Arial"/>
        </w:rPr>
        <w:t xml:space="preserve"> </w:t>
      </w:r>
      <w:bookmarkStart w:name="_Int_ORQEncgz" w:id="755803564"/>
      <w:r w:rsidRPr="730F9435" w:rsidR="6613F30C">
        <w:rPr>
          <w:rFonts w:ascii="Arial" w:hAnsi="Arial" w:eastAsia="Arial" w:cs="Arial"/>
        </w:rPr>
        <w:t>relatively robust</w:t>
      </w:r>
      <w:bookmarkEnd w:id="755803564"/>
      <w:r w:rsidRPr="730F9435" w:rsidR="6613F30C">
        <w:rPr>
          <w:rFonts w:ascii="Arial" w:hAnsi="Arial" w:eastAsia="Arial" w:cs="Arial"/>
        </w:rPr>
        <w:t xml:space="preserve"> alignment between declared principles and enacted behaviours. The PDCA (Plan-Do-Check-Act) cycle institutionalises continuous improvement beyond rhetorical assertion. However, the 2023 Woven Planet restructuring suggests that when software development velocity conflicted with traditional quality assurance norms, the latter prevailed, revealing potential gaps between espoused agility and enacted caution.</w:t>
      </w:r>
    </w:p>
    <w:p w:rsidR="00B72ADF" w:rsidP="71C39D64" w:rsidRDefault="00B72ADF" w14:paraId="16331525" w14:textId="61F75616">
      <w:pPr>
        <w:rPr>
          <w:rFonts w:ascii="Arial" w:hAnsi="Arial" w:eastAsia="Arial" w:cs="Arial"/>
        </w:rPr>
      </w:pPr>
      <w:r>
        <w:rPr>
          <w:rFonts w:ascii="Arial" w:hAnsi="Arial" w:eastAsia="Arial" w:cs="Arial"/>
        </w:rPr>
        <w:t>Deep Structural Assumptions: At the foundational level, Toyota operates on premises that (1) operational deviations represent developmental opportunities rather than failures, (2) improvement potential exists at all organisational levels, and (3) sustainable stability transcends short-term profit maximisation. These deeply internalised assumptions, highly resistant to modification, explain organisational durability but also EV transition inertia. Schein (2017) observes that such assumptions become dysfunctional when environmental shifts invalidate underlying logic. Toyota’s premise that incremental refinement suffices for technological leadership now faces existential challenge from disruptive EV and autonomous vehicle technologies requiring radical rather than incremental innovation.</w:t>
      </w:r>
    </w:p>
    <w:p w:rsidR="00B72ADF" w:rsidP="71C39D64" w:rsidRDefault="00B72ADF" w14:paraId="40BEEF47" w14:textId="77777777">
      <w:pPr>
        <w:rPr>
          <w:rFonts w:ascii="Arial" w:hAnsi="Arial" w:eastAsia="Arial" w:cs="Arial"/>
        </w:rPr>
      </w:pPr>
    </w:p>
    <w:p w:rsidR="00B72ADF" w:rsidP="730F9435" w:rsidRDefault="00B72ADF" w14:paraId="77EE5187" w14:textId="0A2F3AE4">
      <w:pPr>
        <w:pStyle w:val="Heading1"/>
        <w:rPr>
          <w:rFonts w:ascii="Arial" w:hAnsi="Arial" w:eastAsia="Arial" w:cs="Arial"/>
        </w:rPr>
      </w:pPr>
      <w:bookmarkStart w:name="_Toc438382951" w:id="1748716216"/>
      <w:bookmarkStart w:name="_Toc1058446490" w:id="203028648"/>
      <w:r w:rsidR="6613F30C">
        <w:rPr/>
        <w:t>3.2 Hofstede’s Cultural Dimensions</w:t>
      </w:r>
      <w:bookmarkEnd w:id="1748716216"/>
      <w:bookmarkEnd w:id="203028648"/>
    </w:p>
    <w:p w:rsidR="00B72ADF" w:rsidP="730F9435" w:rsidRDefault="00B72ADF" w14:paraId="0CBAA6FA" w14:textId="77777777">
      <w:pPr>
        <w:pStyle w:val="Heading1"/>
      </w:pPr>
    </w:p>
    <w:p w:rsidR="00B72ADF" w:rsidP="71C39D64" w:rsidRDefault="00B72ADF" w14:paraId="6FA46CC1" w14:textId="15E51063">
      <w:pPr>
        <w:rPr>
          <w:rFonts w:ascii="Arial" w:hAnsi="Arial" w:eastAsia="Arial" w:cs="Arial"/>
        </w:rPr>
      </w:pPr>
      <w:r w:rsidRPr="730F9435" w:rsidR="6613F30C">
        <w:rPr>
          <w:rFonts w:ascii="Arial" w:hAnsi="Arial" w:eastAsia="Arial" w:cs="Arial"/>
        </w:rPr>
        <w:t xml:space="preserve">Toyota’s Japanese genesis profoundly imprints organisational culture through national cultural characteristics (Hofstede, </w:t>
      </w:r>
      <w:bookmarkStart w:name="_Int_Br0uN0SR" w:id="488419140"/>
      <w:r w:rsidRPr="730F9435" w:rsidR="6613F30C">
        <w:rPr>
          <w:rFonts w:ascii="Arial" w:hAnsi="Arial" w:eastAsia="Arial" w:cs="Arial"/>
        </w:rPr>
        <w:t>Hofstede</w:t>
      </w:r>
      <w:bookmarkEnd w:id="488419140"/>
      <w:r w:rsidRPr="730F9435" w:rsidR="6613F30C">
        <w:rPr>
          <w:rFonts w:ascii="Arial" w:hAnsi="Arial" w:eastAsia="Arial" w:cs="Arial"/>
        </w:rPr>
        <w:t xml:space="preserve"> and </w:t>
      </w:r>
      <w:r w:rsidRPr="730F9435" w:rsidR="6613F30C">
        <w:rPr>
          <w:rFonts w:ascii="Arial" w:hAnsi="Arial" w:eastAsia="Arial" w:cs="Arial"/>
        </w:rPr>
        <w:t>Minkov</w:t>
      </w:r>
      <w:r w:rsidRPr="730F9435" w:rsidR="6613F30C">
        <w:rPr>
          <w:rFonts w:ascii="Arial" w:hAnsi="Arial" w:eastAsia="Arial" w:cs="Arial"/>
        </w:rPr>
        <w:t>, 2010):</w:t>
      </w:r>
    </w:p>
    <w:p w:rsidR="00B72ADF" w:rsidP="71C39D64" w:rsidRDefault="00B72ADF" w14:paraId="11ED2133" w14:textId="77777777">
      <w:pPr>
        <w:rPr>
          <w:rFonts w:ascii="Arial" w:hAnsi="Arial" w:eastAsia="Arial" w:cs="Arial"/>
        </w:rPr>
      </w:pPr>
    </w:p>
    <w:p w:rsidR="00B72ADF" w:rsidP="71C39D64" w:rsidRDefault="00B72ADF" w14:paraId="3D1AB5DC" w14:textId="44E3F355">
      <w:pPr>
        <w:rPr>
          <w:rFonts w:ascii="Arial" w:hAnsi="Arial" w:eastAsia="Arial" w:cs="Arial"/>
        </w:rPr>
      </w:pPr>
      <w:r w:rsidRPr="730F9435" w:rsidR="6613F30C">
        <w:rPr>
          <w:rFonts w:ascii="Arial" w:hAnsi="Arial" w:eastAsia="Arial" w:cs="Arial"/>
        </w:rPr>
        <w:t>Collectivism (IDV score: 46 versus US 91): Manifest in team-centric achievement, consensus-oriented decision processes, and distributed accountability. Group cohesion (</w:t>
      </w:r>
      <w:r w:rsidRPr="730F9435" w:rsidR="6613F30C">
        <w:rPr>
          <w:rFonts w:ascii="Arial" w:hAnsi="Arial" w:eastAsia="Arial" w:cs="Arial"/>
        </w:rPr>
        <w:t>wa</w:t>
      </w:r>
      <w:r w:rsidRPr="730F9435" w:rsidR="6613F30C">
        <w:rPr>
          <w:rFonts w:ascii="Arial" w:hAnsi="Arial" w:eastAsia="Arial" w:cs="Arial"/>
        </w:rPr>
        <w:t xml:space="preserve">) prioritises collective success over individual recognition. While enhancing cooperation, </w:t>
      </w:r>
      <w:r w:rsidRPr="730F9435" w:rsidR="6613F30C">
        <w:rPr>
          <w:rFonts w:ascii="Arial" w:hAnsi="Arial" w:eastAsia="Arial" w:cs="Arial"/>
        </w:rPr>
        <w:t>Ogbonna</w:t>
      </w:r>
      <w:r w:rsidRPr="730F9435" w:rsidR="6613F30C">
        <w:rPr>
          <w:rFonts w:ascii="Arial" w:hAnsi="Arial" w:eastAsia="Arial" w:cs="Arial"/>
        </w:rPr>
        <w:t xml:space="preserve"> and Harris (2000) note that collectivism may suppress dissenting perspectives—</w:t>
      </w:r>
      <w:r w:rsidRPr="730F9435" w:rsidR="6613F30C">
        <w:rPr>
          <w:rFonts w:ascii="Arial" w:hAnsi="Arial" w:eastAsia="Arial" w:cs="Arial"/>
        </w:rPr>
        <w:t>evident</w:t>
      </w:r>
      <w:r w:rsidRPr="730F9435" w:rsidR="6613F30C">
        <w:rPr>
          <w:rFonts w:ascii="Arial" w:hAnsi="Arial" w:eastAsia="Arial" w:cs="Arial"/>
        </w:rPr>
        <w:t xml:space="preserve"> in recall crisis communication breakdowns where hierarchical harmony discouraged escalation.</w:t>
      </w:r>
    </w:p>
    <w:p w:rsidR="00B72ADF" w:rsidP="71C39D64" w:rsidRDefault="00B72ADF" w14:paraId="031AE3C7" w14:textId="030D2064">
      <w:pPr>
        <w:rPr>
          <w:rFonts w:ascii="Arial" w:hAnsi="Arial" w:eastAsia="Arial" w:cs="Arial"/>
        </w:rPr>
      </w:pPr>
      <w:r w:rsidRPr="730F9435" w:rsidR="6613F30C">
        <w:rPr>
          <w:rFonts w:ascii="Arial" w:hAnsi="Arial" w:eastAsia="Arial" w:cs="Arial"/>
        </w:rPr>
        <w:t xml:space="preserve">Elevated Uncertainty Avoidance (UAI score: 92): Expressed through rigorous standardisation, comprehensive quality control, and risk minimisation. Detailed TPS procedures reduce variability, supporting reliability but potentially discouraging experimental approaches. Toyota’s cautious EV rollout—prioritising hybrid technology while competitors pursued full electrification—reflects this dimensional imprint, with hydrogen fuel cell investment </w:t>
      </w:r>
      <w:r w:rsidRPr="730F9435" w:rsidR="6613F30C">
        <w:rPr>
          <w:rFonts w:ascii="Arial" w:hAnsi="Arial" w:eastAsia="Arial" w:cs="Arial"/>
        </w:rPr>
        <w:t>representing</w:t>
      </w:r>
      <w:r w:rsidRPr="730F9435" w:rsidR="6613F30C">
        <w:rPr>
          <w:rFonts w:ascii="Arial" w:hAnsi="Arial" w:eastAsia="Arial" w:cs="Arial"/>
        </w:rPr>
        <w:t xml:space="preserve"> “ultimate eco-car” certainty-seeking despite market evolution toward battery EVs.</w:t>
      </w:r>
    </w:p>
    <w:p w:rsidR="00B72ADF" w:rsidP="71C39D64" w:rsidRDefault="00B72ADF" w14:paraId="6E1F797B" w14:textId="4225308E">
      <w:pPr>
        <w:rPr>
          <w:rFonts w:ascii="Arial" w:hAnsi="Arial" w:eastAsia="Arial" w:cs="Arial"/>
        </w:rPr>
      </w:pPr>
      <w:r w:rsidRPr="730F9435" w:rsidR="6613F30C">
        <w:rPr>
          <w:rFonts w:ascii="Arial" w:hAnsi="Arial" w:eastAsia="Arial" w:cs="Arial"/>
        </w:rPr>
        <w:t xml:space="preserve">Extended Temporal Orientation (LTO score: 88): Strategic choices prioritise sustainability and market positioning over quarterly returns. This enabled sustained hybrid investment but contributed to slower EV commitment. The 2023 ¥1.5 trillion battery investment reversal suggests cultural assumptions </w:t>
      </w:r>
      <w:r w:rsidRPr="730F9435" w:rsidR="6613F30C">
        <w:rPr>
          <w:rFonts w:ascii="Arial" w:hAnsi="Arial" w:eastAsia="Arial" w:cs="Arial"/>
        </w:rPr>
        <w:t>regarding</w:t>
      </w:r>
      <w:r w:rsidRPr="730F9435" w:rsidR="6613F30C">
        <w:rPr>
          <w:rFonts w:ascii="Arial" w:hAnsi="Arial" w:eastAsia="Arial" w:cs="Arial"/>
        </w:rPr>
        <w:t xml:space="preserve"> technology trajectories required external competitive shock to disrupt.</w:t>
      </w:r>
    </w:p>
    <w:p w:rsidR="00B72ADF" w:rsidP="71C39D64" w:rsidRDefault="00B72ADF" w14:paraId="1A57A8DF" w14:textId="1C1E3931">
      <w:pPr>
        <w:rPr>
          <w:rFonts w:ascii="Arial" w:hAnsi="Arial" w:eastAsia="Arial" w:cs="Arial"/>
        </w:rPr>
      </w:pPr>
      <w:r w:rsidRPr="730F9435" w:rsidR="6613F30C">
        <w:rPr>
          <w:rFonts w:ascii="Arial" w:hAnsi="Arial" w:eastAsia="Arial" w:cs="Arial"/>
        </w:rPr>
        <w:t>Achievement Orientation (MAS score: 95): Elevated performance aspiration supports competitive targets but generates work-life integration challenges, particularly for female advancement in manufacturing contexts (Hofstede, 2010), potentially limiting talent pool diversity for digital transformation.</w:t>
      </w:r>
    </w:p>
    <w:p w:rsidR="00B72ADF" w:rsidP="730F9435" w:rsidRDefault="00B72ADF" w14:paraId="2FF6377F" w14:textId="4A81A65E">
      <w:pPr>
        <w:pStyle w:val="Heading1"/>
        <w:rPr>
          <w:rFonts w:ascii="Arial" w:hAnsi="Arial" w:eastAsia="Arial" w:cs="Arial"/>
        </w:rPr>
      </w:pPr>
      <w:bookmarkStart w:name="_Toc903168191" w:id="509010086"/>
      <w:bookmarkStart w:name="_Toc1406401297" w:id="1548892886"/>
      <w:r w:rsidR="6613F30C">
        <w:rPr/>
        <w:t xml:space="preserve">3.3 </w:t>
      </w:r>
      <w:r w:rsidR="6613F30C">
        <w:rPr/>
        <w:t>Handy’s</w:t>
      </w:r>
      <w:r w:rsidR="6613F30C">
        <w:rPr/>
        <w:t xml:space="preserve"> Cultural Typology</w:t>
      </w:r>
      <w:bookmarkEnd w:id="509010086"/>
      <w:bookmarkEnd w:id="1548892886"/>
    </w:p>
    <w:p w:rsidR="00B72ADF" w:rsidP="71C39D64" w:rsidRDefault="00B72ADF" w14:paraId="13BBDDBA" w14:textId="77777777">
      <w:pPr>
        <w:rPr>
          <w:rFonts w:ascii="Arial" w:hAnsi="Arial" w:eastAsia="Arial" w:cs="Arial"/>
        </w:rPr>
      </w:pPr>
    </w:p>
    <w:p w:rsidR="00B72ADF" w:rsidP="71C39D64" w:rsidRDefault="00B72ADF" w14:paraId="15BFC213" w14:textId="407FD582">
      <w:pPr>
        <w:rPr>
          <w:rFonts w:ascii="Arial" w:hAnsi="Arial" w:eastAsia="Arial" w:cs="Arial"/>
        </w:rPr>
      </w:pPr>
      <w:r w:rsidRPr="730F9435" w:rsidR="6613F30C">
        <w:rPr>
          <w:rFonts w:ascii="Arial" w:hAnsi="Arial" w:eastAsia="Arial" w:cs="Arial"/>
        </w:rPr>
        <w:t xml:space="preserve">Toyota exemplifies role culture dominance augmented by task culture elements (Handy, 1993). The prevailing role culture provides stability through formalised responsibilities and standardised procedures, essential for global quality consistency. Task culture </w:t>
      </w:r>
      <w:r w:rsidRPr="730F9435" w:rsidR="6613F30C">
        <w:rPr>
          <w:rFonts w:ascii="Arial" w:hAnsi="Arial" w:eastAsia="Arial" w:cs="Arial"/>
        </w:rPr>
        <w:t>emerges</w:t>
      </w:r>
      <w:r w:rsidRPr="730F9435" w:rsidR="6613F30C">
        <w:rPr>
          <w:rFonts w:ascii="Arial" w:hAnsi="Arial" w:eastAsia="Arial" w:cs="Arial"/>
        </w:rPr>
        <w:t xml:space="preserve"> in cross-functional innovation teams and refinement circles, enabling problem-solving across functional boundaries.</w:t>
      </w:r>
    </w:p>
    <w:p w:rsidR="00B72ADF" w:rsidP="71C39D64" w:rsidRDefault="00B72ADF" w14:paraId="2124B67E" w14:textId="0EA6B7CC">
      <w:pPr>
        <w:rPr>
          <w:rFonts w:ascii="Arial" w:hAnsi="Arial" w:eastAsia="Arial" w:cs="Arial"/>
        </w:rPr>
      </w:pPr>
      <w:r w:rsidRPr="730F9435" w:rsidR="6613F30C">
        <w:rPr>
          <w:rFonts w:ascii="Arial" w:hAnsi="Arial" w:eastAsia="Arial" w:cs="Arial"/>
        </w:rPr>
        <w:t xml:space="preserve">However, </w:t>
      </w:r>
      <w:r w:rsidRPr="730F9435" w:rsidR="6613F30C">
        <w:rPr>
          <w:rFonts w:ascii="Arial" w:hAnsi="Arial" w:eastAsia="Arial" w:cs="Arial"/>
        </w:rPr>
        <w:t>Alvesson</w:t>
      </w:r>
      <w:r w:rsidRPr="730F9435" w:rsidR="6613F30C">
        <w:rPr>
          <w:rFonts w:ascii="Arial" w:hAnsi="Arial" w:eastAsia="Arial" w:cs="Arial"/>
        </w:rPr>
        <w:t xml:space="preserve"> (2013) cautions that role cultures may overshadow task cultures, limiting transformative potential. Toyota’s 2025 TPS evolution—integrating digital tools while preserving human-centric </w:t>
      </w:r>
      <w:r w:rsidRPr="730F9435" w:rsidR="6613F30C">
        <w:rPr>
          <w:rFonts w:ascii="Arial" w:hAnsi="Arial" w:eastAsia="Arial" w:cs="Arial"/>
        </w:rPr>
        <w:t>jidoka</w:t>
      </w:r>
      <w:r w:rsidRPr="730F9435" w:rsidR="6613F30C">
        <w:rPr>
          <w:rFonts w:ascii="Arial" w:hAnsi="Arial" w:eastAsia="Arial" w:cs="Arial"/>
        </w:rPr>
        <w:t>—attempts rebalancing. Strategic decentralisation to regional hubs (effective May 2025) delegates authority to vice-presidents for workforce and supplier coordination, potentially strengthening task culture elements necessary for EV agility (Automotive Manufacturing Solutions, 2025). Notably, power culture and person culture remain peripheral, reflecting collective orientation and potentially constraining individual entrepreneurial initiative compared to Tesla’s personality-centric leadership model.</w:t>
      </w:r>
    </w:p>
    <w:p w:rsidR="00B72ADF" w:rsidP="730F9435" w:rsidRDefault="00B72ADF" w14:paraId="116B1E14" w14:textId="5992E8E2">
      <w:pPr>
        <w:pStyle w:val="Heading1"/>
        <w:rPr>
          <w:rFonts w:ascii="Arial" w:hAnsi="Arial" w:eastAsia="Arial" w:cs="Arial"/>
        </w:rPr>
      </w:pPr>
      <w:bookmarkStart w:name="_Toc1460781409" w:id="1267349279"/>
      <w:bookmarkStart w:name="_Toc1194232718" w:id="278384468"/>
      <w:r w:rsidR="6613F30C">
        <w:rPr/>
        <w:t>4.0 Organisational Culture and Environmental Adaptation</w:t>
      </w:r>
      <w:bookmarkEnd w:id="1267349279"/>
      <w:bookmarkEnd w:id="278384468"/>
    </w:p>
    <w:p w:rsidR="00B72ADF" w:rsidP="71C39D64" w:rsidRDefault="00B72ADF" w14:paraId="697AF7D4" w14:textId="09DFFBE5">
      <w:pPr>
        <w:rPr>
          <w:rFonts w:ascii="Arial" w:hAnsi="Arial" w:eastAsia="Arial" w:cs="Arial"/>
        </w:rPr>
      </w:pPr>
      <w:r w:rsidRPr="730F9435" w:rsidR="6613F30C">
        <w:rPr>
          <w:rFonts w:ascii="Arial" w:hAnsi="Arial" w:eastAsia="Arial" w:cs="Arial"/>
        </w:rPr>
        <w:t xml:space="preserve">Kotter and </w:t>
      </w:r>
      <w:r w:rsidRPr="730F9435" w:rsidR="6613F30C">
        <w:rPr>
          <w:rFonts w:ascii="Arial" w:hAnsi="Arial" w:eastAsia="Arial" w:cs="Arial"/>
        </w:rPr>
        <w:t>Heskett</w:t>
      </w:r>
      <w:r w:rsidRPr="730F9435" w:rsidR="6613F30C">
        <w:rPr>
          <w:rFonts w:ascii="Arial" w:hAnsi="Arial" w:eastAsia="Arial" w:cs="Arial"/>
        </w:rPr>
        <w:t xml:space="preserve"> (1992) argue that adaptive cultures align internal behaviours with external requirements. Toyota’s culture historically supported incremental adaptation—enhancing fuel efficiency, expanding hybrid technology, elevating production quality. However, EV transition demands transformational rather than incremental change, requiring exploration (developing novel competencies) alongside exploitation (refining existing capabilities) (Denison and Mishra, 1995).</w:t>
      </w:r>
    </w:p>
    <w:p w:rsidR="00B72ADF" w:rsidP="71C39D64" w:rsidRDefault="00B72ADF" w14:paraId="2D827EDF" w14:textId="77777777">
      <w:pPr>
        <w:rPr>
          <w:rFonts w:ascii="Arial" w:hAnsi="Arial" w:eastAsia="Arial" w:cs="Arial"/>
        </w:rPr>
      </w:pPr>
      <w:r>
        <w:rPr>
          <w:rFonts w:ascii="Arial" w:hAnsi="Arial" w:eastAsia="Arial" w:cs="Arial"/>
        </w:rPr>
        <w:t>Recent initiatives indicate cultural evolution toward exploration:</w:t>
      </w:r>
    </w:p>
    <w:p w:rsidR="00B72ADF" w:rsidP="71C39D64" w:rsidRDefault="00B72ADF" w14:paraId="0249F859" w14:textId="77777777">
      <w:pPr>
        <w:rPr>
          <w:rFonts w:ascii="Arial" w:hAnsi="Arial" w:eastAsia="Arial" w:cs="Arial"/>
        </w:rPr>
      </w:pPr>
    </w:p>
    <w:p w:rsidR="00B72ADF" w:rsidP="730F9435" w:rsidRDefault="00B72ADF" w14:paraId="40AFD90C" w14:textId="2F487528">
      <w:pPr>
        <w:pStyle w:val="ListParagraph"/>
        <w:numPr>
          <w:ilvl w:val="0"/>
          <w:numId w:val="3"/>
        </w:numPr>
        <w:rPr>
          <w:rFonts w:ascii="Arial" w:hAnsi="Arial" w:eastAsia="Arial" w:cs="Arial"/>
        </w:rPr>
      </w:pPr>
      <w:r w:rsidRPr="730F9435" w:rsidR="6613F30C">
        <w:rPr>
          <w:rFonts w:ascii="Arial" w:hAnsi="Arial" w:eastAsia="Arial" w:cs="Arial"/>
        </w:rPr>
        <w:t xml:space="preserve">Woven Planet Restructuring (2023): Despite reintegration, </w:t>
      </w:r>
      <w:r w:rsidRPr="730F9435" w:rsidR="6613F30C">
        <w:rPr>
          <w:rFonts w:ascii="Arial" w:hAnsi="Arial" w:eastAsia="Arial" w:cs="Arial"/>
        </w:rPr>
        <w:t>maintaining</w:t>
      </w:r>
      <w:r w:rsidRPr="730F9435" w:rsidR="6613F30C">
        <w:rPr>
          <w:rFonts w:ascii="Arial" w:hAnsi="Arial" w:eastAsia="Arial" w:cs="Arial"/>
        </w:rPr>
        <w:t xml:space="preserve"> Silicon Valley presence for software talent acquisition acknowledges TPS principles alone cannot deliver autonomous vehicle AI (Toyota, 2023).</w:t>
      </w:r>
    </w:p>
    <w:p w:rsidR="00B72ADF" w:rsidP="730F9435" w:rsidRDefault="00B72ADF" w14:paraId="1FA4ACF6" w14:textId="1D230E14">
      <w:pPr>
        <w:pStyle w:val="ListParagraph"/>
        <w:numPr>
          <w:ilvl w:val="0"/>
          <w:numId w:val="3"/>
        </w:numPr>
        <w:rPr>
          <w:rFonts w:ascii="Arial" w:hAnsi="Arial" w:eastAsia="Arial" w:cs="Arial"/>
        </w:rPr>
      </w:pPr>
      <w:r w:rsidRPr="730F9435" w:rsidR="6613F30C">
        <w:rPr>
          <w:rFonts w:ascii="Arial" w:hAnsi="Arial" w:eastAsia="Arial" w:cs="Arial"/>
        </w:rPr>
        <w:t xml:space="preserve">AI Platform Implementation (2024): Google Cloud partnership for generative AI manufacturing quality control </w:t>
      </w:r>
      <w:r w:rsidRPr="730F9435" w:rsidR="6613F30C">
        <w:rPr>
          <w:rFonts w:ascii="Arial" w:hAnsi="Arial" w:eastAsia="Arial" w:cs="Arial"/>
        </w:rPr>
        <w:t>represents</w:t>
      </w:r>
      <w:r w:rsidRPr="730F9435" w:rsidR="6613F30C">
        <w:rPr>
          <w:rFonts w:ascii="Arial" w:hAnsi="Arial" w:eastAsia="Arial" w:cs="Arial"/>
        </w:rPr>
        <w:t xml:space="preserve"> cultural openness to external technological collaboration—historically atypical for insular R&amp;D approaches (Google Cloud, 2024).</w:t>
      </w:r>
    </w:p>
    <w:p w:rsidR="00B72ADF" w:rsidP="730F9435" w:rsidRDefault="00B72ADF" w14:paraId="1953AF6F" w14:textId="3F098542">
      <w:pPr>
        <w:pStyle w:val="ListParagraph"/>
        <w:numPr>
          <w:ilvl w:val="0"/>
          <w:numId w:val="3"/>
        </w:numPr>
        <w:rPr>
          <w:rFonts w:ascii="Arial" w:hAnsi="Arial" w:eastAsia="Arial" w:cs="Arial"/>
        </w:rPr>
      </w:pPr>
      <w:r w:rsidRPr="730F9435" w:rsidR="6613F30C">
        <w:rPr>
          <w:rFonts w:ascii="Arial" w:hAnsi="Arial" w:eastAsia="Arial" w:cs="Arial"/>
        </w:rPr>
        <w:t>Regional Decentralisation (2025): Empowering North American regional leadership with EV supply chain coordination authority reduces hierarchical layers, accelerating localised decision-making (Automotive Manufacturing Solutions, 2025).</w:t>
      </w:r>
    </w:p>
    <w:p w:rsidR="00B72ADF" w:rsidP="71C39D64" w:rsidRDefault="00B72ADF" w14:paraId="0C27C8D6" w14:textId="76402306">
      <w:pPr>
        <w:rPr>
          <w:rFonts w:ascii="Arial" w:hAnsi="Arial" w:eastAsia="Arial" w:cs="Arial"/>
        </w:rPr>
      </w:pPr>
      <w:r w:rsidRPr="730F9435" w:rsidR="6613F30C">
        <w:rPr>
          <w:rFonts w:ascii="Arial" w:hAnsi="Arial" w:eastAsia="Arial" w:cs="Arial"/>
        </w:rPr>
        <w:t xml:space="preserve">These adaptations suggest Schein’s (2017) “cultural midlife crisis”—re-examining foundational premises without sacrificing core identity. Toyota attempts preserving kaizen and </w:t>
      </w:r>
      <w:r w:rsidRPr="730F9435" w:rsidR="6613F30C">
        <w:rPr>
          <w:rFonts w:ascii="Arial" w:hAnsi="Arial" w:eastAsia="Arial" w:cs="Arial"/>
        </w:rPr>
        <w:t>jidoka</w:t>
      </w:r>
      <w:r w:rsidRPr="730F9435" w:rsidR="6613F30C">
        <w:rPr>
          <w:rFonts w:ascii="Arial" w:hAnsi="Arial" w:eastAsia="Arial" w:cs="Arial"/>
        </w:rPr>
        <w:t xml:space="preserve"> while compressing innovation cycles. However, critics argue modifications </w:t>
      </w:r>
      <w:r w:rsidRPr="730F9435" w:rsidR="6613F30C">
        <w:rPr>
          <w:rFonts w:ascii="Arial" w:hAnsi="Arial" w:eastAsia="Arial" w:cs="Arial"/>
        </w:rPr>
        <w:t>remain</w:t>
      </w:r>
      <w:r w:rsidRPr="730F9435" w:rsidR="6613F30C">
        <w:rPr>
          <w:rFonts w:ascii="Arial" w:hAnsi="Arial" w:eastAsia="Arial" w:cs="Arial"/>
        </w:rPr>
        <w:t xml:space="preserve"> insufficient: Toyota’s EV market share trails Tesla and Chinese competitors, suggesting cultural adaptation velocity may be inadequate for industry transformation pace (Bloomberg, 2023). The fundamental tension persists: can cultural assumptions optimised for mechanical perfection adapt to software-defined mobility requiring rapid iteration and “good enough” release philosophies?</w:t>
      </w:r>
    </w:p>
    <w:p w:rsidR="00B72ADF" w:rsidP="730F9435" w:rsidRDefault="00B72ADF" w14:paraId="42F07E34" w14:textId="5DA987E9">
      <w:pPr>
        <w:pStyle w:val="Heading1"/>
        <w:rPr>
          <w:rFonts w:ascii="Arial" w:hAnsi="Arial" w:eastAsia="Arial" w:cs="Arial"/>
        </w:rPr>
      </w:pPr>
      <w:bookmarkStart w:name="_Toc1579411757" w:id="1475411818"/>
      <w:bookmarkStart w:name="_Toc479254488" w:id="682676315"/>
      <w:r w:rsidR="6613F30C">
        <w:rPr/>
        <w:t>5.0 Cultural Constraints on Organisational Effectiveness</w:t>
      </w:r>
      <w:bookmarkEnd w:id="1475411818"/>
      <w:bookmarkEnd w:id="682676315"/>
    </w:p>
    <w:p w:rsidR="00B72ADF" w:rsidP="71C39D64" w:rsidRDefault="00B72ADF" w14:paraId="1FFBD80E" w14:textId="07828A69">
      <w:pPr>
        <w:rPr>
          <w:rFonts w:ascii="Arial" w:hAnsi="Arial" w:eastAsia="Arial" w:cs="Arial"/>
        </w:rPr>
      </w:pPr>
      <w:r w:rsidRPr="730F9435" w:rsidR="6613F30C">
        <w:rPr>
          <w:rFonts w:ascii="Arial" w:hAnsi="Arial" w:eastAsia="Arial" w:cs="Arial"/>
        </w:rPr>
        <w:t>Despite operational excellence strengths, specific cultural elements constrain EV transition effectiveness:</w:t>
      </w:r>
    </w:p>
    <w:p w:rsidR="00B72ADF" w:rsidP="71C39D64" w:rsidRDefault="00B72ADF" w14:paraId="59042BAF" w14:textId="6603AC70">
      <w:pPr>
        <w:rPr>
          <w:rFonts w:ascii="Arial" w:hAnsi="Arial" w:eastAsia="Arial" w:cs="Arial"/>
        </w:rPr>
      </w:pPr>
      <w:r w:rsidRPr="730F9435" w:rsidR="6613F30C">
        <w:rPr>
          <w:rFonts w:ascii="Arial" w:hAnsi="Arial" w:eastAsia="Arial" w:cs="Arial"/>
        </w:rPr>
        <w:t xml:space="preserve">Psychological Safety Limitations: </w:t>
      </w:r>
      <w:r w:rsidRPr="730F9435" w:rsidR="6613F30C">
        <w:rPr>
          <w:rFonts w:ascii="Arial" w:hAnsi="Arial" w:eastAsia="Arial" w:cs="Arial"/>
        </w:rPr>
        <w:t>Detert</w:t>
      </w:r>
      <w:r w:rsidRPr="730F9435" w:rsidR="6613F30C">
        <w:rPr>
          <w:rFonts w:ascii="Arial" w:hAnsi="Arial" w:eastAsia="Arial" w:cs="Arial"/>
        </w:rPr>
        <w:t xml:space="preserve"> and Edmondson (2011) emphasise psychological safety for error reporting and constructive dissent. Toyota’s recall crisis </w:t>
      </w:r>
      <w:r w:rsidRPr="730F9435" w:rsidR="6613F30C">
        <w:rPr>
          <w:rFonts w:ascii="Arial" w:hAnsi="Arial" w:eastAsia="Arial" w:cs="Arial"/>
        </w:rPr>
        <w:t>demonstrated</w:t>
      </w:r>
      <w:r w:rsidRPr="730F9435" w:rsidR="6613F30C">
        <w:rPr>
          <w:rFonts w:ascii="Arial" w:hAnsi="Arial" w:eastAsia="Arial" w:cs="Arial"/>
        </w:rPr>
        <w:t xml:space="preserve"> hierarchical norms discouraged escalation despite kaizen rhetoric. The 2023 Woven Planet restructuring—where independent software development was recentralised—suggests persistent cultural discomfort with autonomous, externally-oriented units. For EV transition, this limits identification of software development problems requiring rapid escalation.</w:t>
      </w:r>
    </w:p>
    <w:p w:rsidR="00B72ADF" w:rsidP="71C39D64" w:rsidRDefault="00B72ADF" w14:paraId="55333B01" w14:textId="26E4E8D6">
      <w:pPr>
        <w:rPr>
          <w:rFonts w:ascii="Arial" w:hAnsi="Arial" w:eastAsia="Arial" w:cs="Arial"/>
        </w:rPr>
      </w:pPr>
      <w:r w:rsidRPr="730F9435" w:rsidR="6613F30C">
        <w:rPr>
          <w:rFonts w:ascii="Arial" w:hAnsi="Arial" w:eastAsia="Arial" w:cs="Arial"/>
        </w:rPr>
        <w:t xml:space="preserve">Insularity and Not-Invented-Here Tendencies: Schneider, </w:t>
      </w:r>
      <w:r w:rsidRPr="730F9435" w:rsidR="6613F30C">
        <w:rPr>
          <w:rFonts w:ascii="Arial" w:hAnsi="Arial" w:eastAsia="Arial" w:cs="Arial"/>
        </w:rPr>
        <w:t>Ehrhart</w:t>
      </w:r>
      <w:r w:rsidRPr="730F9435" w:rsidR="6613F30C">
        <w:rPr>
          <w:rFonts w:ascii="Arial" w:hAnsi="Arial" w:eastAsia="Arial" w:cs="Arial"/>
        </w:rPr>
        <w:t xml:space="preserve"> and Macey (2013) warn robust cultures become insular without external perspective infusion. Toyota’s historical preference for internal development (</w:t>
      </w:r>
      <w:r w:rsidRPr="730F9435" w:rsidR="6613F30C">
        <w:rPr>
          <w:rFonts w:ascii="Arial" w:hAnsi="Arial" w:eastAsia="Arial" w:cs="Arial"/>
        </w:rPr>
        <w:t>evident</w:t>
      </w:r>
      <w:r w:rsidRPr="730F9435" w:rsidR="6613F30C">
        <w:rPr>
          <w:rFonts w:ascii="Arial" w:hAnsi="Arial" w:eastAsia="Arial" w:cs="Arial"/>
        </w:rPr>
        <w:t xml:space="preserve"> in Woven Core’s automated driving strategy) may retard software innovation compared to collaborative approaches (Toyota Times, 2021). The 2024 Google Cloud partnership </w:t>
      </w:r>
      <w:r w:rsidRPr="730F9435" w:rsidR="6613F30C">
        <w:rPr>
          <w:rFonts w:ascii="Arial" w:hAnsi="Arial" w:eastAsia="Arial" w:cs="Arial"/>
        </w:rPr>
        <w:t>represents</w:t>
      </w:r>
      <w:r w:rsidRPr="730F9435" w:rsidR="6613F30C">
        <w:rPr>
          <w:rFonts w:ascii="Arial" w:hAnsi="Arial" w:eastAsia="Arial" w:cs="Arial"/>
        </w:rPr>
        <w:t xml:space="preserve"> partial recognition, yet cultural resistance to deep external integration persists.</w:t>
      </w:r>
    </w:p>
    <w:p w:rsidR="00B72ADF" w:rsidP="71C39D64" w:rsidRDefault="00B72ADF" w14:paraId="1842BED3" w14:textId="4F2A279E">
      <w:pPr>
        <w:rPr>
          <w:rFonts w:ascii="Arial" w:hAnsi="Arial" w:eastAsia="Arial" w:cs="Arial"/>
        </w:rPr>
      </w:pPr>
      <w:r w:rsidRPr="730F9435" w:rsidR="6613F30C">
        <w:rPr>
          <w:rFonts w:ascii="Arial" w:hAnsi="Arial" w:eastAsia="Arial" w:cs="Arial"/>
        </w:rPr>
        <w:t xml:space="preserve">Temporal Orientation Misalignment: Toyota’s extended temporal orientation, historically </w:t>
      </w:r>
      <w:r w:rsidRPr="730F9435" w:rsidR="6613F30C">
        <w:rPr>
          <w:rFonts w:ascii="Arial" w:hAnsi="Arial" w:eastAsia="Arial" w:cs="Arial"/>
        </w:rPr>
        <w:t>advantageous</w:t>
      </w:r>
      <w:r w:rsidRPr="730F9435" w:rsidR="6613F30C">
        <w:rPr>
          <w:rFonts w:ascii="Arial" w:hAnsi="Arial" w:eastAsia="Arial" w:cs="Arial"/>
        </w:rPr>
        <w:t xml:space="preserve">, now constitutes temporal misalignment. Hydrogen fuel cell investment as “ultimate eco-car” solution, while battery EVs dominated market evolution, </w:t>
      </w:r>
      <w:r w:rsidRPr="730F9435" w:rsidR="6613F30C">
        <w:rPr>
          <w:rFonts w:ascii="Arial" w:hAnsi="Arial" w:eastAsia="Arial" w:cs="Arial"/>
        </w:rPr>
        <w:t>demonstrates</w:t>
      </w:r>
      <w:r w:rsidRPr="730F9435" w:rsidR="6613F30C">
        <w:rPr>
          <w:rFonts w:ascii="Arial" w:hAnsi="Arial" w:eastAsia="Arial" w:cs="Arial"/>
        </w:rPr>
        <w:t xml:space="preserve"> cultural assumptions </w:t>
      </w:r>
      <w:r w:rsidRPr="730F9435" w:rsidR="6613F30C">
        <w:rPr>
          <w:rFonts w:ascii="Arial" w:hAnsi="Arial" w:eastAsia="Arial" w:cs="Arial"/>
        </w:rPr>
        <w:t>regarding</w:t>
      </w:r>
      <w:r w:rsidRPr="730F9435" w:rsidR="6613F30C">
        <w:rPr>
          <w:rFonts w:ascii="Arial" w:hAnsi="Arial" w:eastAsia="Arial" w:cs="Arial"/>
        </w:rPr>
        <w:t xml:space="preserve"> technology trajectories requiring external competitive shock to disrupt. The 2023 battery investment U-turn </w:t>
      </w:r>
      <w:r w:rsidRPr="730F9435" w:rsidR="6613F30C">
        <w:rPr>
          <w:rFonts w:ascii="Arial" w:hAnsi="Arial" w:eastAsia="Arial" w:cs="Arial"/>
        </w:rPr>
        <w:t>indicates</w:t>
      </w:r>
      <w:r w:rsidRPr="730F9435" w:rsidR="6613F30C">
        <w:rPr>
          <w:rFonts w:ascii="Arial" w:hAnsi="Arial" w:eastAsia="Arial" w:cs="Arial"/>
        </w:rPr>
        <w:t xml:space="preserve"> crisis-driven rather than anticipatory adaptation.</w:t>
      </w:r>
    </w:p>
    <w:p w:rsidR="00B72ADF" w:rsidP="71C39D64" w:rsidRDefault="00B72ADF" w14:paraId="26D60FB1" w14:textId="014E9573">
      <w:pPr>
        <w:rPr>
          <w:rFonts w:ascii="Arial" w:hAnsi="Arial" w:eastAsia="Arial" w:cs="Arial"/>
        </w:rPr>
      </w:pPr>
      <w:r w:rsidRPr="730F9435" w:rsidR="6613F30C">
        <w:rPr>
          <w:rFonts w:ascii="Arial" w:hAnsi="Arial" w:eastAsia="Arial" w:cs="Arial"/>
        </w:rPr>
        <w:t>Generational and Global Tensions: As workforce diversifies globally, Japanese cultural assumptions (elevated power distance, collectivism) conflict with expectations of younger, international talent—particularly software specialists preferring Silicon Valley individualism and flat hierarchies. This talent acquisition and retention challenge threatens EV software capabilities.</w:t>
      </w:r>
    </w:p>
    <w:p w:rsidR="00B72ADF" w:rsidP="730F9435" w:rsidRDefault="00B72ADF" w14:paraId="7D24BE9B" w14:textId="77777777">
      <w:pPr>
        <w:pStyle w:val="Heading1"/>
        <w:rPr>
          <w:rFonts w:ascii="Arial" w:hAnsi="Arial" w:eastAsia="Arial" w:cs="Arial"/>
        </w:rPr>
      </w:pPr>
      <w:bookmarkStart w:name="_Toc616225866" w:id="1476654997"/>
      <w:bookmarkStart w:name="_Toc1149229681" w:id="1549443197"/>
      <w:r w:rsidR="6613F30C">
        <w:rPr/>
        <w:t>6.0 Culture–Performance Relationships</w:t>
      </w:r>
      <w:bookmarkEnd w:id="1476654997"/>
      <w:bookmarkEnd w:id="1549443197"/>
    </w:p>
    <w:p w:rsidR="00B72ADF" w:rsidP="71C39D64" w:rsidRDefault="00B72ADF" w14:paraId="05B14130" w14:textId="77777777">
      <w:pPr>
        <w:rPr>
          <w:rFonts w:ascii="Arial" w:hAnsi="Arial" w:eastAsia="Arial" w:cs="Arial"/>
        </w:rPr>
      </w:pPr>
    </w:p>
    <w:p w:rsidR="00B72ADF" w:rsidP="71C39D64" w:rsidRDefault="00B72ADF" w14:paraId="3BD7A3BF" w14:textId="1178F266">
      <w:pPr>
        <w:rPr>
          <w:rFonts w:ascii="Arial" w:hAnsi="Arial" w:eastAsia="Arial" w:cs="Arial"/>
        </w:rPr>
      </w:pPr>
      <w:r w:rsidRPr="730F9435" w:rsidR="6613F30C">
        <w:rPr>
          <w:rFonts w:ascii="Arial" w:hAnsi="Arial" w:eastAsia="Arial" w:cs="Arial"/>
        </w:rPr>
        <w:t xml:space="preserve">Toyota’s culture </w:t>
      </w:r>
      <w:r w:rsidRPr="730F9435" w:rsidR="6613F30C">
        <w:rPr>
          <w:rFonts w:ascii="Arial" w:hAnsi="Arial" w:eastAsia="Arial" w:cs="Arial"/>
        </w:rPr>
        <w:t>demonstrates</w:t>
      </w:r>
      <w:r w:rsidRPr="730F9435" w:rsidR="6613F30C">
        <w:rPr>
          <w:rFonts w:ascii="Arial" w:hAnsi="Arial" w:eastAsia="Arial" w:cs="Arial"/>
        </w:rPr>
        <w:t xml:space="preserve"> ambivalent performance impacts:</w:t>
      </w:r>
    </w:p>
    <w:p w:rsidR="00B72ADF" w:rsidP="71C39D64" w:rsidRDefault="00B72ADF" w14:paraId="6C8640F7" w14:textId="2A748422">
      <w:pPr>
        <w:rPr>
          <w:rFonts w:ascii="Arial" w:hAnsi="Arial" w:eastAsia="Arial" w:cs="Arial"/>
        </w:rPr>
      </w:pPr>
      <w:r w:rsidRPr="730F9435" w:rsidR="6613F30C">
        <w:rPr>
          <w:rFonts w:ascii="Arial" w:hAnsi="Arial" w:eastAsia="Arial" w:cs="Arial"/>
        </w:rPr>
        <w:t xml:space="preserve">Operational Performance: Culture directly enables industry-leading quality benchmarks. In 2023, Toyota ranked first in J.D. Power vehicle dependability studies for ninth consecutive year, recording 133 problems per 100 vehicles versus industry average 186 (J.D. Power, 2023). TPS waste elimination </w:t>
      </w:r>
      <w:r w:rsidRPr="730F9435" w:rsidR="6613F30C">
        <w:rPr>
          <w:rFonts w:ascii="Arial" w:hAnsi="Arial" w:eastAsia="Arial" w:cs="Arial"/>
        </w:rPr>
        <w:t>maintains</w:t>
      </w:r>
      <w:r w:rsidRPr="730F9435" w:rsidR="6613F30C">
        <w:rPr>
          <w:rFonts w:ascii="Arial" w:hAnsi="Arial" w:eastAsia="Arial" w:cs="Arial"/>
        </w:rPr>
        <w:t xml:space="preserve"> manufacturing efficiency with 8.5% operating profit margin—highest among major automakers (Toyota, 2024).</w:t>
      </w:r>
    </w:p>
    <w:p w:rsidR="00B72ADF" w:rsidP="71C39D64" w:rsidRDefault="00B72ADF" w14:paraId="7A568680" w14:textId="775D39F9">
      <w:pPr>
        <w:rPr>
          <w:rFonts w:ascii="Arial" w:hAnsi="Arial" w:eastAsia="Arial" w:cs="Arial"/>
        </w:rPr>
      </w:pPr>
      <w:r w:rsidRPr="730F9435" w:rsidR="6613F30C">
        <w:rPr>
          <w:rFonts w:ascii="Arial" w:hAnsi="Arial" w:eastAsia="Arial" w:cs="Arial"/>
        </w:rPr>
        <w:t xml:space="preserve">Financial Performance: Cultural emphasis on enduring value creation supports stability. Toyota </w:t>
      </w:r>
      <w:r w:rsidRPr="730F9435" w:rsidR="6613F30C">
        <w:rPr>
          <w:rFonts w:ascii="Arial" w:hAnsi="Arial" w:eastAsia="Arial" w:cs="Arial"/>
        </w:rPr>
        <w:t>maintains</w:t>
      </w:r>
      <w:r w:rsidRPr="730F9435" w:rsidR="6613F30C">
        <w:rPr>
          <w:rFonts w:ascii="Arial" w:hAnsi="Arial" w:eastAsia="Arial" w:cs="Arial"/>
        </w:rPr>
        <w:t xml:space="preserve"> ¥12 trillion (80bn) cash reserves, enabling sustained R&amp;D investment (10bn annually) and cyclical resilience (Toyota, 2024). However, market capitalisation (300bn) trails Tesla (800bn), reflecting investor </w:t>
      </w:r>
      <w:r w:rsidRPr="730F9435" w:rsidR="6613F30C">
        <w:rPr>
          <w:rFonts w:ascii="Arial" w:hAnsi="Arial" w:eastAsia="Arial" w:cs="Arial"/>
        </w:rPr>
        <w:t>perception</w:t>
      </w:r>
      <w:r w:rsidRPr="730F9435" w:rsidR="6613F30C">
        <w:rPr>
          <w:rFonts w:ascii="Arial" w:hAnsi="Arial" w:eastAsia="Arial" w:cs="Arial"/>
        </w:rPr>
        <w:t xml:space="preserve"> that culture constrains growth in high-value EV and software segments.</w:t>
      </w:r>
    </w:p>
    <w:p w:rsidR="00B72ADF" w:rsidP="71C39D64" w:rsidRDefault="00B72ADF" w14:paraId="250B3CD4" w14:textId="4B08136C">
      <w:pPr>
        <w:rPr>
          <w:rFonts w:ascii="Arial" w:hAnsi="Arial" w:eastAsia="Arial" w:cs="Arial"/>
        </w:rPr>
      </w:pPr>
      <w:r w:rsidRPr="730F9435" w:rsidR="6613F30C">
        <w:rPr>
          <w:rFonts w:ascii="Arial" w:hAnsi="Arial" w:eastAsia="Arial" w:cs="Arial"/>
        </w:rPr>
        <w:t xml:space="preserve">Innovation Performance: Cultural impact is most contested. Toyota holds 48,000+ patents and pioneered hybrid technology, but EV market entry timing and software capabilities lag competitors. The 2023-2025 cultural adaptations aim addressing this gap without sacrificing operational discipline, yet success </w:t>
      </w:r>
      <w:r w:rsidRPr="730F9435" w:rsidR="6613F30C">
        <w:rPr>
          <w:rFonts w:ascii="Arial" w:hAnsi="Arial" w:eastAsia="Arial" w:cs="Arial"/>
        </w:rPr>
        <w:t>remains</w:t>
      </w:r>
      <w:r w:rsidRPr="730F9435" w:rsidR="6613F30C">
        <w:rPr>
          <w:rFonts w:ascii="Arial" w:hAnsi="Arial" w:eastAsia="Arial" w:cs="Arial"/>
        </w:rPr>
        <w:t xml:space="preserve"> unproven.</w:t>
      </w:r>
    </w:p>
    <w:p w:rsidR="00B72ADF" w:rsidP="71C39D64" w:rsidRDefault="00B72ADF" w14:paraId="3E5CCC16" w14:textId="3EEFB3B9">
      <w:pPr>
        <w:rPr>
          <w:rFonts w:ascii="Arial" w:hAnsi="Arial" w:eastAsia="Arial" w:cs="Arial"/>
        </w:rPr>
      </w:pPr>
      <w:r w:rsidRPr="730F9435" w:rsidR="6613F30C">
        <w:rPr>
          <w:rFonts w:ascii="Arial" w:hAnsi="Arial" w:eastAsia="Arial" w:cs="Arial"/>
        </w:rPr>
        <w:t xml:space="preserve">Stakeholder Performance: “Respect for people” supports employee retention (3% voluntary turnover versus industry 15%) and supplier relationships (keiretsu networks). However, recall crisis reputational damage and EV transition delays erode brand </w:t>
      </w:r>
      <w:r w:rsidRPr="730F9435" w:rsidR="6613F30C">
        <w:rPr>
          <w:rFonts w:ascii="Arial" w:hAnsi="Arial" w:eastAsia="Arial" w:cs="Arial"/>
        </w:rPr>
        <w:t>perception</w:t>
      </w:r>
      <w:r w:rsidRPr="730F9435" w:rsidR="6613F30C">
        <w:rPr>
          <w:rFonts w:ascii="Arial" w:hAnsi="Arial" w:eastAsia="Arial" w:cs="Arial"/>
        </w:rPr>
        <w:t xml:space="preserve"> among environmentally conscious consumers.</w:t>
      </w:r>
    </w:p>
    <w:p w:rsidR="00B72ADF" w:rsidP="71C39D64" w:rsidRDefault="00B72ADF" w14:paraId="090E359F" w14:textId="4584C590">
      <w:pPr>
        <w:rPr>
          <w:rFonts w:ascii="Arial" w:hAnsi="Arial" w:eastAsia="Arial" w:cs="Arial"/>
        </w:rPr>
      </w:pPr>
      <w:proofErr w:type="spellStart"/>
      <w:r>
        <w:rPr>
          <w:rFonts w:ascii="Arial" w:hAnsi="Arial" w:eastAsia="Arial" w:cs="Arial"/>
        </w:rPr>
        <w:t>Alvesson</w:t>
      </w:r>
      <w:proofErr w:type="spellEnd"/>
      <w:r>
        <w:rPr>
          <w:rFonts w:ascii="Arial" w:hAnsi="Arial" w:eastAsia="Arial" w:cs="Arial"/>
        </w:rPr>
        <w:t xml:space="preserve"> (2013) cautions against attributing performance solely to culture; outcomes reflect interactions between culture, strategy, leadership, and external conditions. Toyota’s performance reflects technological accumulation, supply chain management, and institutional support alongside cultural strength. Nevertheless, culture-strategy alignment has been central to competitiveness. Maintaining this while enhancing adaptability is essential for future performance.</w:t>
      </w:r>
    </w:p>
    <w:p w:rsidR="00B72ADF" w:rsidP="71C39D64" w:rsidRDefault="00B72ADF" w14:paraId="012BCF23" w14:textId="77777777">
      <w:pPr>
        <w:rPr>
          <w:rFonts w:ascii="Arial" w:hAnsi="Arial" w:eastAsia="Arial" w:cs="Arial"/>
        </w:rPr>
      </w:pPr>
    </w:p>
    <w:p w:rsidR="00B72ADF" w:rsidP="730F9435" w:rsidRDefault="00B72ADF" w14:paraId="08B611F0" w14:textId="77777777">
      <w:pPr>
        <w:pStyle w:val="Heading1"/>
        <w:rPr>
          <w:rFonts w:ascii="Arial" w:hAnsi="Arial" w:eastAsia="Arial" w:cs="Arial"/>
        </w:rPr>
      </w:pPr>
      <w:bookmarkStart w:name="_Toc1181283516" w:id="260185795"/>
      <w:bookmarkStart w:name="_Toc103224803" w:id="1566184089"/>
      <w:r w:rsidR="6613F30C">
        <w:rPr/>
        <w:t>7.0 Recommendations</w:t>
      </w:r>
      <w:bookmarkEnd w:id="260185795"/>
      <w:bookmarkEnd w:id="1566184089"/>
    </w:p>
    <w:p w:rsidR="00B72ADF" w:rsidP="71C39D64" w:rsidRDefault="00B72ADF" w14:paraId="4BDADBB6" w14:textId="77777777">
      <w:pPr>
        <w:rPr>
          <w:rFonts w:ascii="Arial" w:hAnsi="Arial" w:eastAsia="Arial" w:cs="Arial"/>
        </w:rPr>
      </w:pPr>
    </w:p>
    <w:p w:rsidR="00B72ADF" w:rsidP="71C39D64" w:rsidRDefault="00B72ADF" w14:paraId="262BAAF3" w14:textId="77777777">
      <w:pPr>
        <w:rPr>
          <w:rFonts w:ascii="Arial" w:hAnsi="Arial" w:eastAsia="Arial" w:cs="Arial"/>
        </w:rPr>
      </w:pPr>
      <w:r w:rsidRPr="730F9435" w:rsidR="6613F30C">
        <w:rPr>
          <w:rFonts w:ascii="Arial" w:hAnsi="Arial" w:eastAsia="Arial" w:cs="Arial"/>
          <w:b w:val="1"/>
          <w:bCs w:val="1"/>
        </w:rPr>
        <w:t>7.1 Restructure Crisis Communication Protocols</w:t>
      </w:r>
    </w:p>
    <w:p w:rsidR="00B72ADF" w:rsidP="71C39D64" w:rsidRDefault="00B72ADF" w14:paraId="54611B05" w14:textId="2D3899E8">
      <w:pPr>
        <w:rPr>
          <w:rFonts w:ascii="Arial" w:hAnsi="Arial" w:eastAsia="Arial" w:cs="Arial"/>
        </w:rPr>
      </w:pPr>
      <w:r w:rsidRPr="730F9435" w:rsidR="6613F30C">
        <w:rPr>
          <w:rFonts w:ascii="Arial" w:hAnsi="Arial" w:eastAsia="Arial" w:cs="Arial"/>
        </w:rPr>
        <w:t xml:space="preserve">Implement “Digital Andon” system for EV safety and software issues, enabling direct escalation to Chief Safety Officers bypassing regional hierarchies. Address 2009-10 recall findings that no US executive </w:t>
      </w:r>
      <w:r w:rsidRPr="730F9435" w:rsidR="6613F30C">
        <w:rPr>
          <w:rFonts w:ascii="Arial" w:hAnsi="Arial" w:eastAsia="Arial" w:cs="Arial"/>
        </w:rPr>
        <w:t>possessed</w:t>
      </w:r>
      <w:r w:rsidRPr="730F9435" w:rsidR="6613F30C">
        <w:rPr>
          <w:rFonts w:ascii="Arial" w:hAnsi="Arial" w:eastAsia="Arial" w:cs="Arial"/>
        </w:rPr>
        <w:t xml:space="preserve"> recall authority. Establish parallel rapid-escalation channels for software development crises distinct from hardware quality protocols. Timeline: Q2 2025.</w:t>
      </w:r>
    </w:p>
    <w:p w:rsidR="00B72ADF" w:rsidP="730F9435" w:rsidRDefault="00B72ADF" w14:paraId="2C56807C" w14:textId="77777777">
      <w:pPr>
        <w:rPr>
          <w:rFonts w:ascii="Arial" w:hAnsi="Arial" w:eastAsia="Arial" w:cs="Arial"/>
          <w:b w:val="1"/>
          <w:bCs w:val="1"/>
        </w:rPr>
      </w:pPr>
      <w:r w:rsidRPr="730F9435" w:rsidR="6613F30C">
        <w:rPr>
          <w:rFonts w:ascii="Arial" w:hAnsi="Arial" w:eastAsia="Arial" w:cs="Arial"/>
          <w:b w:val="1"/>
          <w:bCs w:val="1"/>
        </w:rPr>
        <w:t>7</w:t>
      </w:r>
      <w:r w:rsidRPr="730F9435" w:rsidR="6613F30C">
        <w:rPr>
          <w:rFonts w:ascii="Arial" w:hAnsi="Arial" w:eastAsia="Arial" w:cs="Arial"/>
          <w:b w:val="1"/>
          <w:bCs w:val="1"/>
        </w:rPr>
        <w:t xml:space="preserve">.2 Institutionalise </w:t>
      </w:r>
      <w:r w:rsidRPr="730F9435" w:rsidR="6613F30C">
        <w:rPr>
          <w:rFonts w:ascii="Arial" w:hAnsi="Arial" w:eastAsia="Arial" w:cs="Arial"/>
          <w:b w:val="1"/>
          <w:bCs w:val="1"/>
        </w:rPr>
        <w:t>Ambidextrous Innovation</w:t>
      </w:r>
    </w:p>
    <w:p w:rsidR="00B72ADF" w:rsidP="71C39D64" w:rsidRDefault="00B72ADF" w14:paraId="49C04A03" w14:textId="0816707A">
      <w:pPr>
        <w:rPr>
          <w:rFonts w:ascii="Arial" w:hAnsi="Arial" w:eastAsia="Arial" w:cs="Arial"/>
        </w:rPr>
      </w:pPr>
      <w:r w:rsidRPr="730F9435" w:rsidR="6613F30C">
        <w:rPr>
          <w:rFonts w:ascii="Arial" w:hAnsi="Arial" w:eastAsia="Arial" w:cs="Arial"/>
        </w:rPr>
        <w:t>Create “Innovation Sandboxes”—physically and culturally separated units with distinct norms (task culture dominance) for EV software development, protected from role culture assimilation. Maintain TPS discipline for hardware; adopt agile methodologies for software. Establish explicit “firewalls” preventing premature standardisation of exploratory activities. Leadership must actively protect these units from efficiency-driven encroachment. Timeline: Q3 2025.</w:t>
      </w:r>
    </w:p>
    <w:p w:rsidR="00B72ADF" w:rsidP="730F9435" w:rsidRDefault="00B72ADF" w14:paraId="70E4275C" w14:textId="77777777">
      <w:pPr>
        <w:rPr>
          <w:rFonts w:ascii="Arial" w:hAnsi="Arial" w:eastAsia="Arial" w:cs="Arial"/>
          <w:b w:val="1"/>
          <w:bCs w:val="1"/>
        </w:rPr>
      </w:pPr>
      <w:r w:rsidRPr="730F9435" w:rsidR="6613F30C">
        <w:rPr>
          <w:rFonts w:ascii="Arial" w:hAnsi="Arial" w:eastAsia="Arial" w:cs="Arial"/>
          <w:b w:val="1"/>
          <w:bCs w:val="1"/>
        </w:rPr>
        <w:t>7.3 Develop Cultural Reflexivity Mechanisms</w:t>
      </w:r>
    </w:p>
    <w:p w:rsidR="00B72ADF" w:rsidP="71C39D64" w:rsidRDefault="00B72ADF" w14:paraId="176D54DD" w14:textId="50D6B51C">
      <w:pPr>
        <w:rPr>
          <w:rFonts w:ascii="Arial" w:hAnsi="Arial" w:eastAsia="Arial" w:cs="Arial"/>
        </w:rPr>
      </w:pPr>
      <w:r w:rsidRPr="730F9435" w:rsidR="6613F30C">
        <w:rPr>
          <w:rFonts w:ascii="Arial" w:hAnsi="Arial" w:eastAsia="Arial" w:cs="Arial"/>
        </w:rPr>
        <w:t>Establish annual “Assumption Audits” where senior leadership explicitly examines whether foundational beliefs (e.g., “incremental improvement suffices,” “internal development ensures quality”) remain valid given environmental disruption. Schein (2017) emphasises such reflexivity enables adaptation without identity loss. Integrate external board members from software industries to challenge embedded assumptions. Timeline: Q4 2025.</w:t>
      </w:r>
    </w:p>
    <w:p w:rsidR="00B72ADF" w:rsidP="730F9435" w:rsidRDefault="00B72ADF" w14:paraId="585D51B7" w14:textId="77777777">
      <w:pPr>
        <w:rPr>
          <w:rFonts w:ascii="Arial" w:hAnsi="Arial" w:eastAsia="Arial" w:cs="Arial"/>
          <w:b w:val="1"/>
          <w:bCs w:val="1"/>
        </w:rPr>
      </w:pPr>
      <w:r w:rsidRPr="730F9435" w:rsidR="6613F30C">
        <w:rPr>
          <w:rFonts w:ascii="Arial" w:hAnsi="Arial" w:eastAsia="Arial" w:cs="Arial"/>
          <w:b w:val="1"/>
          <w:bCs w:val="1"/>
        </w:rPr>
        <w:t>7.4 Enhance Global Cultural Integration</w:t>
      </w:r>
    </w:p>
    <w:p w:rsidR="00B72ADF" w:rsidP="71C39D64" w:rsidRDefault="00B72ADF" w14:paraId="281083E3" w14:textId="514CD305">
      <w:pPr>
        <w:rPr>
          <w:rFonts w:ascii="Arial" w:hAnsi="Arial" w:eastAsia="Arial" w:cs="Arial"/>
        </w:rPr>
      </w:pPr>
      <w:r w:rsidRPr="730F9435" w:rsidR="6613F30C">
        <w:rPr>
          <w:rFonts w:ascii="Arial" w:hAnsi="Arial" w:eastAsia="Arial" w:cs="Arial"/>
        </w:rPr>
        <w:t xml:space="preserve">Deploy “Cultural Translation” leadership roles in EV priority markets (China, Europe) empowered to adapt </w:t>
      </w:r>
      <w:r w:rsidRPr="730F9435" w:rsidR="6613F30C">
        <w:rPr>
          <w:rFonts w:ascii="Arial" w:hAnsi="Arial" w:eastAsia="Arial" w:cs="Arial"/>
        </w:rPr>
        <w:t>nemawashi</w:t>
      </w:r>
      <w:r w:rsidRPr="730F9435" w:rsidR="6613F30C">
        <w:rPr>
          <w:rFonts w:ascii="Arial" w:hAnsi="Arial" w:eastAsia="Arial" w:cs="Arial"/>
        </w:rPr>
        <w:t xml:space="preserve"> to local decision-making speeds while </w:t>
      </w:r>
      <w:r w:rsidRPr="730F9435" w:rsidR="6613F30C">
        <w:rPr>
          <w:rFonts w:ascii="Arial" w:hAnsi="Arial" w:eastAsia="Arial" w:cs="Arial"/>
        </w:rPr>
        <w:t>maintaining</w:t>
      </w:r>
      <w:r w:rsidRPr="730F9435" w:rsidR="6613F30C">
        <w:rPr>
          <w:rFonts w:ascii="Arial" w:hAnsi="Arial" w:eastAsia="Arial" w:cs="Arial"/>
        </w:rPr>
        <w:t xml:space="preserve"> quality standards. Address Hofstede’s power distance tensions in high-autonomy software development contexts through hybrid team structures combining Japanese quality discipline with local innovation rhythms. Timeline: Q1 2026.</w:t>
      </w:r>
    </w:p>
    <w:p w:rsidR="00B72ADF" w:rsidP="730F9435" w:rsidRDefault="00B72ADF" w14:paraId="1CA05576" w14:textId="77777777">
      <w:pPr>
        <w:rPr>
          <w:rFonts w:ascii="Arial" w:hAnsi="Arial" w:eastAsia="Arial" w:cs="Arial"/>
          <w:b w:val="1"/>
          <w:bCs w:val="1"/>
        </w:rPr>
      </w:pPr>
      <w:r w:rsidRPr="730F9435" w:rsidR="6613F30C">
        <w:rPr>
          <w:rFonts w:ascii="Arial" w:hAnsi="Arial" w:eastAsia="Arial" w:cs="Arial"/>
          <w:b w:val="1"/>
          <w:bCs w:val="1"/>
        </w:rPr>
        <w:t>7.5 Balance Exploitation and Exploration Metrics</w:t>
      </w:r>
    </w:p>
    <w:p w:rsidR="00B72ADF" w:rsidP="71C39D64" w:rsidRDefault="00B72ADF" w14:paraId="4DFB59F9" w14:textId="7DB2E1C2">
      <w:pPr>
        <w:rPr>
          <w:rFonts w:ascii="Arial" w:hAnsi="Arial" w:eastAsia="Arial" w:cs="Arial"/>
        </w:rPr>
      </w:pPr>
      <w:r>
        <w:rPr>
          <w:rFonts w:ascii="Arial" w:hAnsi="Arial" w:eastAsia="Arial" w:cs="Arial"/>
        </w:rPr>
        <w:t>Rebalance KPIs: currently weighted toward operational efficiency (80/20 exploitation/exploration). Shift to 60/40 weighting for EV division, measuring software release velocity, partnership formation, and platform modularity alongside traditional quality metrics. Aligns with Denison and Mishra’s (1995) adaptability quadrant. Tie executive compensation to exploration metrics to overcome cultural bias toward exploitation. Timeline: Q2 2026.</w:t>
      </w:r>
    </w:p>
    <w:p w:rsidR="00B72ADF" w:rsidP="71C39D64" w:rsidRDefault="00B72ADF" w14:paraId="3EB77196" w14:textId="77777777">
      <w:pPr>
        <w:rPr>
          <w:rFonts w:ascii="Arial" w:hAnsi="Arial" w:eastAsia="Arial" w:cs="Arial"/>
        </w:rPr>
      </w:pPr>
    </w:p>
    <w:p w:rsidR="00B72ADF" w:rsidP="730F9435" w:rsidRDefault="00B72ADF" w14:paraId="1E8D4FF3" w14:textId="77777777">
      <w:pPr>
        <w:pStyle w:val="Heading1"/>
        <w:rPr>
          <w:rFonts w:ascii="Arial" w:hAnsi="Arial" w:eastAsia="Arial" w:cs="Arial"/>
        </w:rPr>
      </w:pPr>
      <w:bookmarkStart w:name="_Toc274893682" w:id="214925352"/>
      <w:bookmarkStart w:name="_Toc997843897" w:id="580448905"/>
      <w:r w:rsidR="6613F30C">
        <w:rPr/>
        <w:t>8.0 Conclusion</w:t>
      </w:r>
      <w:bookmarkEnd w:id="214925352"/>
      <w:bookmarkEnd w:id="580448905"/>
    </w:p>
    <w:p w:rsidR="00B72ADF" w:rsidP="71C39D64" w:rsidRDefault="00B72ADF" w14:paraId="2E40E98E" w14:textId="77777777">
      <w:pPr>
        <w:rPr>
          <w:rFonts w:ascii="Arial" w:hAnsi="Arial" w:eastAsia="Arial" w:cs="Arial"/>
        </w:rPr>
      </w:pPr>
    </w:p>
    <w:p w:rsidR="00B72ADF" w:rsidP="71C39D64" w:rsidRDefault="00B72ADF" w14:paraId="1AE0DB39" w14:textId="0DFBC701">
      <w:pPr>
        <w:rPr>
          <w:rFonts w:ascii="Arial" w:hAnsi="Arial" w:eastAsia="Arial" w:cs="Arial"/>
        </w:rPr>
      </w:pPr>
      <w:r w:rsidRPr="730F9435" w:rsidR="6613F30C">
        <w:rPr>
          <w:rFonts w:ascii="Arial" w:hAnsi="Arial" w:eastAsia="Arial" w:cs="Arial"/>
        </w:rPr>
        <w:t xml:space="preserve">This report has critically examined organisational culture’s role in shaping structure, decision-making, and performance at Toyota Motor Corporation. Through Schein’s tripartite model, Hofstede’s dimensions, and </w:t>
      </w:r>
      <w:r w:rsidRPr="730F9435" w:rsidR="6613F30C">
        <w:rPr>
          <w:rFonts w:ascii="Arial" w:hAnsi="Arial" w:eastAsia="Arial" w:cs="Arial"/>
        </w:rPr>
        <w:t>Handy’s</w:t>
      </w:r>
      <w:r w:rsidRPr="730F9435" w:rsidR="6613F30C">
        <w:rPr>
          <w:rFonts w:ascii="Arial" w:hAnsi="Arial" w:eastAsia="Arial" w:cs="Arial"/>
        </w:rPr>
        <w:t xml:space="preserve"> typology, analysis </w:t>
      </w:r>
      <w:r w:rsidRPr="730F9435" w:rsidR="6613F30C">
        <w:rPr>
          <w:rFonts w:ascii="Arial" w:hAnsi="Arial" w:eastAsia="Arial" w:cs="Arial"/>
        </w:rPr>
        <w:t>demonstrates</w:t>
      </w:r>
      <w:r w:rsidRPr="730F9435" w:rsidR="6613F30C">
        <w:rPr>
          <w:rFonts w:ascii="Arial" w:hAnsi="Arial" w:eastAsia="Arial" w:cs="Arial"/>
        </w:rPr>
        <w:t xml:space="preserve"> that Toyota’s culture—characterised by deep assumptions of continuous improvement, collectivism, uncertainty avoidance, and role/task hybridity—has underpinned eight decades of operational excellence, quality leadership, and financial stability.</w:t>
      </w:r>
    </w:p>
    <w:p w:rsidR="00B72ADF" w:rsidP="71C39D64" w:rsidRDefault="00B72ADF" w14:paraId="19D2DA68" w14:textId="443A1855">
      <w:pPr>
        <w:rPr>
          <w:rFonts w:ascii="Arial" w:hAnsi="Arial" w:eastAsia="Arial" w:cs="Arial"/>
        </w:rPr>
      </w:pPr>
      <w:r w:rsidRPr="730F9435" w:rsidR="6613F30C">
        <w:rPr>
          <w:rFonts w:ascii="Arial" w:hAnsi="Arial" w:eastAsia="Arial" w:cs="Arial"/>
        </w:rPr>
        <w:t>However, cultural strengths have become potential liabilities in EV transition. Consensus-based decision-making (</w:t>
      </w:r>
      <w:r w:rsidRPr="730F9435" w:rsidR="6613F30C">
        <w:rPr>
          <w:rFonts w:ascii="Arial" w:hAnsi="Arial" w:eastAsia="Arial" w:cs="Arial"/>
        </w:rPr>
        <w:t>nemawashi</w:t>
      </w:r>
      <w:r w:rsidRPr="730F9435" w:rsidR="6613F30C">
        <w:rPr>
          <w:rFonts w:ascii="Arial" w:hAnsi="Arial" w:eastAsia="Arial" w:cs="Arial"/>
        </w:rPr>
        <w:t>) delays strategic reorientation; elevated uncertainty avoidance constrains software experimentation; insular tendencies inhibit external collaboration; and extended temporal orientation enabled competitor first-mover advantage. The 2023-2025 strategic shifts—Woven Planet restructuring, AI Platform implementation, regional decentralisation—represent necessary cultural evolution toward enhanced adaptability.</w:t>
      </w:r>
    </w:p>
    <w:p w:rsidR="00B72ADF" w:rsidP="71C39D64" w:rsidRDefault="00B72ADF" w14:paraId="3DDDAE38" w14:textId="77B321C1">
      <w:pPr>
        <w:rPr>
          <w:rFonts w:ascii="Arial" w:hAnsi="Arial" w:eastAsia="Arial" w:cs="Arial"/>
        </w:rPr>
      </w:pPr>
      <w:r w:rsidRPr="730F9435" w:rsidR="6613F30C">
        <w:rPr>
          <w:rFonts w:ascii="Arial" w:hAnsi="Arial" w:eastAsia="Arial" w:cs="Arial"/>
        </w:rPr>
        <w:t xml:space="preserve">Toyota’s challenge is unprecedented: preserving TPS operational discipline while developing agility to compete with software-native entrants. Success requires not abandoning the Toyota Way but evolving its interpretation—accelerating kaizen cycles for software, reinterpreting </w:t>
      </w:r>
      <w:r w:rsidRPr="730F9435" w:rsidR="6613F30C">
        <w:rPr>
          <w:rFonts w:ascii="Arial" w:hAnsi="Arial" w:eastAsia="Arial" w:cs="Arial"/>
        </w:rPr>
        <w:t>jidoka</w:t>
      </w:r>
      <w:r w:rsidRPr="730F9435" w:rsidR="6613F30C">
        <w:rPr>
          <w:rFonts w:ascii="Arial" w:hAnsi="Arial" w:eastAsia="Arial" w:cs="Arial"/>
        </w:rPr>
        <w:t xml:space="preserve"> for AI quality assurance, and </w:t>
      </w:r>
      <w:r w:rsidRPr="730F9435" w:rsidR="6613F30C">
        <w:rPr>
          <w:rFonts w:ascii="Arial" w:hAnsi="Arial" w:eastAsia="Arial" w:cs="Arial"/>
        </w:rPr>
        <w:t>maintaining</w:t>
      </w:r>
      <w:r w:rsidRPr="730F9435" w:rsidR="6613F30C">
        <w:rPr>
          <w:rFonts w:ascii="Arial" w:hAnsi="Arial" w:eastAsia="Arial" w:cs="Arial"/>
        </w:rPr>
        <w:t xml:space="preserve"> extended orientation while compressing decision timelines. Leadership must act as cultural architects, actively reshaping assumptions through Assumption Audits, protecting Innovation Sandboxes from structural assimilation, and balancing exploitation-exploration metrics.</w:t>
      </w:r>
    </w:p>
    <w:p w:rsidR="00B72ADF" w:rsidP="71C39D64" w:rsidRDefault="00B72ADF" w14:paraId="745C3207" w14:textId="1D1AAC0E">
      <w:pPr>
        <w:rPr>
          <w:rFonts w:ascii="Arial" w:hAnsi="Arial" w:eastAsia="Arial" w:cs="Arial"/>
        </w:rPr>
      </w:pPr>
      <w:r w:rsidRPr="730F9435" w:rsidR="47AE895D">
        <w:rPr>
          <w:rFonts w:ascii="Arial" w:hAnsi="Arial" w:eastAsia="Arial" w:cs="Arial"/>
        </w:rPr>
        <w:t>Organisational</w:t>
      </w:r>
      <w:r w:rsidRPr="730F9435" w:rsidR="6613F30C">
        <w:rPr>
          <w:rFonts w:ascii="Arial" w:hAnsi="Arial" w:eastAsia="Arial" w:cs="Arial"/>
        </w:rPr>
        <w:t xml:space="preserve"> culture </w:t>
      </w:r>
      <w:r w:rsidRPr="730F9435" w:rsidR="6613F30C">
        <w:rPr>
          <w:rFonts w:ascii="Arial" w:hAnsi="Arial" w:eastAsia="Arial" w:cs="Arial"/>
        </w:rPr>
        <w:t>remains</w:t>
      </w:r>
      <w:r w:rsidRPr="730F9435" w:rsidR="6613F30C">
        <w:rPr>
          <w:rFonts w:ascii="Arial" w:hAnsi="Arial" w:eastAsia="Arial" w:cs="Arial"/>
        </w:rPr>
        <w:t xml:space="preserve"> critical strategic resource, but only when aligned with structural arrangements and environmental demands. Toyota’s continued competitiveness depends on transforming cultural constraints into adaptive capabilities, ensuring the Toyota Way enables rather than inhibits twenty-first century mobility transformation. The ¥1.5 trillion battery investment </w:t>
      </w:r>
      <w:r w:rsidRPr="730F9435" w:rsidR="6613F30C">
        <w:rPr>
          <w:rFonts w:ascii="Arial" w:hAnsi="Arial" w:eastAsia="Arial" w:cs="Arial"/>
        </w:rPr>
        <w:t>indicates</w:t>
      </w:r>
      <w:r w:rsidRPr="730F9435" w:rsidR="6613F30C">
        <w:rPr>
          <w:rFonts w:ascii="Arial" w:hAnsi="Arial" w:eastAsia="Arial" w:cs="Arial"/>
        </w:rPr>
        <w:t xml:space="preserve"> recognition of adaptation imperatives; whether cultural evolution velocity matches technological disruption pace will </w:t>
      </w:r>
      <w:r w:rsidRPr="730F9435" w:rsidR="6613F30C">
        <w:rPr>
          <w:rFonts w:ascii="Arial" w:hAnsi="Arial" w:eastAsia="Arial" w:cs="Arial"/>
        </w:rPr>
        <w:t>determine</w:t>
      </w:r>
      <w:r w:rsidRPr="730F9435" w:rsidR="6613F30C">
        <w:rPr>
          <w:rFonts w:ascii="Arial" w:hAnsi="Arial" w:eastAsia="Arial" w:cs="Arial"/>
        </w:rPr>
        <w:t xml:space="preserve"> future performance.</w:t>
      </w:r>
    </w:p>
    <w:p w:rsidR="00B72ADF" w:rsidP="730F9435" w:rsidRDefault="00B72ADF" w14:paraId="3DE0AB96" w14:textId="3E18D8D3">
      <w:pPr>
        <w:pStyle w:val="Heading1"/>
        <w:rPr>
          <w:rFonts w:ascii="Arial" w:hAnsi="Arial" w:eastAsia="Arial" w:cs="Arial"/>
        </w:rPr>
      </w:pPr>
      <w:bookmarkStart w:name="_Toc840360084" w:id="771756303"/>
      <w:bookmarkStart w:name="_Toc437646234" w:id="291900212"/>
      <w:r w:rsidR="6613F30C">
        <w:rPr/>
        <w:t>References</w:t>
      </w:r>
      <w:bookmarkEnd w:id="771756303"/>
      <w:bookmarkEnd w:id="291900212"/>
    </w:p>
    <w:p w:rsidR="00B72ADF" w:rsidP="71C39D64" w:rsidRDefault="00B72ADF" w14:paraId="3CEA029D" w14:textId="3E274E06">
      <w:pPr>
        <w:rPr>
          <w:rFonts w:ascii="Arial" w:hAnsi="Arial" w:eastAsia="Arial" w:cs="Arial"/>
        </w:rPr>
      </w:pPr>
      <w:r w:rsidRPr="730F9435" w:rsidR="6613F30C">
        <w:rPr>
          <w:rFonts w:ascii="Arial" w:hAnsi="Arial" w:eastAsia="Arial" w:cs="Arial"/>
        </w:rPr>
        <w:t>Alvesson</w:t>
      </w:r>
      <w:r w:rsidRPr="730F9435" w:rsidR="6613F30C">
        <w:rPr>
          <w:rFonts w:ascii="Arial" w:hAnsi="Arial" w:eastAsia="Arial" w:cs="Arial"/>
        </w:rPr>
        <w:t>, M. (2013) Understanding Organizational Culture. 2</w:t>
      </w:r>
      <w:r w:rsidRPr="730F9435" w:rsidR="6613F30C">
        <w:rPr>
          <w:rFonts w:ascii="Arial" w:hAnsi="Arial" w:eastAsia="Arial" w:cs="Arial"/>
          <w:vertAlign w:val="superscript"/>
        </w:rPr>
        <w:t>nd</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London: SAGE Publications.</w:t>
      </w:r>
    </w:p>
    <w:p w:rsidR="00B72ADF" w:rsidP="71C39D64" w:rsidRDefault="00B72ADF" w14:paraId="71EF1FA6" w14:textId="2D0D8947">
      <w:pPr>
        <w:rPr>
          <w:rFonts w:ascii="Arial" w:hAnsi="Arial" w:eastAsia="Arial" w:cs="Arial"/>
        </w:rPr>
      </w:pPr>
      <w:r w:rsidRPr="730F9435" w:rsidR="6613F30C">
        <w:rPr>
          <w:rFonts w:ascii="Arial" w:hAnsi="Arial" w:eastAsia="Arial" w:cs="Arial"/>
        </w:rPr>
        <w:t>Automotive Manufacturing Solutions (2025) ‘Inside Toyota’s 2025 lean(</w:t>
      </w:r>
      <w:r w:rsidRPr="730F9435" w:rsidR="6613F30C">
        <w:rPr>
          <w:rFonts w:ascii="Arial" w:hAnsi="Arial" w:eastAsia="Arial" w:cs="Arial"/>
        </w:rPr>
        <w:t>er</w:t>
      </w:r>
      <w:r w:rsidRPr="730F9435" w:rsidR="6613F30C">
        <w:rPr>
          <w:rFonts w:ascii="Arial" w:hAnsi="Arial" w:eastAsia="Arial" w:cs="Arial"/>
        </w:rPr>
        <w:t xml:space="preserve">) manufacturing system’, Automotive Manufacturing Solutions, 16 July. Available at: </w:t>
      </w:r>
      <w:hyperlink r:id="Rc1dfbd0c2ddf44bd">
        <w:r w:rsidRPr="730F9435" w:rsidR="6613F30C">
          <w:rPr>
            <w:rStyle w:val="Hyperlink"/>
            <w:rFonts w:ascii="Arial" w:hAnsi="Arial" w:eastAsia="Arial" w:cs="Arial"/>
          </w:rPr>
          <w:t>https://www.automotivemanufacturingsolutions.com/</w:t>
        </w:r>
      </w:hyperlink>
      <w:r w:rsidRPr="730F9435" w:rsidR="6613F30C">
        <w:rPr>
          <w:rFonts w:ascii="Arial" w:hAnsi="Arial" w:eastAsia="Arial" w:cs="Arial"/>
        </w:rPr>
        <w:t xml:space="preserve"> (Accessed: 8 February 2026).</w:t>
      </w:r>
    </w:p>
    <w:p w:rsidR="00B72ADF" w:rsidP="71C39D64" w:rsidRDefault="00B72ADF" w14:paraId="7D9E1BB6" w14:textId="505222CA">
      <w:pPr>
        <w:rPr>
          <w:rFonts w:ascii="Arial" w:hAnsi="Arial" w:eastAsia="Arial" w:cs="Arial"/>
        </w:rPr>
      </w:pPr>
      <w:r>
        <w:rPr>
          <w:rFonts w:ascii="Arial" w:hAnsi="Arial" w:eastAsia="Arial" w:cs="Arial"/>
        </w:rPr>
        <w:t>Bloomberg (2023) ‘Toyota’s EV strategy faces mounting pressure as Tesla, BYD expand’, Bloomberg News, 15 October.</w:t>
      </w:r>
    </w:p>
    <w:p w:rsidR="00B72ADF" w:rsidP="730F9435" w:rsidRDefault="00B72ADF" w14:paraId="729B4342" w14:textId="44A6C830">
      <w:pPr>
        <w:pStyle w:val="Normal"/>
        <w:rPr>
          <w:rFonts w:ascii="Arial" w:hAnsi="Arial" w:eastAsia="Arial" w:cs="Arial"/>
        </w:rPr>
      </w:pPr>
      <w:r w:rsidRPr="730F9435" w:rsidR="6613F30C">
        <w:rPr>
          <w:rFonts w:ascii="Arial" w:hAnsi="Arial" w:eastAsia="Arial" w:cs="Arial"/>
        </w:rPr>
        <w:t>Daft, R.L. (2021) Organization Theory and Design. 12</w:t>
      </w:r>
      <w:r w:rsidRPr="730F9435" w:rsidR="6613F30C">
        <w:rPr>
          <w:rFonts w:ascii="Arial" w:hAnsi="Arial" w:eastAsia="Arial" w:cs="Arial"/>
          <w:vertAlign w:val="superscript"/>
        </w:rPr>
        <w:t>th</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Boston: Cengage Learning.</w:t>
      </w:r>
      <w:proofErr w:type="spellStart"/>
      <w:proofErr w:type="spellEnd"/>
    </w:p>
    <w:p w:rsidR="00B72ADF" w:rsidP="71C39D64" w:rsidRDefault="00B72ADF" w14:paraId="497031D0" w14:textId="77777777">
      <w:pPr>
        <w:rPr>
          <w:rFonts w:ascii="Arial" w:hAnsi="Arial" w:eastAsia="Arial" w:cs="Arial"/>
        </w:rPr>
      </w:pPr>
    </w:p>
    <w:p w:rsidR="00B72ADF" w:rsidP="71C39D64" w:rsidRDefault="00B72ADF" w14:paraId="0F9445A9" w14:textId="4BA7367A">
      <w:pPr>
        <w:rPr>
          <w:rFonts w:ascii="Arial" w:hAnsi="Arial" w:eastAsia="Arial" w:cs="Arial"/>
        </w:rPr>
      </w:pPr>
      <w:r w:rsidRPr="730F9435" w:rsidR="6613F30C">
        <w:rPr>
          <w:rFonts w:ascii="Arial" w:hAnsi="Arial" w:eastAsia="Arial" w:cs="Arial"/>
        </w:rPr>
        <w:t xml:space="preserve">Denison, D.R. and Mishra, A.K. (1995) ‘Toward a theory of organizational culture and effectiveness’, Organization Science, 6(2), pp. 204-223. </w:t>
      </w:r>
      <w:r w:rsidRPr="730F9435" w:rsidR="6613F30C">
        <w:rPr>
          <w:rFonts w:ascii="Arial" w:hAnsi="Arial" w:eastAsia="Arial" w:cs="Arial"/>
        </w:rPr>
        <w:t>Doi</w:t>
      </w:r>
      <w:r w:rsidRPr="730F9435" w:rsidR="6613F30C">
        <w:rPr>
          <w:rFonts w:ascii="Arial" w:hAnsi="Arial" w:eastAsia="Arial" w:cs="Arial"/>
        </w:rPr>
        <w:t>: 10.1287/orsc.6.2.204.</w:t>
      </w:r>
    </w:p>
    <w:p w:rsidR="00B72ADF" w:rsidP="71C39D64" w:rsidRDefault="00B72ADF" w14:paraId="4CFAF821" w14:textId="131205FD">
      <w:pPr>
        <w:rPr>
          <w:rFonts w:ascii="Arial" w:hAnsi="Arial" w:eastAsia="Arial" w:cs="Arial"/>
        </w:rPr>
      </w:pPr>
      <w:r w:rsidRPr="730F9435" w:rsidR="6613F30C">
        <w:rPr>
          <w:rFonts w:ascii="Arial" w:hAnsi="Arial" w:eastAsia="Arial" w:cs="Arial"/>
        </w:rPr>
        <w:t>Detert</w:t>
      </w:r>
      <w:r w:rsidRPr="730F9435" w:rsidR="6613F30C">
        <w:rPr>
          <w:rFonts w:ascii="Arial" w:hAnsi="Arial" w:eastAsia="Arial" w:cs="Arial"/>
        </w:rPr>
        <w:t xml:space="preserve">, J.R. and Edmondson, A.C. (2011) ‘Implicit voice theories: Taken-for-granted rules of self-censorship at work’, Academy of Management Journal, 54(3), pp. 461-488. </w:t>
      </w:r>
      <w:r w:rsidRPr="730F9435" w:rsidR="6613F30C">
        <w:rPr>
          <w:rFonts w:ascii="Arial" w:hAnsi="Arial" w:eastAsia="Arial" w:cs="Arial"/>
        </w:rPr>
        <w:t>Doi</w:t>
      </w:r>
      <w:r w:rsidRPr="730F9435" w:rsidR="6613F30C">
        <w:rPr>
          <w:rFonts w:ascii="Arial" w:hAnsi="Arial" w:eastAsia="Arial" w:cs="Arial"/>
        </w:rPr>
        <w:t>: 10.5465/amj.2010.0247.</w:t>
      </w:r>
    </w:p>
    <w:p w:rsidR="00B72ADF" w:rsidP="71C39D64" w:rsidRDefault="00B72ADF" w14:paraId="55A25C6E" w14:textId="46509A8E">
      <w:pPr>
        <w:rPr>
          <w:rFonts w:ascii="Arial" w:hAnsi="Arial" w:eastAsia="Arial" w:cs="Arial"/>
        </w:rPr>
      </w:pPr>
      <w:r w:rsidRPr="730F9435" w:rsidR="6613F30C">
        <w:rPr>
          <w:rFonts w:ascii="Arial" w:hAnsi="Arial" w:eastAsia="Arial" w:cs="Arial"/>
        </w:rPr>
        <w:t xml:space="preserve">Google Cloud (2024) ‘How Toyota is revolutionizing manufacturing with AI’, Google Cloud Blog, 10 December. Available at: </w:t>
      </w:r>
      <w:hyperlink r:id="R38da1320e7f747ed">
        <w:r w:rsidRPr="730F9435" w:rsidR="6613F30C">
          <w:rPr>
            <w:rStyle w:val="Hyperlink"/>
            <w:rFonts w:ascii="Arial" w:hAnsi="Arial" w:eastAsia="Arial" w:cs="Arial"/>
          </w:rPr>
          <w:t>https://cloud.google.com/blog/</w:t>
        </w:r>
      </w:hyperlink>
      <w:r w:rsidRPr="730F9435" w:rsidR="6613F30C">
        <w:rPr>
          <w:rFonts w:ascii="Arial" w:hAnsi="Arial" w:eastAsia="Arial" w:cs="Arial"/>
        </w:rPr>
        <w:t xml:space="preserve"> (Accessed: 8 February 2026).</w:t>
      </w:r>
    </w:p>
    <w:p w:rsidR="00B72ADF" w:rsidP="71C39D64" w:rsidRDefault="00B72ADF" w14:paraId="0F3097A1" w14:textId="688C325B">
      <w:pPr>
        <w:rPr>
          <w:rFonts w:ascii="Arial" w:hAnsi="Arial" w:eastAsia="Arial" w:cs="Arial"/>
        </w:rPr>
      </w:pPr>
      <w:r w:rsidRPr="730F9435" w:rsidR="6613F30C">
        <w:rPr>
          <w:rFonts w:ascii="Arial" w:hAnsi="Arial" w:eastAsia="Arial" w:cs="Arial"/>
        </w:rPr>
        <w:t>Handy, C. (1993) Understanding Organizations. 4</w:t>
      </w:r>
      <w:r w:rsidRPr="730F9435" w:rsidR="6613F30C">
        <w:rPr>
          <w:rFonts w:ascii="Arial" w:hAnsi="Arial" w:eastAsia="Arial" w:cs="Arial"/>
          <w:vertAlign w:val="superscript"/>
        </w:rPr>
        <w:t>th</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London: Penguin Books.</w:t>
      </w:r>
    </w:p>
    <w:p w:rsidR="00B72ADF" w:rsidP="71C39D64" w:rsidRDefault="00B72ADF" w14:paraId="6515C4EF" w14:textId="6C9E6E56">
      <w:pPr>
        <w:rPr>
          <w:rFonts w:ascii="Arial" w:hAnsi="Arial" w:eastAsia="Arial" w:cs="Arial"/>
        </w:rPr>
      </w:pPr>
      <w:r w:rsidRPr="730F9435" w:rsidR="6613F30C">
        <w:rPr>
          <w:rFonts w:ascii="Arial" w:hAnsi="Arial" w:eastAsia="Arial" w:cs="Arial"/>
        </w:rPr>
        <w:t xml:space="preserve">Hofstede, G., Hofstede, G.J. and </w:t>
      </w:r>
      <w:r w:rsidRPr="730F9435" w:rsidR="6613F30C">
        <w:rPr>
          <w:rFonts w:ascii="Arial" w:hAnsi="Arial" w:eastAsia="Arial" w:cs="Arial"/>
        </w:rPr>
        <w:t>Minkov</w:t>
      </w:r>
      <w:r w:rsidRPr="730F9435" w:rsidR="6613F30C">
        <w:rPr>
          <w:rFonts w:ascii="Arial" w:hAnsi="Arial" w:eastAsia="Arial" w:cs="Arial"/>
        </w:rPr>
        <w:t>, M. (2010) Cultures and Organizations: Software of the Mind. 3</w:t>
      </w:r>
      <w:r w:rsidRPr="730F9435" w:rsidR="6613F30C">
        <w:rPr>
          <w:rFonts w:ascii="Arial" w:hAnsi="Arial" w:eastAsia="Arial" w:cs="Arial"/>
          <w:vertAlign w:val="superscript"/>
        </w:rPr>
        <w:t>rd</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New York: McGraw-Hill.</w:t>
      </w:r>
    </w:p>
    <w:p w:rsidR="00B72ADF" w:rsidP="71C39D64" w:rsidRDefault="00B72ADF" w14:paraId="64674890" w14:textId="5DE3D2F8">
      <w:pPr>
        <w:rPr>
          <w:rFonts w:ascii="Arial" w:hAnsi="Arial" w:eastAsia="Arial" w:cs="Arial"/>
        </w:rPr>
      </w:pPr>
      <w:r w:rsidRPr="730F9435" w:rsidR="6613F30C">
        <w:rPr>
          <w:rFonts w:ascii="Arial" w:hAnsi="Arial" w:eastAsia="Arial" w:cs="Arial"/>
        </w:rPr>
        <w:t>J.D. Power (2023) ‘2023 U.S. Vehicle Dependability Study’, J.D. Power, 9 February.</w:t>
      </w:r>
    </w:p>
    <w:p w:rsidR="00B72ADF" w:rsidP="71C39D64" w:rsidRDefault="00B72ADF" w14:paraId="606764FE" w14:textId="60F0D9D1">
      <w:pPr>
        <w:rPr>
          <w:rFonts w:ascii="Arial" w:hAnsi="Arial" w:eastAsia="Arial" w:cs="Arial"/>
        </w:rPr>
      </w:pPr>
      <w:r w:rsidRPr="730F9435" w:rsidR="6613F30C">
        <w:rPr>
          <w:rFonts w:ascii="Arial" w:hAnsi="Arial" w:eastAsia="Arial" w:cs="Arial"/>
        </w:rPr>
        <w:t xml:space="preserve">Kotter, J.P. and </w:t>
      </w:r>
      <w:r w:rsidRPr="730F9435" w:rsidR="6613F30C">
        <w:rPr>
          <w:rFonts w:ascii="Arial" w:hAnsi="Arial" w:eastAsia="Arial" w:cs="Arial"/>
        </w:rPr>
        <w:t>Heskett</w:t>
      </w:r>
      <w:r w:rsidRPr="730F9435" w:rsidR="6613F30C">
        <w:rPr>
          <w:rFonts w:ascii="Arial" w:hAnsi="Arial" w:eastAsia="Arial" w:cs="Arial"/>
        </w:rPr>
        <w:t>, J.L. (1992) Corporate Culture and Performance. New York: Free Press.</w:t>
      </w:r>
    </w:p>
    <w:p w:rsidR="00B72ADF" w:rsidP="71C39D64" w:rsidRDefault="00B72ADF" w14:paraId="30E586D3" w14:textId="04DBB736">
      <w:pPr>
        <w:rPr>
          <w:rFonts w:ascii="Arial" w:hAnsi="Arial" w:eastAsia="Arial" w:cs="Arial"/>
        </w:rPr>
      </w:pPr>
      <w:r w:rsidRPr="730F9435" w:rsidR="6613F30C">
        <w:rPr>
          <w:rFonts w:ascii="Arial" w:hAnsi="Arial" w:eastAsia="Arial" w:cs="Arial"/>
        </w:rPr>
        <w:t>Mullins, L.J. and Christy, G. (2016) Management and Organisational Behaviour. 11</w:t>
      </w:r>
      <w:r w:rsidRPr="730F9435" w:rsidR="6613F30C">
        <w:rPr>
          <w:rFonts w:ascii="Arial" w:hAnsi="Arial" w:eastAsia="Arial" w:cs="Arial"/>
          <w:vertAlign w:val="superscript"/>
        </w:rPr>
        <w:t>th</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Harlow: Pearson Education.</w:t>
      </w:r>
    </w:p>
    <w:p w:rsidR="00B72ADF" w:rsidP="71C39D64" w:rsidRDefault="00B72ADF" w14:paraId="64025B0D" w14:textId="60889F9C">
      <w:pPr>
        <w:rPr>
          <w:rFonts w:ascii="Arial" w:hAnsi="Arial" w:eastAsia="Arial" w:cs="Arial"/>
        </w:rPr>
      </w:pPr>
      <w:r w:rsidRPr="730F9435" w:rsidR="6613F30C">
        <w:rPr>
          <w:rFonts w:ascii="Arial" w:hAnsi="Arial" w:eastAsia="Arial" w:cs="Arial"/>
        </w:rPr>
        <w:t>Ogbonna</w:t>
      </w:r>
      <w:r w:rsidRPr="730F9435" w:rsidR="6613F30C">
        <w:rPr>
          <w:rFonts w:ascii="Arial" w:hAnsi="Arial" w:eastAsia="Arial" w:cs="Arial"/>
        </w:rPr>
        <w:t xml:space="preserve">, E. And Harris, L.C. (2000) ‘Leadership style, organizational </w:t>
      </w:r>
      <w:bookmarkStart w:name="_Int_PHENlK0L" w:id="1786304246"/>
      <w:r w:rsidRPr="730F9435" w:rsidR="6613F30C">
        <w:rPr>
          <w:rFonts w:ascii="Arial" w:hAnsi="Arial" w:eastAsia="Arial" w:cs="Arial"/>
        </w:rPr>
        <w:t>culture</w:t>
      </w:r>
      <w:bookmarkEnd w:id="1786304246"/>
      <w:r w:rsidRPr="730F9435" w:rsidR="6613F30C">
        <w:rPr>
          <w:rFonts w:ascii="Arial" w:hAnsi="Arial" w:eastAsia="Arial" w:cs="Arial"/>
        </w:rPr>
        <w:t xml:space="preserve"> and performance: Empirical evidence from UK companies’, International Journal of Human Resource Management, 11(4), pp. 766-788. </w:t>
      </w:r>
      <w:r w:rsidRPr="730F9435" w:rsidR="6613F30C">
        <w:rPr>
          <w:rFonts w:ascii="Arial" w:hAnsi="Arial" w:eastAsia="Arial" w:cs="Arial"/>
        </w:rPr>
        <w:t>Doi</w:t>
      </w:r>
      <w:r w:rsidRPr="730F9435" w:rsidR="6613F30C">
        <w:rPr>
          <w:rFonts w:ascii="Arial" w:hAnsi="Arial" w:eastAsia="Arial" w:cs="Arial"/>
        </w:rPr>
        <w:t>: 10.1080/09585190050075124.</w:t>
      </w:r>
    </w:p>
    <w:p w:rsidR="00B72ADF" w:rsidP="71C39D64" w:rsidRDefault="00B72ADF" w14:paraId="4B4E63EA" w14:textId="57704145">
      <w:pPr>
        <w:rPr>
          <w:rFonts w:ascii="Arial" w:hAnsi="Arial" w:eastAsia="Arial" w:cs="Arial"/>
        </w:rPr>
      </w:pPr>
      <w:r w:rsidRPr="730F9435" w:rsidR="6613F30C">
        <w:rPr>
          <w:rFonts w:ascii="Arial" w:hAnsi="Arial" w:eastAsia="Arial" w:cs="Arial"/>
        </w:rPr>
        <w:t>Schein, E.H. and Schein, P.A. (2017) Organizational Culture and Leadership. 5</w:t>
      </w:r>
      <w:r w:rsidRPr="730F9435" w:rsidR="6613F30C">
        <w:rPr>
          <w:rFonts w:ascii="Arial" w:hAnsi="Arial" w:eastAsia="Arial" w:cs="Arial"/>
          <w:vertAlign w:val="superscript"/>
        </w:rPr>
        <w:t>th</w:t>
      </w:r>
      <w:r w:rsidRPr="730F9435" w:rsidR="6613F30C">
        <w:rPr>
          <w:rFonts w:ascii="Arial" w:hAnsi="Arial" w:eastAsia="Arial" w:cs="Arial"/>
        </w:rPr>
        <w:t xml:space="preserve"> </w:t>
      </w:r>
      <w:r w:rsidRPr="730F9435" w:rsidR="6613F30C">
        <w:rPr>
          <w:rFonts w:ascii="Arial" w:hAnsi="Arial" w:eastAsia="Arial" w:cs="Arial"/>
        </w:rPr>
        <w:t>edn</w:t>
      </w:r>
      <w:r w:rsidRPr="730F9435" w:rsidR="6613F30C">
        <w:rPr>
          <w:rFonts w:ascii="Arial" w:hAnsi="Arial" w:eastAsia="Arial" w:cs="Arial"/>
        </w:rPr>
        <w:t>. Hoboken, NJ: John Wiley &amp; Sons.</w:t>
      </w:r>
    </w:p>
    <w:p w:rsidR="00B72ADF" w:rsidP="71C39D64" w:rsidRDefault="00B72ADF" w14:paraId="73DA602D" w14:textId="698DDCAE">
      <w:pPr>
        <w:rPr>
          <w:rFonts w:ascii="Arial" w:hAnsi="Arial" w:eastAsia="Arial" w:cs="Arial"/>
        </w:rPr>
      </w:pPr>
      <w:r w:rsidRPr="730F9435" w:rsidR="6613F30C">
        <w:rPr>
          <w:rFonts w:ascii="Arial" w:hAnsi="Arial" w:eastAsia="Arial" w:cs="Arial"/>
        </w:rPr>
        <w:t xml:space="preserve">Schneider, B., </w:t>
      </w:r>
      <w:r w:rsidRPr="730F9435" w:rsidR="6613F30C">
        <w:rPr>
          <w:rFonts w:ascii="Arial" w:hAnsi="Arial" w:eastAsia="Arial" w:cs="Arial"/>
        </w:rPr>
        <w:t>Ehrhart</w:t>
      </w:r>
      <w:r w:rsidRPr="730F9435" w:rsidR="6613F30C">
        <w:rPr>
          <w:rFonts w:ascii="Arial" w:hAnsi="Arial" w:eastAsia="Arial" w:cs="Arial"/>
        </w:rPr>
        <w:t xml:space="preserve">, M.G. and Macey, W.H. (2013) ‘Organizational climate and culture’, Annual Review of Psychology, 64, pp. 361-388. </w:t>
      </w:r>
      <w:r w:rsidRPr="730F9435" w:rsidR="6613F30C">
        <w:rPr>
          <w:rFonts w:ascii="Arial" w:hAnsi="Arial" w:eastAsia="Arial" w:cs="Arial"/>
        </w:rPr>
        <w:t>Doi</w:t>
      </w:r>
      <w:r w:rsidRPr="730F9435" w:rsidR="6613F30C">
        <w:rPr>
          <w:rFonts w:ascii="Arial" w:hAnsi="Arial" w:eastAsia="Arial" w:cs="Arial"/>
        </w:rPr>
        <w:t>: 10.1146/annurev-psych-113011-143809.</w:t>
      </w:r>
    </w:p>
    <w:p w:rsidR="00B72ADF" w:rsidP="71C39D64" w:rsidRDefault="00B72ADF" w14:paraId="2C0E790B" w14:textId="5EB8D97D">
      <w:pPr>
        <w:rPr>
          <w:rFonts w:ascii="Arial" w:hAnsi="Arial" w:eastAsia="Arial" w:cs="Arial"/>
        </w:rPr>
      </w:pPr>
      <w:r w:rsidRPr="730F9435" w:rsidR="6613F30C">
        <w:rPr>
          <w:rFonts w:ascii="Arial" w:hAnsi="Arial" w:eastAsia="Arial" w:cs="Arial"/>
        </w:rPr>
        <w:t xml:space="preserve">Toyota (2023) ‘Toyota and Woven by Toyota to strengthen ties toward accelerating software implementation’, Toyota Global Newsroom, 27 September. Available at: </w:t>
      </w:r>
      <w:hyperlink r:id="Rf5179d801e6b4ed5">
        <w:r w:rsidRPr="730F9435" w:rsidR="6613F30C">
          <w:rPr>
            <w:rStyle w:val="Hyperlink"/>
            <w:rFonts w:ascii="Arial" w:hAnsi="Arial" w:eastAsia="Arial" w:cs="Arial"/>
          </w:rPr>
          <w:t>https://global.toyota/en/newsroom/corporate/39828555.html</w:t>
        </w:r>
      </w:hyperlink>
      <w:r w:rsidRPr="730F9435" w:rsidR="6613F30C">
        <w:rPr>
          <w:rFonts w:ascii="Arial" w:hAnsi="Arial" w:eastAsia="Arial" w:cs="Arial"/>
        </w:rPr>
        <w:t xml:space="preserve"> (Accessed: 8 February 2026).</w:t>
      </w:r>
    </w:p>
    <w:p w:rsidR="00B72ADF" w:rsidP="71C39D64" w:rsidRDefault="00B72ADF" w14:paraId="42466D91" w14:textId="77777777">
      <w:pPr>
        <w:rPr>
          <w:rFonts w:ascii="Arial" w:hAnsi="Arial" w:eastAsia="Arial" w:cs="Arial"/>
        </w:rPr>
      </w:pPr>
      <w:r>
        <w:rPr>
          <w:rFonts w:ascii="Arial" w:hAnsi="Arial" w:eastAsia="Arial" w:cs="Arial"/>
        </w:rPr>
        <w:t>Toyota (2024) Toyota Annual Report 2024. Toyota City: Toyota Motor Corporation.</w:t>
      </w:r>
    </w:p>
    <w:p w:rsidR="00B72ADF" w:rsidP="730F9435" w:rsidRDefault="00B72ADF" w14:paraId="74642780" w14:textId="304CC8C8">
      <w:pPr>
        <w:pStyle w:val="Normal"/>
        <w:rPr>
          <w:rFonts w:ascii="Arial" w:hAnsi="Arial" w:eastAsia="Arial" w:cs="Arial"/>
        </w:rPr>
      </w:pPr>
      <w:r w:rsidRPr="730F9435" w:rsidR="6613F30C">
        <w:rPr>
          <w:rFonts w:ascii="Arial" w:hAnsi="Arial" w:eastAsia="Arial" w:cs="Arial"/>
        </w:rPr>
        <w:t xml:space="preserve">Toyota Times (2021) ‘Beyond automotive: Woven Planet Group takes off’, Toyota Times, 19 February. Available at: </w:t>
      </w:r>
      <w:hyperlink r:id="R325757c9aec04304">
        <w:r w:rsidRPr="730F9435" w:rsidR="6613F30C">
          <w:rPr>
            <w:rStyle w:val="Hyperlink"/>
            <w:rFonts w:ascii="Arial" w:hAnsi="Arial" w:eastAsia="Arial" w:cs="Arial"/>
          </w:rPr>
          <w:t>http://toyotatimes.jp/en/</w:t>
        </w:r>
      </w:hyperlink>
      <w:r w:rsidRPr="730F9435" w:rsidR="6613F30C">
        <w:rPr>
          <w:rFonts w:ascii="Arial" w:hAnsi="Arial" w:eastAsia="Arial" w:cs="Arial"/>
        </w:rPr>
        <w:t xml:space="preserve"> (Accessed: 8 February 2026).</w:t>
      </w:r>
    </w:p>
    <w:p w:rsidR="00B72ADF" w:rsidP="730F9435" w:rsidRDefault="00B72ADF" w14:paraId="27AA30B1" w14:textId="719F9255">
      <w:pPr>
        <w:pStyle w:val="Normal"/>
        <w:rPr>
          <w:rFonts w:ascii="Arial" w:hAnsi="Arial" w:eastAsia="Arial" w:cs="Arial"/>
        </w:rPr>
      </w:pPr>
      <w:r w:rsidRPr="730F9435" w:rsidR="6613F30C">
        <w:rPr>
          <w:rFonts w:ascii="Arial" w:hAnsi="Arial" w:eastAsia="Arial" w:cs="Arial"/>
        </w:rPr>
        <w:t>US Congress (2010) Toyota Gas Pedals and Sudden Unintended Acceleration. Washington, DC: House Committee on Oversight and Government Reform.</w:t>
      </w:r>
    </w:p>
    <w:p w:rsidR="00B72ADF" w:rsidP="71C39D64" w:rsidRDefault="00B72ADF" w14:paraId="79DC1419" w14:textId="29C0D9AD">
      <w:pPr>
        <w:rPr>
          <w:rFonts w:ascii="Arial" w:hAnsi="Arial" w:eastAsia="Arial" w:cs="Arial"/>
        </w:rPr>
      </w:pPr>
    </w:p>
    <w:p w:rsidR="00A0548C" w:rsidP="71C39D64" w:rsidRDefault="00A0548C" w14:paraId="5E5787A5" w14:textId="29C50B5C">
      <w:pPr>
        <w:rPr>
          <w:rFonts w:ascii="Arial" w:hAnsi="Arial" w:eastAsia="Arial" w:cs="Arial"/>
        </w:rPr>
      </w:pPr>
    </w:p>
    <w:sectPr w:rsidR="00A0548C">
      <w:pgSz w:w="11906" w:h="16838" w:orient="portrait"/>
      <w:pgMar w:top="1440" w:right="1440" w:bottom="1440" w:left="1440" w:header="720" w:footer="720" w:gutter="0"/>
      <w:cols w:space="720"/>
      <w:docGrid w:linePitch="360"/>
      <w:headerReference w:type="default" r:id="R00d2dfac0fc8473c"/>
      <w:footerReference w:type="default" r:id="Rf488937564bf42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0F9435" w:rsidTr="730F9435" w14:paraId="67CCDFC6">
      <w:trPr>
        <w:trHeight w:val="300"/>
      </w:trPr>
      <w:tc>
        <w:tcPr>
          <w:tcW w:w="3005" w:type="dxa"/>
          <w:tcMar/>
        </w:tcPr>
        <w:p w:rsidR="730F9435" w:rsidP="730F9435" w:rsidRDefault="730F9435" w14:paraId="252A2BE3" w14:textId="2BFD5CDE">
          <w:pPr>
            <w:pStyle w:val="Header"/>
            <w:bidi w:val="0"/>
            <w:ind w:left="-115"/>
            <w:jc w:val="left"/>
          </w:pPr>
        </w:p>
      </w:tc>
      <w:tc>
        <w:tcPr>
          <w:tcW w:w="3005" w:type="dxa"/>
          <w:tcMar/>
        </w:tcPr>
        <w:p w:rsidR="730F9435" w:rsidP="730F9435" w:rsidRDefault="730F9435" w14:paraId="1DC5AA68" w14:textId="4F5E331F">
          <w:pPr>
            <w:pStyle w:val="Header"/>
            <w:bidi w:val="0"/>
            <w:jc w:val="center"/>
          </w:pPr>
        </w:p>
      </w:tc>
      <w:tc>
        <w:tcPr>
          <w:tcW w:w="3005" w:type="dxa"/>
          <w:tcMar/>
        </w:tcPr>
        <w:p w:rsidR="730F9435" w:rsidP="730F9435" w:rsidRDefault="730F9435" w14:paraId="36EDC127" w14:textId="15E3AC72">
          <w:pPr>
            <w:pStyle w:val="Header"/>
            <w:bidi w:val="0"/>
            <w:ind w:right="-115"/>
            <w:jc w:val="right"/>
          </w:pPr>
        </w:p>
      </w:tc>
    </w:tr>
  </w:tbl>
  <w:p w:rsidR="730F9435" w:rsidP="730F9435" w:rsidRDefault="730F9435" w14:paraId="4D9E3FA2" w14:textId="53FB7B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0F9435" w:rsidTr="730F9435" w14:paraId="72469453">
      <w:trPr>
        <w:trHeight w:val="300"/>
      </w:trPr>
      <w:tc>
        <w:tcPr>
          <w:tcW w:w="3005" w:type="dxa"/>
          <w:tcMar/>
        </w:tcPr>
        <w:p w:rsidR="730F9435" w:rsidP="730F9435" w:rsidRDefault="730F9435" w14:paraId="694CBBAA" w14:textId="7F24D8C4">
          <w:pPr>
            <w:pStyle w:val="Header"/>
            <w:bidi w:val="0"/>
            <w:ind w:left="-115"/>
            <w:jc w:val="left"/>
          </w:pPr>
        </w:p>
      </w:tc>
      <w:tc>
        <w:tcPr>
          <w:tcW w:w="3005" w:type="dxa"/>
          <w:tcMar/>
        </w:tcPr>
        <w:p w:rsidR="730F9435" w:rsidP="730F9435" w:rsidRDefault="730F9435" w14:paraId="1853D659" w14:textId="0A19ADA7">
          <w:pPr>
            <w:pStyle w:val="Header"/>
            <w:bidi w:val="0"/>
            <w:jc w:val="center"/>
          </w:pPr>
        </w:p>
      </w:tc>
      <w:tc>
        <w:tcPr>
          <w:tcW w:w="3005" w:type="dxa"/>
          <w:tcMar/>
        </w:tcPr>
        <w:p w:rsidR="730F9435" w:rsidP="730F9435" w:rsidRDefault="730F9435" w14:paraId="17E54EA6" w14:textId="5FB80F5B">
          <w:pPr>
            <w:pStyle w:val="Header"/>
            <w:bidi w:val="0"/>
            <w:ind w:right="-115"/>
            <w:jc w:val="right"/>
          </w:pPr>
        </w:p>
      </w:tc>
    </w:tr>
  </w:tbl>
  <w:p w:rsidR="730F9435" w:rsidP="730F9435" w:rsidRDefault="730F9435" w14:paraId="22E87D37" w14:textId="79904B76">
    <w:pPr>
      <w:pStyle w:val="Header"/>
      <w:bidi w:val="0"/>
    </w:pPr>
  </w:p>
</w:hdr>
</file>

<file path=word/intelligence2.xml><?xml version="1.0" encoding="utf-8"?>
<int2:intelligence xmlns:int2="http://schemas.microsoft.com/office/intelligence/2020/intelligence">
  <int2:observations>
    <int2:textHash int2:hashCode="Y7rxyEYEGk+h8X" int2:id="mU2VcP2e">
      <int2:state int2:type="spell" int2:value="Rejected"/>
    </int2:textHash>
    <int2:textHash int2:hashCode="Hr2pUbIEi0D2je" int2:id="lj5eZsqW">
      <int2:state int2:type="spell" int2:value="Rejected"/>
    </int2:textHash>
    <int2:textHash int2:hashCode="KeucDP36hGlETl" int2:id="jUysKpH0">
      <int2:state int2:type="spell" int2:value="Rejected"/>
    </int2:textHash>
    <int2:textHash int2:hashCode="/XpnRczSGNplqc" int2:id="grAuSOpg">
      <int2:state int2:type="spell" int2:value="Rejected"/>
    </int2:textHash>
    <int2:textHash int2:hashCode="iV64wkc1A4QYx+" int2:id="PqH6q00E">
      <int2:state int2:type="spell" int2:value="Rejected"/>
    </int2:textHash>
    <int2:bookmark int2:bookmarkName="_Int_THjCLBdb" int2:invalidationBookmarkName="" int2:hashCode="Km47Fw3kTHa7fh" int2:id="MVkNSdA3">
      <int2:state int2:type="style" int2:value="Rejected"/>
    </int2:bookmark>
    <int2:bookmark int2:bookmarkName="_Int_q7ydex8x" int2:invalidationBookmarkName="" int2:hashCode="RoMKPKK9AFKgbP" int2:id="kTDdZBRI">
      <int2:state int2:type="style" int2:value="Rejected"/>
    </int2:bookmark>
    <int2:bookmark int2:bookmarkName="_Int_PHENlK0L" int2:invalidationBookmarkName="" int2:hashCode="jy5814SWfWp5q9" int2:id="y9RC23rn">
      <int2:state int2:type="style" int2:value="Rejected"/>
    </int2:bookmark>
    <int2:bookmark int2:bookmarkName="_Int_Br0uN0SR" int2:invalidationBookmarkName="" int2:hashCode="Km47Fw3kTHa7fh" int2:id="nGWhxker">
      <int2:state int2:type="style" int2:value="Rejected"/>
    </int2:bookmark>
    <int2:bookmark int2:bookmarkName="_Int_ORQEncgz" int2:invalidationBookmarkName="" int2:hashCode="DmkNkP3ZN7Ayc1" int2:id="a4029c74">
      <int2:state int2:type="style" int2:value="Rejected"/>
    </int2:bookmark>
    <int2:bookmark int2:bookmarkName="_Int_8G5nOFnE" int2:invalidationBookmarkName="" int2:hashCode="4JXEladuGaq95K" int2:id="1SDxNcLW">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35095"/>
    <w:multiLevelType w:val="hybridMultilevel"/>
    <w:tmpl w:val="F000EAA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90BB9"/>
    <w:multiLevelType w:val="multilevel"/>
    <w:tmpl w:val="FFFFFFFF"/>
    <w:lvl w:ilvl="0">
      <w:start w:val="1"/>
      <w:numFmt w:val="decimal"/>
      <w:lvlText w:val="%1.0"/>
      <w:lvlJc w:val="left"/>
      <w:pPr>
        <w:ind w:left="402" w:hanging="402"/>
      </w:pPr>
      <w:rPr>
        <w:rFonts w:hint="default"/>
      </w:rPr>
    </w:lvl>
    <w:lvl w:ilvl="1">
      <w:start w:val="1"/>
      <w:numFmt w:val="decimal"/>
      <w:lvlText w:val="%1.%2"/>
      <w:lvlJc w:val="left"/>
      <w:pPr>
        <w:ind w:left="1122" w:hanging="40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CD477C1"/>
    <w:multiLevelType w:val="hybridMultilevel"/>
    <w:tmpl w:val="FFFFFFFF"/>
    <w:lvl w:ilvl="0" w:tplc="DE1201AE">
      <w:start w:val="1"/>
      <w:numFmt w:val="decimal"/>
      <w:lvlText w:val="%1."/>
      <w:lvlJc w:val="left"/>
      <w:pPr>
        <w:ind w:left="720" w:hanging="360"/>
      </w:pPr>
    </w:lvl>
    <w:lvl w:ilvl="1" w:tplc="B470E086">
      <w:start w:val="1"/>
      <w:numFmt w:val="lowerLetter"/>
      <w:lvlText w:val="%2."/>
      <w:lvlJc w:val="left"/>
      <w:pPr>
        <w:ind w:left="1440" w:hanging="360"/>
      </w:pPr>
    </w:lvl>
    <w:lvl w:ilvl="2" w:tplc="F27E61D4">
      <w:start w:val="1"/>
      <w:numFmt w:val="lowerRoman"/>
      <w:lvlText w:val="%3."/>
      <w:lvlJc w:val="right"/>
      <w:pPr>
        <w:ind w:left="2160" w:hanging="180"/>
      </w:pPr>
    </w:lvl>
    <w:lvl w:ilvl="3" w:tplc="7E90D1EC">
      <w:start w:val="1"/>
      <w:numFmt w:val="decimal"/>
      <w:lvlText w:val="%4."/>
      <w:lvlJc w:val="left"/>
      <w:pPr>
        <w:ind w:left="2880" w:hanging="360"/>
      </w:pPr>
    </w:lvl>
    <w:lvl w:ilvl="4" w:tplc="C13A6954">
      <w:start w:val="1"/>
      <w:numFmt w:val="lowerLetter"/>
      <w:lvlText w:val="%5."/>
      <w:lvlJc w:val="left"/>
      <w:pPr>
        <w:ind w:left="3600" w:hanging="360"/>
      </w:pPr>
    </w:lvl>
    <w:lvl w:ilvl="5" w:tplc="12E68858">
      <w:start w:val="1"/>
      <w:numFmt w:val="lowerRoman"/>
      <w:lvlText w:val="%6."/>
      <w:lvlJc w:val="right"/>
      <w:pPr>
        <w:ind w:left="4320" w:hanging="180"/>
      </w:pPr>
    </w:lvl>
    <w:lvl w:ilvl="6" w:tplc="F8D82EAC">
      <w:start w:val="1"/>
      <w:numFmt w:val="decimal"/>
      <w:lvlText w:val="%7."/>
      <w:lvlJc w:val="left"/>
      <w:pPr>
        <w:ind w:left="5040" w:hanging="360"/>
      </w:pPr>
    </w:lvl>
    <w:lvl w:ilvl="7" w:tplc="07E07E24">
      <w:start w:val="1"/>
      <w:numFmt w:val="lowerLetter"/>
      <w:lvlText w:val="%8."/>
      <w:lvlJc w:val="left"/>
      <w:pPr>
        <w:ind w:left="5760" w:hanging="360"/>
      </w:pPr>
    </w:lvl>
    <w:lvl w:ilvl="8" w:tplc="A9441AB2">
      <w:start w:val="1"/>
      <w:numFmt w:val="lowerRoman"/>
      <w:lvlText w:val="%9."/>
      <w:lvlJc w:val="right"/>
      <w:pPr>
        <w:ind w:left="6480" w:hanging="180"/>
      </w:pPr>
    </w:lvl>
  </w:abstractNum>
  <w:num w:numId="1" w16cid:durableId="1770664441">
    <w:abstractNumId w:val="2"/>
  </w:num>
  <w:num w:numId="2" w16cid:durableId="1756898407">
    <w:abstractNumId w:val="1"/>
  </w:num>
  <w:num w:numId="3" w16cid:durableId="617759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846DEA"/>
    <w:rsid w:val="00022AE4"/>
    <w:rsid w:val="001048EF"/>
    <w:rsid w:val="001A081E"/>
    <w:rsid w:val="002B6FEA"/>
    <w:rsid w:val="002C4132"/>
    <w:rsid w:val="0051746B"/>
    <w:rsid w:val="00720F3D"/>
    <w:rsid w:val="007F7038"/>
    <w:rsid w:val="008A44F3"/>
    <w:rsid w:val="008D14CE"/>
    <w:rsid w:val="00A0548C"/>
    <w:rsid w:val="00AA117E"/>
    <w:rsid w:val="00B72ADF"/>
    <w:rsid w:val="00C87CD7"/>
    <w:rsid w:val="00DC61C2"/>
    <w:rsid w:val="00F50100"/>
    <w:rsid w:val="00FE57B7"/>
    <w:rsid w:val="01B398D1"/>
    <w:rsid w:val="03DAD287"/>
    <w:rsid w:val="06B5DC85"/>
    <w:rsid w:val="07792182"/>
    <w:rsid w:val="0A9D5E64"/>
    <w:rsid w:val="0CF477F1"/>
    <w:rsid w:val="0FA4BF0C"/>
    <w:rsid w:val="0FACD937"/>
    <w:rsid w:val="13D8EE29"/>
    <w:rsid w:val="1460EA07"/>
    <w:rsid w:val="16A48F26"/>
    <w:rsid w:val="174FF88C"/>
    <w:rsid w:val="178E8CB9"/>
    <w:rsid w:val="18A5D06D"/>
    <w:rsid w:val="19C9769F"/>
    <w:rsid w:val="1B3201A0"/>
    <w:rsid w:val="1C96F027"/>
    <w:rsid w:val="1CB2CA5C"/>
    <w:rsid w:val="1E0875DE"/>
    <w:rsid w:val="1FB48523"/>
    <w:rsid w:val="226A486D"/>
    <w:rsid w:val="253A705C"/>
    <w:rsid w:val="26335CD1"/>
    <w:rsid w:val="28BA11FA"/>
    <w:rsid w:val="2D32D2D3"/>
    <w:rsid w:val="2D846DEA"/>
    <w:rsid w:val="2E4BF162"/>
    <w:rsid w:val="373CB753"/>
    <w:rsid w:val="374D9C7C"/>
    <w:rsid w:val="37698FBF"/>
    <w:rsid w:val="385378EB"/>
    <w:rsid w:val="3B8BB65B"/>
    <w:rsid w:val="3BCF27C7"/>
    <w:rsid w:val="3C3F779D"/>
    <w:rsid w:val="3EF227AD"/>
    <w:rsid w:val="3FB86BFC"/>
    <w:rsid w:val="40C93207"/>
    <w:rsid w:val="4126AEFF"/>
    <w:rsid w:val="4268B18C"/>
    <w:rsid w:val="4321318A"/>
    <w:rsid w:val="43ABB9B9"/>
    <w:rsid w:val="43B61218"/>
    <w:rsid w:val="43B61218"/>
    <w:rsid w:val="444AAB56"/>
    <w:rsid w:val="44E40EB0"/>
    <w:rsid w:val="458FA602"/>
    <w:rsid w:val="45A5AEB6"/>
    <w:rsid w:val="46DE8445"/>
    <w:rsid w:val="47AE895D"/>
    <w:rsid w:val="494EFB61"/>
    <w:rsid w:val="49B3C54C"/>
    <w:rsid w:val="4C1AA817"/>
    <w:rsid w:val="4D303937"/>
    <w:rsid w:val="500A1DD9"/>
    <w:rsid w:val="5160E5F2"/>
    <w:rsid w:val="528E9685"/>
    <w:rsid w:val="54EC9D8E"/>
    <w:rsid w:val="55AD6F00"/>
    <w:rsid w:val="562A27C9"/>
    <w:rsid w:val="580CF267"/>
    <w:rsid w:val="5CDED103"/>
    <w:rsid w:val="5CFDCB12"/>
    <w:rsid w:val="5F26F711"/>
    <w:rsid w:val="5FAE7846"/>
    <w:rsid w:val="60709DB6"/>
    <w:rsid w:val="608AD175"/>
    <w:rsid w:val="60E14AE8"/>
    <w:rsid w:val="6613F30C"/>
    <w:rsid w:val="68A7AC7A"/>
    <w:rsid w:val="69734160"/>
    <w:rsid w:val="6BC9A00F"/>
    <w:rsid w:val="6D42C9F8"/>
    <w:rsid w:val="6D74007A"/>
    <w:rsid w:val="6E282B87"/>
    <w:rsid w:val="705AB57E"/>
    <w:rsid w:val="70D6CC16"/>
    <w:rsid w:val="71117E63"/>
    <w:rsid w:val="716EFA34"/>
    <w:rsid w:val="71C39D64"/>
    <w:rsid w:val="7220E6C5"/>
    <w:rsid w:val="72378F06"/>
    <w:rsid w:val="730F9435"/>
    <w:rsid w:val="733896FF"/>
    <w:rsid w:val="7589B143"/>
    <w:rsid w:val="759A1385"/>
    <w:rsid w:val="7769104B"/>
    <w:rsid w:val="77854128"/>
    <w:rsid w:val="7B4EB2C3"/>
    <w:rsid w:val="7CDCA26C"/>
    <w:rsid w:val="7E65E09E"/>
    <w:rsid w:val="7EAE0672"/>
    <w:rsid w:val="7FC84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6DEA"/>
  <w15:chartTrackingRefBased/>
  <w15:docId w15:val="{5884C95D-47CA-4D0B-A570-7D1A7A8E9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D42C9F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D42C9F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D42C9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6D42C9F8"/>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1C39D64"/>
    <w:pPr>
      <w:ind w:left="720"/>
      <w:contextualSpacing/>
    </w:pPr>
  </w:style>
  <w:style w:type="character" w:styleId="Hyperlink">
    <w:name w:val="Hyperlink"/>
    <w:basedOn w:val="DefaultParagraphFont"/>
    <w:uiPriority w:val="99"/>
    <w:unhideWhenUsed/>
    <w:rsid w:val="71C39D64"/>
    <w:rPr>
      <w:color w:val="467886"/>
      <w:u w:val="single"/>
    </w:rPr>
  </w:style>
  <w:style w:type="character" w:styleId="UnresolvedMention">
    <w:name w:val="Unresolved Mention"/>
    <w:basedOn w:val="DefaultParagraphFont"/>
    <w:uiPriority w:val="99"/>
    <w:semiHidden/>
    <w:unhideWhenUsed/>
    <w:rsid w:val="00B72ADF"/>
    <w:rPr>
      <w:color w:val="605E5C"/>
      <w:shd w:val="clear" w:color="auto" w:fill="E1DFDD"/>
    </w:rPr>
  </w:style>
  <w:style w:type="paragraph" w:styleId="Title">
    <w:uiPriority w:val="10"/>
    <w:name w:val="Title"/>
    <w:basedOn w:val="Normal"/>
    <w:next w:val="Normal"/>
    <w:qFormat/>
    <w:rsid w:val="730F943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TOC1">
    <w:uiPriority w:val="39"/>
    <w:name w:val="toc 1"/>
    <w:basedOn w:val="Normal"/>
    <w:next w:val="Normal"/>
    <w:unhideWhenUsed/>
    <w:rsid w:val="730F9435"/>
    <w:pPr>
      <w:spacing w:after="100"/>
    </w:pPr>
  </w:style>
  <w:style w:type="paragraph" w:styleId="Header">
    <w:uiPriority w:val="99"/>
    <w:name w:val="header"/>
    <w:basedOn w:val="Normal"/>
    <w:unhideWhenUsed/>
    <w:rsid w:val="730F9435"/>
    <w:pPr>
      <w:tabs>
        <w:tab w:val="center" w:leader="none" w:pos="4680"/>
        <w:tab w:val="right" w:leader="none" w:pos="9360"/>
      </w:tabs>
      <w:spacing w:after="0" w:line="240" w:lineRule="auto"/>
    </w:pPr>
  </w:style>
  <w:style w:type="paragraph" w:styleId="Footer">
    <w:uiPriority w:val="99"/>
    <w:name w:val="footer"/>
    <w:basedOn w:val="Normal"/>
    <w:unhideWhenUsed/>
    <w:rsid w:val="730F943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automotivemanufacturingsolutions.com/" TargetMode="External" Id="Rc1dfbd0c2ddf44bd" /><Relationship Type="http://schemas.openxmlformats.org/officeDocument/2006/relationships/hyperlink" Target="https://cloud.google.com/blog/" TargetMode="External" Id="R38da1320e7f747ed" /><Relationship Type="http://schemas.openxmlformats.org/officeDocument/2006/relationships/hyperlink" Target="https://global.toyota/en/newsroom/corporate/39828555.html" TargetMode="External" Id="Rf5179d801e6b4ed5" /><Relationship Type="http://schemas.openxmlformats.org/officeDocument/2006/relationships/hyperlink" Target="http://toyotatimes.jp/en/" TargetMode="External" Id="R325757c9aec04304" /><Relationship Type="http://schemas.openxmlformats.org/officeDocument/2006/relationships/header" Target="header.xml" Id="R00d2dfac0fc8473c" /><Relationship Type="http://schemas.openxmlformats.org/officeDocument/2006/relationships/footer" Target="footer.xml" Id="Rf488937564bf425f" /><Relationship Type="http://schemas.microsoft.com/office/2020/10/relationships/intelligence" Target="intelligence2.xml" Id="Rc3b0fa069b4245f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Ousman Bobb (2331955)</dc:creator>
  <keywords/>
  <dc:description/>
  <lastModifiedBy>Ousman Bobb (2331955)</lastModifiedBy>
  <revision>18</revision>
  <dcterms:created xsi:type="dcterms:W3CDTF">2026-02-04T23:39:00.0000000Z</dcterms:created>
  <dcterms:modified xsi:type="dcterms:W3CDTF">2026-03-03T15:29:17.5129624Z</dcterms:modified>
</coreProperties>
</file>