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b/>
          <w:sz w:val="24"/>
        </w:rPr>
      </w:pPr>
      <w:r>
        <w:rPr>
          <w:rFonts w:ascii="Times New Roman" w:hAnsi="Times New Roman" w:cs="Times New Roman"/>
          <w:b/>
          <w:sz w:val="24"/>
          <w:lang w:val="en-GB"/>
        </w:rPr>
        <w:t>A</w:t>
      </w:r>
      <w:r>
        <w:rPr>
          <w:rFonts w:hint="eastAsia" w:ascii="Times New Roman" w:hAnsi="Times New Roman" w:cs="Times New Roman"/>
          <w:b/>
          <w:sz w:val="24"/>
        </w:rPr>
        <w:t>PPLIED</w:t>
      </w:r>
      <w:r>
        <w:rPr>
          <w:rFonts w:ascii="Times New Roman" w:hAnsi="Times New Roman" w:cs="Times New Roman"/>
          <w:b/>
          <w:sz w:val="24"/>
          <w:lang w:val="en-GB"/>
        </w:rPr>
        <w:t xml:space="preserve"> Q</w:t>
      </w:r>
      <w:r>
        <w:rPr>
          <w:rFonts w:hint="eastAsia" w:ascii="Times New Roman" w:hAnsi="Times New Roman" w:cs="Times New Roman"/>
          <w:b/>
          <w:sz w:val="24"/>
        </w:rPr>
        <w:t>UANTITATIVE</w:t>
      </w:r>
      <w:r>
        <w:rPr>
          <w:rFonts w:ascii="Times New Roman" w:hAnsi="Times New Roman" w:cs="Times New Roman"/>
          <w:b/>
          <w:sz w:val="24"/>
          <w:lang w:val="en-GB"/>
        </w:rPr>
        <w:t xml:space="preserve"> B</w:t>
      </w:r>
      <w:r>
        <w:rPr>
          <w:rFonts w:hint="eastAsia" w:ascii="Times New Roman" w:hAnsi="Times New Roman" w:cs="Times New Roman"/>
          <w:b/>
          <w:sz w:val="24"/>
        </w:rPr>
        <w:t>USINESS</w:t>
      </w:r>
      <w:r>
        <w:rPr>
          <w:rFonts w:ascii="Times New Roman" w:hAnsi="Times New Roman" w:cs="Times New Roman"/>
          <w:b/>
          <w:sz w:val="24"/>
          <w:lang w:val="en-GB"/>
        </w:rPr>
        <w:t xml:space="preserve"> R</w:t>
      </w:r>
      <w:r>
        <w:rPr>
          <w:rFonts w:hint="eastAsia" w:ascii="Times New Roman" w:hAnsi="Times New Roman" w:cs="Times New Roman"/>
          <w:b/>
          <w:sz w:val="24"/>
        </w:rPr>
        <w:t>ESEARCH</w:t>
      </w:r>
    </w:p>
    <w:p>
      <w:pPr>
        <w:spacing w:line="480" w:lineRule="auto"/>
        <w:jc w:val="center"/>
        <w:rPr>
          <w:rFonts w:ascii="Times New Roman" w:hAnsi="Times New Roman" w:cs="Times New Roman"/>
          <w:b/>
          <w:sz w:val="24"/>
          <w:lang w:val="en-GB"/>
        </w:rPr>
      </w:pPr>
    </w:p>
    <w:p>
      <w:pPr>
        <w:spacing w:line="480" w:lineRule="auto"/>
        <w:jc w:val="center"/>
        <w:rPr>
          <w:rFonts w:ascii="Times New Roman" w:hAnsi="Times New Roman" w:cs="Times New Roman"/>
          <w:b/>
          <w:sz w:val="24"/>
          <w:lang w:val="en-GB"/>
        </w:rPr>
      </w:pPr>
    </w:p>
    <w:p>
      <w:pPr>
        <w:spacing w:line="480" w:lineRule="auto"/>
        <w:jc w:val="center"/>
        <w:rPr>
          <w:rFonts w:ascii="Times New Roman" w:hAnsi="Times New Roman" w:cs="Times New Roman"/>
          <w:b/>
          <w:sz w:val="24"/>
          <w:lang w:val="en-GB"/>
        </w:rPr>
      </w:pPr>
    </w:p>
    <w:p>
      <w:pPr>
        <w:spacing w:line="480" w:lineRule="auto"/>
        <w:jc w:val="center"/>
        <w:rPr>
          <w:rFonts w:ascii="Times New Roman" w:hAnsi="Times New Roman" w:cs="Times New Roman"/>
          <w:b/>
          <w:sz w:val="24"/>
          <w:lang w:val="en-GB"/>
        </w:rPr>
      </w:pPr>
    </w:p>
    <w:p>
      <w:pPr>
        <w:spacing w:line="480" w:lineRule="auto"/>
        <w:jc w:val="center"/>
        <w:rPr>
          <w:rFonts w:ascii="Times New Roman" w:hAnsi="Times New Roman" w:cs="Times New Roman"/>
          <w:b/>
          <w:bCs/>
          <w:sz w:val="24"/>
        </w:rPr>
      </w:pPr>
      <w:r>
        <w:rPr>
          <w:rFonts w:ascii="Times New Roman" w:hAnsi="Times New Roman" w:cs="Times New Roman"/>
          <w:b/>
          <w:bCs/>
          <w:sz w:val="24"/>
        </w:rPr>
        <w:t>Student Name: Xuya Li</w:t>
      </w:r>
    </w:p>
    <w:p>
      <w:pPr>
        <w:spacing w:line="480" w:lineRule="auto"/>
        <w:jc w:val="center"/>
        <w:rPr>
          <w:rFonts w:ascii="Times New Roman" w:hAnsi="Times New Roman" w:cs="Times New Roman"/>
          <w:b/>
          <w:bCs/>
          <w:sz w:val="24"/>
        </w:rPr>
      </w:pPr>
      <w:r>
        <w:rPr>
          <w:rFonts w:ascii="Times New Roman" w:hAnsi="Times New Roman" w:cs="Times New Roman"/>
          <w:b/>
          <w:bCs/>
          <w:sz w:val="24"/>
        </w:rPr>
        <w:t xml:space="preserve"> </w:t>
      </w:r>
    </w:p>
    <w:p>
      <w:pPr>
        <w:spacing w:line="480" w:lineRule="auto"/>
        <w:jc w:val="center"/>
        <w:rPr>
          <w:rFonts w:ascii="Times New Roman" w:hAnsi="Times New Roman" w:cs="Times New Roman"/>
          <w:b/>
          <w:bCs/>
          <w:sz w:val="24"/>
          <w:lang w:val="en-GB"/>
        </w:rPr>
      </w:pPr>
      <w:r>
        <w:rPr>
          <w:rFonts w:ascii="Times New Roman" w:hAnsi="Times New Roman" w:cs="Times New Roman"/>
          <w:b/>
          <w:bCs/>
          <w:sz w:val="24"/>
        </w:rPr>
        <w:t xml:space="preserve">Student ID Number: </w:t>
      </w:r>
      <w:r>
        <w:rPr>
          <w:rFonts w:ascii="Times New Roman" w:hAnsi="Times New Roman" w:cs="Times New Roman"/>
          <w:b/>
          <w:bCs/>
          <w:sz w:val="24"/>
          <w:lang w:val="en-GB"/>
        </w:rPr>
        <w:t>1651110</w:t>
      </w:r>
    </w:p>
    <w:p>
      <w:pPr>
        <w:spacing w:line="480" w:lineRule="auto"/>
        <w:jc w:val="center"/>
        <w:rPr>
          <w:rFonts w:ascii="Times New Roman" w:hAnsi="Times New Roman" w:cs="Times New Roman"/>
          <w:b/>
          <w:bCs/>
          <w:sz w:val="24"/>
          <w:lang w:val="en-GB"/>
        </w:rPr>
      </w:pPr>
    </w:p>
    <w:p>
      <w:pPr>
        <w:spacing w:line="480" w:lineRule="auto"/>
        <w:jc w:val="center"/>
        <w:rPr>
          <w:rFonts w:ascii="Times New Roman" w:hAnsi="Times New Roman" w:cs="Times New Roman"/>
          <w:b/>
          <w:bCs/>
          <w:sz w:val="24"/>
        </w:rPr>
      </w:pPr>
      <w:r>
        <w:rPr>
          <w:rFonts w:ascii="Times New Roman" w:hAnsi="Times New Roman" w:cs="Times New Roman"/>
          <w:b/>
          <w:sz w:val="24"/>
        </w:rPr>
        <w:t>Lecturer: Dr Abdullah Promise Opute and Dr Caroline Jawad</w:t>
      </w:r>
    </w:p>
    <w:p>
      <w:pPr>
        <w:spacing w:line="480" w:lineRule="auto"/>
        <w:jc w:val="center"/>
        <w:rPr>
          <w:rFonts w:ascii="Times New Roman" w:hAnsi="Times New Roman" w:cs="Times New Roman"/>
          <w:b/>
          <w:bCs/>
          <w:sz w:val="24"/>
          <w:lang w:val="en-GB"/>
        </w:rPr>
      </w:pPr>
    </w:p>
    <w:p>
      <w:pPr>
        <w:spacing w:line="480" w:lineRule="auto"/>
        <w:jc w:val="center"/>
        <w:rPr>
          <w:rFonts w:ascii="Times New Roman" w:hAnsi="Times New Roman" w:cs="Times New Roman"/>
          <w:b/>
          <w:bCs/>
          <w:sz w:val="24"/>
        </w:rPr>
      </w:pPr>
      <w:r>
        <w:rPr>
          <w:rFonts w:ascii="Times New Roman" w:hAnsi="Times New Roman" w:cs="Times New Roman"/>
          <w:b/>
          <w:bCs/>
          <w:sz w:val="24"/>
        </w:rPr>
        <w:t xml:space="preserve">Submission Date : </w:t>
      </w:r>
      <w:r>
        <w:rPr>
          <w:rFonts w:hint="default" w:ascii="Times New Roman" w:hAnsi="Times New Roman" w:cs="Times New Roman"/>
          <w:b/>
          <w:bCs/>
          <w:sz w:val="24"/>
          <w:lang w:val="en-US"/>
        </w:rPr>
        <w:t>3rd</w:t>
      </w:r>
      <w:r>
        <w:rPr>
          <w:rFonts w:ascii="Times New Roman" w:hAnsi="Times New Roman" w:cs="Times New Roman"/>
          <w:b/>
          <w:bCs/>
          <w:sz w:val="24"/>
        </w:rPr>
        <w:t xml:space="preserve"> </w:t>
      </w:r>
      <w:r>
        <w:rPr>
          <w:rFonts w:hint="default" w:ascii="Times New Roman" w:hAnsi="Times New Roman" w:cs="Times New Roman"/>
          <w:b/>
          <w:bCs/>
          <w:sz w:val="24"/>
          <w:lang w:val="en-US"/>
        </w:rPr>
        <w:t>Dec</w:t>
      </w:r>
      <w:r>
        <w:rPr>
          <w:rFonts w:ascii="Times New Roman" w:hAnsi="Times New Roman" w:cs="Times New Roman"/>
          <w:b/>
          <w:bCs/>
          <w:sz w:val="24"/>
        </w:rPr>
        <w:t xml:space="preserve"> 2021</w:t>
      </w:r>
    </w:p>
    <w:p>
      <w:pPr>
        <w:spacing w:line="480" w:lineRule="auto"/>
        <w:rPr>
          <w:rFonts w:ascii="Times New Roman" w:hAnsi="Times New Roman" w:cs="Times New Roman"/>
          <w:b/>
          <w:bCs/>
          <w:sz w:val="24"/>
          <w:lang w:val="en-GB"/>
        </w:rPr>
      </w:pPr>
    </w:p>
    <w:p>
      <w:pPr>
        <w:spacing w:line="480" w:lineRule="auto"/>
        <w:jc w:val="center"/>
        <w:rPr>
          <w:rFonts w:ascii="Times New Roman" w:hAnsi="Times New Roman" w:cs="Times New Roman"/>
          <w:b/>
          <w:bCs/>
          <w:sz w:val="24"/>
          <w:lang w:val="en-GB"/>
        </w:rPr>
      </w:pPr>
    </w:p>
    <w:p>
      <w:pPr>
        <w:spacing w:line="480" w:lineRule="auto"/>
        <w:jc w:val="center"/>
        <w:rPr>
          <w:rFonts w:ascii="Times New Roman" w:hAnsi="Times New Roman" w:cs="Times New Roman"/>
          <w:b/>
          <w:bCs/>
          <w:sz w:val="24"/>
          <w:lang w:val="en-GB"/>
        </w:rPr>
      </w:pPr>
    </w:p>
    <w:p>
      <w:pPr>
        <w:tabs>
          <w:tab w:val="left" w:pos="7659"/>
        </w:tabs>
        <w:spacing w:line="480" w:lineRule="auto"/>
        <w:jc w:val="left"/>
        <w:rPr>
          <w:rFonts w:ascii="Times New Roman" w:hAnsi="Times New Roman" w:cs="Times New Roman"/>
          <w:b/>
          <w:bCs/>
          <w:sz w:val="24"/>
          <w:lang w:val="en-GB"/>
        </w:rPr>
      </w:pPr>
      <w:r>
        <w:rPr>
          <w:rFonts w:hint="eastAsia" w:ascii="Times New Roman" w:hAnsi="Times New Roman" w:cs="Times New Roman"/>
          <w:b/>
          <w:bCs/>
          <w:sz w:val="24"/>
          <w:lang w:val="en-GB"/>
        </w:rPr>
        <w:tab/>
      </w:r>
    </w:p>
    <w:p>
      <w:pPr>
        <w:spacing w:line="480" w:lineRule="auto"/>
        <w:jc w:val="center"/>
        <w:rPr>
          <w:rFonts w:ascii="Times New Roman" w:hAnsi="Times New Roman" w:cs="Times New Roman"/>
          <w:b/>
          <w:bCs/>
          <w:sz w:val="24"/>
          <w:lang w:val="en-GB"/>
        </w:rPr>
      </w:pPr>
    </w:p>
    <w:p>
      <w:pPr>
        <w:spacing w:line="480" w:lineRule="auto"/>
        <w:jc w:val="center"/>
        <w:rPr>
          <w:rFonts w:ascii="Times New Roman" w:hAnsi="Times New Roman" w:cs="Times New Roman"/>
          <w:b/>
          <w:bCs/>
          <w:sz w:val="24"/>
        </w:rPr>
      </w:pPr>
      <w:r>
        <w:rPr>
          <w:rFonts w:ascii="Times New Roman" w:hAnsi="Times New Roman" w:cs="Times New Roman"/>
          <w:b/>
          <w:bCs/>
          <w:sz w:val="24"/>
        </w:rPr>
        <w:t xml:space="preserve">Assignment </w:t>
      </w:r>
      <w:r>
        <w:rPr>
          <w:rFonts w:hint="eastAsia" w:ascii="Times New Roman" w:hAnsi="Times New Roman" w:cs="Times New Roman"/>
          <w:b/>
          <w:bCs/>
          <w:sz w:val="24"/>
        </w:rPr>
        <w:t>2</w:t>
      </w:r>
    </w:p>
    <w:p>
      <w:pPr>
        <w:spacing w:line="480" w:lineRule="auto"/>
        <w:jc w:val="center"/>
        <w:rPr>
          <w:rFonts w:ascii="Times New Roman" w:hAnsi="Times New Roman" w:cs="Times New Roman"/>
          <w:b/>
          <w:bCs/>
          <w:sz w:val="24"/>
        </w:rPr>
      </w:pPr>
    </w:p>
    <w:p>
      <w:pPr>
        <w:spacing w:line="480" w:lineRule="auto"/>
        <w:jc w:val="center"/>
        <w:rPr>
          <w:rFonts w:ascii="Times New Roman" w:hAnsi="Times New Roman" w:cs="Times New Roman"/>
          <w:b/>
          <w:bCs/>
          <w:sz w:val="24"/>
        </w:rPr>
      </w:pPr>
    </w:p>
    <w:p/>
    <w:p/>
    <w:p/>
    <w:p/>
    <w:sdt>
      <w:sdtPr>
        <w:rPr>
          <w:rFonts w:ascii="宋体" w:hAnsi="宋体" w:eastAsia="宋体"/>
        </w:rPr>
        <w:id w:val="147481168"/>
        <w15:color w:val="DBDBDB"/>
        <w:docPartObj>
          <w:docPartGallery w:val="Table of Contents"/>
          <w:docPartUnique/>
        </w:docPartObj>
      </w:sdtPr>
      <w:sdtEndPr>
        <w:rPr>
          <w:rFonts w:ascii="Times New Roman" w:hAnsi="Times New Roman" w:cs="Times New Roman" w:eastAsiaTheme="minorEastAsia"/>
          <w:sz w:val="24"/>
        </w:rPr>
      </w:sdtEndPr>
      <w:sdtContent>
        <w:p>
          <w:pPr>
            <w:spacing w:line="360" w:lineRule="auto"/>
            <w:jc w:val="center"/>
            <w:rPr>
              <w:rFonts w:ascii="Times New Roman" w:hAnsi="Times New Roman" w:cs="Times New Roman"/>
              <w:b/>
              <w:bCs/>
              <w:sz w:val="24"/>
              <w:szCs w:val="32"/>
            </w:rPr>
          </w:pPr>
          <w:r>
            <w:rPr>
              <w:rFonts w:ascii="Times New Roman" w:hAnsi="Times New Roman" w:eastAsia="宋体" w:cs="Times New Roman"/>
              <w:b/>
              <w:bCs/>
              <w:sz w:val="24"/>
              <w:szCs w:val="32"/>
            </w:rPr>
            <w:t>Content</w:t>
          </w:r>
        </w:p>
        <w:p>
          <w:pPr>
            <w:pStyle w:val="7"/>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_Toc26715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_Toc26715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7"/>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_Toc3537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_Toc3537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7"/>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_Toc11028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Rationale for choice of articles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_Toc11028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7"/>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_Toc27661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 of methodology and research design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_Toc22987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Parametric and Non-Parametric 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_Toc22987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_Toc19905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First selected article’s Parametric or Non-parametric discussion (Pandey and Charoensukmongko, 2019)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_Toc19905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Second selected article’s Parametric or Non-parametric discussion (Kaur et al., 2009) </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_Toc18419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 or research method discussion in the first picked article (Pandey and Charoensukmongko, 2019)</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_Toc18419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_Toc5076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 or research method discussion in the second selected article (Kaur et al., 2009)</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_Toc5076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7"/>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_Toc17847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 and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_Toc17847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7"/>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Bibliography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7"/>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_Toc18542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_Toc18542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_Toc15229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Appendix1: Link to the first selected article: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_Toc15229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_Toc9895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Appendix2: Link to the second selected article: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_Toc9895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8"/>
            <w:tabs>
              <w:tab w:val="right" w:leader="dot" w:pos="9072"/>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_Toc24723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Appendix3: Parametric or Non-parametric procedures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_Toc24723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spacing w:line="360" w:lineRule="auto"/>
            <w:rPr>
              <w:rFonts w:ascii="Times New Roman" w:hAnsi="Times New Roman" w:cs="Times New Roman"/>
              <w:sz w:val="24"/>
            </w:rPr>
          </w:pPr>
          <w:r>
            <w:rPr>
              <w:rFonts w:hint="default" w:ascii="Times New Roman" w:hAnsi="Times New Roman" w:cs="Times New Roman"/>
              <w:sz w:val="24"/>
              <w:szCs w:val="24"/>
            </w:rPr>
            <w:fldChar w:fldCharType="end"/>
          </w:r>
        </w:p>
      </w:sdtContent>
    </w:sdt>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2"/>
        <w:spacing w:line="360" w:lineRule="auto"/>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pStyle w:val="2"/>
        <w:spacing w:line="360" w:lineRule="auto"/>
        <w:rPr>
          <w:rFonts w:ascii="Times New Roman" w:hAnsi="Times New Roman" w:cs="Times New Roman"/>
          <w:sz w:val="24"/>
        </w:rPr>
      </w:pPr>
      <w:bookmarkStart w:id="0" w:name="_Toc26715"/>
      <w:r>
        <w:rPr>
          <w:rFonts w:ascii="Times New Roman" w:hAnsi="Times New Roman" w:cs="Times New Roman"/>
          <w:sz w:val="24"/>
        </w:rPr>
        <w:t>Abstract</w:t>
      </w:r>
      <w:bookmarkEnd w:id="0"/>
      <w:r>
        <w:rPr>
          <w:rFonts w:ascii="Times New Roman" w:hAnsi="Times New Roman" w:cs="Times New Roman"/>
          <w:sz w:val="24"/>
        </w:rPr>
        <w:t xml:space="preserve"> </w:t>
      </w:r>
    </w:p>
    <w:p>
      <w:pPr>
        <w:spacing w:line="360" w:lineRule="auto"/>
        <w:rPr>
          <w:rFonts w:ascii="Times New Roman" w:hAnsi="Times New Roman" w:eastAsia="宋体" w:cs="Times New Roman"/>
          <w:color w:val="000000"/>
          <w:sz w:val="24"/>
          <w:shd w:val="clear" w:color="auto" w:fill="FFFFFF"/>
        </w:rPr>
      </w:pPr>
      <w:r>
        <w:rPr>
          <w:rFonts w:ascii="Times New Roman" w:hAnsi="Times New Roman" w:eastAsia="宋体" w:cs="Times New Roman"/>
          <w:color w:val="000000"/>
          <w:sz w:val="24"/>
          <w:shd w:val="clear" w:color="auto" w:fill="FFFFFF"/>
        </w:rPr>
        <w:t xml:space="preserve">This report will find and critically evaluate two articles from two different one star journals in 2021 Academic Journal Guide (AJG). Both of these articles will have related topics and focus on cultural areas with quantitative research.  </w:t>
      </w: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r>
        <w:rPr>
          <w:rFonts w:ascii="Times New Roman" w:hAnsi="Times New Roman" w:eastAsia="宋体" w:cs="Times New Roman"/>
          <w:color w:val="000000"/>
          <w:sz w:val="24"/>
          <w:shd w:val="clear" w:color="auto" w:fill="FFFFFF"/>
        </w:rPr>
        <w:t>In detail: firstly, this report will have an introduction to the whole content; secondly, it will provide a rationale for the choice of the cultural research area articles. Thirdly, this report will present a serious analysis of the research design and methodology in the two articles, including an analysis whether they use parametric or non-parametric data analysis methods, and then evaluate the quantitative research methods used by the respective authors. Then, the researcher in this report will draw a conclusion including a discussion of alternative methods and predicting the changing of the result. Finally, relevant recommendations regarding the shortcomings or potential limitations will be provided.  </w:t>
      </w: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spacing w:line="360" w:lineRule="auto"/>
        <w:rPr>
          <w:rFonts w:ascii="Times New Roman" w:hAnsi="Times New Roman" w:eastAsia="宋体" w:cs="Times New Roman"/>
          <w:color w:val="000000"/>
          <w:sz w:val="24"/>
          <w:shd w:val="clear" w:color="auto" w:fill="FFFFFF"/>
        </w:rPr>
      </w:pPr>
    </w:p>
    <w:p>
      <w:pPr>
        <w:pStyle w:val="2"/>
        <w:spacing w:line="360" w:lineRule="auto"/>
        <w:rPr>
          <w:rFonts w:ascii="Times New Roman" w:hAnsi="Times New Roman" w:cs="Times New Roman"/>
          <w:sz w:val="24"/>
        </w:rPr>
      </w:pPr>
      <w:bookmarkStart w:id="1" w:name="_Toc3537"/>
      <w:r>
        <w:rPr>
          <w:rFonts w:ascii="Times New Roman" w:hAnsi="Times New Roman" w:cs="Times New Roman"/>
          <w:sz w:val="24"/>
        </w:rPr>
        <w:t>Introduction</w:t>
      </w:r>
      <w:bookmarkEnd w:id="1"/>
      <w:r>
        <w:rPr>
          <w:rFonts w:ascii="Times New Roman" w:hAnsi="Times New Roman" w:cs="Times New Roman"/>
          <w:sz w:val="24"/>
        </w:rPr>
        <w:t xml:space="preserve"> </w:t>
      </w:r>
    </w:p>
    <w:p>
      <w:pPr>
        <w:spacing w:line="360" w:lineRule="auto"/>
        <w:rPr>
          <w:rFonts w:ascii="Times New Roman" w:hAnsi="Times New Roman" w:cs="Times New Roman"/>
          <w:sz w:val="24"/>
        </w:rPr>
      </w:pPr>
      <w:r>
        <w:rPr>
          <w:rFonts w:ascii="Times New Roman" w:hAnsi="Times New Roman" w:cs="Times New Roman"/>
          <w:sz w:val="24"/>
        </w:rPr>
        <w:t xml:space="preserve">In recent years, culture and its related areas, such as cultural differences and cultural diversity have started to play an important role in international business areas. Sebenius (2002) suggests that culture will not only influence the negotiation in international business, but also different cultures will influence the expectations in international negotiations. Lu (2012) also agrees that because of the influence of cultural difference, MNEs’ sellers have to face cross-cultural challenges when they communicate with local customers. Therefore, with the research areas between cross-culture and international business, two articles will be found based on the 2021 Academic Journal Guide (AJG), which is a guide in business and management journals and adopted by most UK business schools (Walker et al., 2019). Based on the platform of AJG, and focused on International Business and Areas Studies, this research will choose two journals, one from the Journal of Asia Business Studies, which provided the researcher with an article called “Contribution of cultural intelligence to adaptive selling and customer-oriented selling of salespeople at international trade shows: does cultural similarity matter” (Pandey and Charoensukmongko, 2019). The other one is the journal of Foreign Trade Review, which provided an article called: “An Analysis of Cross-Cultural Negotiations in Textile and Clothing Exporting Units” (Kaur et al., 2009). From the topics of the two articles, it is clear that they are narrowing the research into two different areas. What Pandey and Charoensukmongko (2019) did is find out whether and how cultural intelligence contributes to the sellers’ customer-oriented and adaptive selling behaviour. And what Kaur et al. (2009) did is doing research on the roles of textile and clothing export negotiation in foreign trade. However, both of these articles have the same background in cross-culture and international business. Pandey and Charoensukmongko (2019) did research on CQ to find out whether culture and cultural factors such as cultural intelligence will enhance a good improvement for sellers to have a good behavior when selling in different countries. And Kaur et al. (2009) did research in the area of cross-culture negotiation in foreign trade companies. Therefore, both of these two articles will show how culture and cross-culture play a role in the international business area. This fits into the researcher request in this report. Therefore, the researcher firstly will provide a Rationale for the choice of articles to provide the reason why the researcher would like to choose these two articles with related topics. Secondly, this report will analyze these two articles’ analytical approaches to identify whether these two articles use parametric or non-parametric data analysis, and provide a reason why this analytical approach is appropriate or not to be used in these two articles. Thirdly, this report will critically discuss and compare the different research design, methodology and findings in the two articles, including discussions on whether using an alternative method will bring a different result. Finally, this report will conclude with the two articles’ shortcomings and then based on these shortcomings, discuss whether and how to change the research design, research method or methodology which will improve the results.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2"/>
        <w:spacing w:line="360" w:lineRule="auto"/>
        <w:rPr>
          <w:rFonts w:ascii="Times New Roman" w:hAnsi="Times New Roman" w:cs="Times New Roman"/>
          <w:sz w:val="24"/>
        </w:rPr>
      </w:pPr>
      <w:bookmarkStart w:id="2" w:name="_Toc11028"/>
      <w:r>
        <w:rPr>
          <w:rFonts w:ascii="Times New Roman" w:hAnsi="Times New Roman" w:cs="Times New Roman"/>
          <w:sz w:val="24"/>
        </w:rPr>
        <w:t>Rationale for choice of articles</w:t>
      </w:r>
      <w:bookmarkEnd w:id="2"/>
    </w:p>
    <w:p>
      <w:pPr>
        <w:spacing w:line="360" w:lineRule="auto"/>
        <w:rPr>
          <w:rFonts w:ascii="Times New Roman" w:hAnsi="Times New Roman" w:cs="Times New Roman"/>
          <w:sz w:val="24"/>
        </w:rPr>
      </w:pPr>
      <w:r>
        <w:rPr>
          <w:rFonts w:ascii="Times New Roman" w:hAnsi="Times New Roman" w:cs="Times New Roman"/>
          <w:sz w:val="24"/>
        </w:rPr>
        <w:t xml:space="preserve">The first reason for choosing these two articles is related to the research interest area: culture influence in international business. International business plays a role in trading goods, technology, capital and knowledge on a global scale, which increases the service between different countries and furthers the co-operation between different countries (Joshi, 2009). The roles that culture plays in international business has been debated by many researchers (Yeganeh, 2011), because in the traditional international business area, authors and practitioners may be more concerned about economic, market, local, legal factors (Leung et al., 2005) and not so much culture. However, culture and its related research area have been found to have an effect in business even in the international business area, for instance, different national cultures will bring different influence in a business activity, such as the influence in group performance and capital structure (Gibson, 1999; Chui et al., 2002). Moreover, other related cultural areas such as cultural distance has also been proved that it has built an internal focus, institutional and widely used framework in the areas of international business, which will influence the decision making strategies in different organizations or MNEs, such as entry mode choice, investment in the foreign countries and foreign branch performance policy (Shenkar, 2012; Srivastava et al., 2020). Although the two selected articles did their study in different cultural research areas: one is focused on the CQ influence in international selling and the other one is focused on the importance of cross-culture international negotiation, they still show how culturally related areas influence the relevant international business areas, which fits into the researcher’s aim in this report. </w:t>
      </w:r>
    </w:p>
    <w:p>
      <w:pPr>
        <w:spacing w:line="360" w:lineRule="auto"/>
        <w:rPr>
          <w:rFonts w:ascii="Times New Roman" w:hAnsi="Times New Roman" w:cs="Times New Roman"/>
          <w:sz w:val="24"/>
        </w:rPr>
      </w:pPr>
    </w:p>
    <w:p>
      <w:pPr>
        <w:spacing w:line="360" w:lineRule="auto"/>
        <w:rPr>
          <w:rStyle w:val="12"/>
          <w:rFonts w:ascii="Times New Roman" w:hAnsi="Times New Roman" w:cs="Times New Roman"/>
          <w:sz w:val="24"/>
          <w:szCs w:val="24"/>
        </w:rPr>
      </w:pPr>
      <w:r>
        <w:rPr>
          <w:rFonts w:ascii="Times New Roman" w:hAnsi="Times New Roman" w:cs="Times New Roman"/>
          <w:sz w:val="24"/>
        </w:rPr>
        <w:t xml:space="preserve">The second reason is for the definition of culture itself and the methodology selected by the authors of the two articles. For the definition of culture, different investigators will have different descriptions. For instance, Spencer-Oatey (2012) concludes that, due to fact that different people are living in different organizations in this world, different people may have different thinking on culture and it will be difficult to have a common accepted definition (Schein 1990). Therefore, because of this different descriptive with different performance, the definition of culture still needs to be rethought because of different influence factors (Hofstede, 1991; Popescu, 2019). </w:t>
      </w:r>
      <w:r>
        <w:rPr>
          <w:rStyle w:val="12"/>
          <w:rFonts w:ascii="Times New Roman" w:hAnsi="Times New Roman" w:cs="Times New Roman"/>
          <w:sz w:val="24"/>
          <w:szCs w:val="24"/>
        </w:rPr>
        <w:t xml:space="preserve">Therefore, it seems that the way a descriptive method is used in cultural research areas is more appropriate because of different understandings. However, quantitative research with statistical findings offer a conclusion of trends and behaviour which is also important in academic research (Goertzen, 2017), and evaluating the two articles will bring a new thinking for the researcher to build his own dissertation in the future. Therefore, because </w:t>
      </w:r>
      <w:r>
        <w:rPr>
          <w:rFonts w:ascii="Times New Roman" w:hAnsi="Times New Roman" w:cs="Times New Roman"/>
          <w:sz w:val="24"/>
        </w:rPr>
        <w:t xml:space="preserve">both of the two selected articles did their research based on quantitative research, analyzing these two articles will not only make the researcher enhance the understanding of the research method, advantages and limitations of using quantitative research, but will also allow the researcher to know more about the basics of using quantitative research in the area of cross-culture and international business, which will engender an improvement for the researcher to know how to use quantitative research into relevant research areas in the future.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2"/>
        <w:spacing w:line="360" w:lineRule="auto"/>
        <w:rPr>
          <w:rFonts w:ascii="Times New Roman" w:hAnsi="Times New Roman" w:cs="Times New Roman"/>
          <w:sz w:val="24"/>
        </w:rPr>
      </w:pPr>
      <w:bookmarkStart w:id="3" w:name="_Toc27661"/>
      <w:r>
        <w:rPr>
          <w:rFonts w:ascii="Times New Roman" w:hAnsi="Times New Roman" w:cs="Times New Roman"/>
          <w:sz w:val="24"/>
        </w:rPr>
        <w:t>Discussion of methodology and research design</w:t>
      </w:r>
      <w:bookmarkEnd w:id="3"/>
    </w:p>
    <w:p>
      <w:pPr>
        <w:pStyle w:val="4"/>
        <w:spacing w:line="360" w:lineRule="auto"/>
        <w:rPr>
          <w:rFonts w:ascii="Times New Roman" w:hAnsi="Times New Roman" w:cs="Times New Roman"/>
          <w:sz w:val="24"/>
        </w:rPr>
      </w:pPr>
      <w:bookmarkStart w:id="4" w:name="_Toc22987"/>
      <w:r>
        <w:rPr>
          <w:rFonts w:ascii="Times New Roman" w:hAnsi="Times New Roman" w:cs="Times New Roman"/>
          <w:sz w:val="24"/>
        </w:rPr>
        <w:t>Parametric and Non-Parametric Discussion</w:t>
      </w:r>
      <w:bookmarkEnd w:id="4"/>
      <w:r>
        <w:rPr>
          <w:rFonts w:ascii="Times New Roman" w:hAnsi="Times New Roman" w:cs="Times New Roman"/>
          <w:sz w:val="24"/>
        </w:rPr>
        <w:t xml:space="preserve"> </w:t>
      </w:r>
    </w:p>
    <w:p/>
    <w:p>
      <w:pPr>
        <w:spacing w:line="360" w:lineRule="auto"/>
        <w:rPr>
          <w:rFonts w:ascii="Times New Roman" w:hAnsi="Times New Roman" w:cs="Times New Roman"/>
          <w:sz w:val="24"/>
        </w:rPr>
      </w:pPr>
      <w:r>
        <w:rPr>
          <w:rFonts w:hint="eastAsia" w:ascii="Times New Roman" w:hAnsi="Times New Roman" w:cs="Times New Roman"/>
          <w:sz w:val="24"/>
        </w:rPr>
        <w:t>Holskin (2012) presents a table that indicates the metrics for comparing parametric and non-parametric studies see Appendix 3), and in this assignment the comparative procedures described in Holskin (2012) are used.</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In that table, when comparing the means between two different or independent groups, the Parametric will use the two-sample t-test and the Non-parametric will use the method of the Wilcoxon rank-sum test. When comparing two different quantitative measurements from one individual, the Parametric will use Paired t-test and the Non-parametric will use Wilcoxon signed-rank test. When comparing means between equal or over three different or independent groups, the parametric will use the analysis of variance (ANOVA), and Non-parametric will use the Kruskal-Wallis test. And when calculating the connection between two quantitative variables, the parametric will use Pearson coefficient or correlation and Non-parametric will use Spearman’s Rank Correlation. Furthermore, there are some simple characteristics that will show whether this article use Parametric or Non-parametric analysis approaches: the types of SEMs. Concerning PLS-SEM and CB-SEM, if one article claims that it uses the PLS-SEM as its statistic analysis approach, it means that this article is using the Non-parametric because the approaches such as PLS-SEM or VB-SEM belong to the Non-parametric but one Parametric method like CB-SEM (Mohamad et al., 2019).</w:t>
      </w:r>
      <w:r>
        <w:rPr>
          <w:rFonts w:hint="eastAsia" w:ascii="Times New Roman" w:hAnsi="Times New Roman" w:cs="Times New Roman"/>
          <w:sz w:val="24"/>
        </w:rPr>
        <w:t xml:space="preserve"> This information will </w:t>
      </w:r>
      <w:r>
        <w:rPr>
          <w:rFonts w:ascii="Times New Roman" w:hAnsi="Times New Roman" w:cs="Times New Roman"/>
          <w:sz w:val="24"/>
        </w:rPr>
        <w:t xml:space="preserve">be </w:t>
      </w:r>
      <w:r>
        <w:rPr>
          <w:rFonts w:hint="eastAsia" w:ascii="Times New Roman" w:hAnsi="Times New Roman" w:cs="Times New Roman"/>
          <w:sz w:val="24"/>
        </w:rPr>
        <w:t xml:space="preserve">used as the basic evaluation for </w:t>
      </w:r>
      <w:r>
        <w:rPr>
          <w:rFonts w:ascii="Times New Roman" w:hAnsi="Times New Roman" w:cs="Times New Roman"/>
          <w:sz w:val="24"/>
        </w:rPr>
        <w:t xml:space="preserve">the </w:t>
      </w:r>
      <w:r>
        <w:rPr>
          <w:rFonts w:hint="eastAsia" w:ascii="Times New Roman" w:hAnsi="Times New Roman" w:cs="Times New Roman"/>
          <w:sz w:val="24"/>
        </w:rPr>
        <w:t xml:space="preserve">Parametric or Non-parametric analysis </w:t>
      </w:r>
      <w:r>
        <w:rPr>
          <w:rFonts w:ascii="Times New Roman" w:hAnsi="Times New Roman" w:cs="Times New Roman"/>
          <w:sz w:val="24"/>
        </w:rPr>
        <w:t xml:space="preserve">in the </w:t>
      </w:r>
      <w:r>
        <w:rPr>
          <w:rFonts w:hint="eastAsia" w:ascii="Times New Roman" w:hAnsi="Times New Roman" w:cs="Times New Roman"/>
          <w:sz w:val="24"/>
        </w:rPr>
        <w:t xml:space="preserve">two </w:t>
      </w:r>
      <w:r>
        <w:rPr>
          <w:rFonts w:ascii="Times New Roman" w:hAnsi="Times New Roman" w:cs="Times New Roman"/>
          <w:sz w:val="24"/>
        </w:rPr>
        <w:t>selected</w:t>
      </w:r>
      <w:r>
        <w:rPr>
          <w:rFonts w:hint="eastAsia" w:ascii="Times New Roman" w:hAnsi="Times New Roman" w:cs="Times New Roman"/>
          <w:sz w:val="24"/>
        </w:rPr>
        <w:t xml:space="preserve"> articles. </w:t>
      </w:r>
    </w:p>
    <w:p>
      <w:pPr>
        <w:spacing w:line="360" w:lineRule="auto"/>
        <w:rPr>
          <w:rFonts w:ascii="Times New Roman" w:hAnsi="Times New Roman" w:cs="Times New Roman"/>
          <w:sz w:val="24"/>
        </w:rPr>
      </w:pPr>
    </w:p>
    <w:p>
      <w:pPr>
        <w:pStyle w:val="3"/>
        <w:spacing w:line="360" w:lineRule="auto"/>
      </w:pPr>
      <w:bookmarkStart w:id="5" w:name="_Toc19905"/>
      <w:r>
        <w:rPr>
          <w:rFonts w:ascii="Times New Roman" w:hAnsi="Times New Roman" w:cs="Times New Roman"/>
          <w:sz w:val="24"/>
        </w:rPr>
        <w:t>First selected article’s Parametric or Non-parametric discussion (Pandey and Charoensukmongko, 2019) </w:t>
      </w:r>
      <w:bookmarkEnd w:id="5"/>
    </w:p>
    <w:p/>
    <w:p>
      <w:pPr>
        <w:spacing w:line="360" w:lineRule="auto"/>
        <w:rPr>
          <w:rFonts w:ascii="Times New Roman" w:hAnsi="Times New Roman" w:cs="Times New Roman"/>
          <w:sz w:val="24"/>
        </w:rPr>
      </w:pPr>
      <w:r>
        <w:rPr>
          <w:rFonts w:ascii="Times New Roman" w:hAnsi="Times New Roman" w:cs="Times New Roman"/>
          <w:sz w:val="24"/>
        </w:rPr>
        <w:t>Pandey and Charoensukmongko (2019) used Partial Least Square and Structural Equation Modeling (PLE-SEM) in analysing their data. Because they think they have a small sample in their article they propose that they have found most of their data do not show a normal distribution, and using PLE-SEM will not require normal distribution and large sample such as SEM (Chin, 1988). Moreover, another reason why they use PLE-SEM is that it also allows them to use different statistical methods to choose (Hammer et al., 1978). Overall, from what the researcher found in this article, data not showing a normal distribution and using PLS-SEM as their statistic analysis approach will prove that they used Non-parametric in their research such as mentioned before (Cox, 2006; Mohamad et al., 2019). From the researcher’s point of view in relation to the advantages of Non-parametric they can be subsumed as the following: they will not ask the people to have a normal distribution data structure (Frost, 2017), and are appropriate to be used in a small simple, and can be used for solving the problems that result from outlying observation or are unexpected in the research (Whitley et al., 2002). The researcher hold the view that the Non-parametric is suitable in this research due to the fact that the authors in the first article meet the requirements that data do not show the normal distribution and they think they use a small simple in their research. However, the authors also need to consider some limitations from Non-parametrics such that small simple questions and P-value may not obvious (Whitley et al., 2002). </w:t>
      </w:r>
    </w:p>
    <w:p>
      <w:pPr>
        <w:spacing w:line="360" w:lineRule="auto"/>
        <w:rPr>
          <w:rFonts w:ascii="Times New Roman" w:hAnsi="Times New Roman" w:cs="Times New Roman"/>
          <w:sz w:val="24"/>
        </w:rPr>
      </w:pPr>
    </w:p>
    <w:p>
      <w:pPr>
        <w:pStyle w:val="3"/>
        <w:spacing w:line="360" w:lineRule="auto"/>
      </w:pPr>
      <w:bookmarkStart w:id="6" w:name="_Toc3257"/>
      <w:r>
        <w:rPr>
          <w:rFonts w:ascii="Times New Roman" w:hAnsi="Times New Roman" w:cs="Times New Roman"/>
          <w:sz w:val="24"/>
        </w:rPr>
        <w:t>Second selected article’s Parametric or Non-parametric discussion (Kaur et al., 2009) </w:t>
      </w:r>
      <w:bookmarkEnd w:id="6"/>
    </w:p>
    <w:p>
      <w:pPr>
        <w:spacing w:line="360" w:lineRule="auto"/>
        <w:rPr>
          <w:rFonts w:ascii="Times New Roman" w:hAnsi="Times New Roman" w:cs="Times New Roman"/>
          <w:sz w:val="24"/>
        </w:rPr>
      </w:pPr>
      <w:r>
        <w:rPr>
          <w:rFonts w:ascii="Times New Roman" w:hAnsi="Times New Roman" w:cs="Times New Roman"/>
          <w:sz w:val="24"/>
        </w:rPr>
        <w:t>From the second selected article (Kaur et al., 2009), there is obvious evidence to prove that the Parametric approach was used. This evidence comes from the research methodology that the authors would like to use: statistic tools such as percentage mean scores and t-test to do data analysis. In detail, they used these tools to analyze different sections such as factors that influence cross-cultural negotiation preparation, the result preparation, and different information that participants may obtain from other places before the negotiation and over 30 tables. Therefore according to what the authors did in their research, using t-test and analysis the group means can be thought of as evidence of using Parametric, such as Kim (2015) proposed that t-test belongs to a Parametric analysis approach, and Parametric also focuses on the analysis of the group means (Frost, 2017). The researcher holds the view that what makes researchers concerned about using Parametric in this article is the size of the sample. The sample used by the authors of this research is 40 exporters, which includes 5 large-scale exporters and 35 small exporters. 40 samples seem insufficient to use the t-test in parametric. De Winter (2013) proposed that some meteorologists suggest not to use a t-test when the sample is small. Of course, the sample in this article is not as small as the meteorologist said. Otherwise, if the authors can use more samples, it will avoid the potential risk, for instance being less precise (Frost, 2018) and make it more appropriate in this article. </w:t>
      </w:r>
    </w:p>
    <w:p>
      <w:pPr>
        <w:spacing w:line="360" w:lineRule="auto"/>
        <w:rPr>
          <w:rFonts w:ascii="Times New Roman" w:hAnsi="Times New Roman" w:cs="Times New Roman"/>
          <w:sz w:val="24"/>
        </w:rPr>
      </w:pPr>
    </w:p>
    <w:p>
      <w:pPr>
        <w:pStyle w:val="4"/>
        <w:spacing w:line="360" w:lineRule="auto"/>
        <w:rPr>
          <w:rFonts w:ascii="Times New Roman" w:hAnsi="Times New Roman" w:cs="Times New Roman"/>
          <w:sz w:val="24"/>
        </w:rPr>
      </w:pPr>
      <w:bookmarkStart w:id="7" w:name="_Toc18419"/>
      <w:r>
        <w:rPr>
          <w:rFonts w:ascii="Times New Roman" w:hAnsi="Times New Roman" w:cs="Times New Roman"/>
          <w:sz w:val="24"/>
        </w:rPr>
        <w:t>Methodology or research method discussion in the first picked article (</w:t>
      </w:r>
      <w:bookmarkStart w:id="8" w:name="OLE_LINK10"/>
      <w:r>
        <w:rPr>
          <w:rFonts w:ascii="Times New Roman" w:hAnsi="Times New Roman" w:cs="Times New Roman"/>
          <w:sz w:val="24"/>
        </w:rPr>
        <w:t>Pandey and Charoensukmongko, 2019</w:t>
      </w:r>
      <w:bookmarkEnd w:id="8"/>
      <w:r>
        <w:rPr>
          <w:rFonts w:ascii="Times New Roman" w:hAnsi="Times New Roman" w:cs="Times New Roman"/>
          <w:sz w:val="24"/>
        </w:rPr>
        <w:t>)</w:t>
      </w:r>
      <w:bookmarkEnd w:id="7"/>
      <w:r>
        <w:rPr>
          <w:rFonts w:ascii="Times New Roman" w:hAnsi="Times New Roman" w:cs="Times New Roman"/>
          <w:sz w:val="24"/>
        </w:rPr>
        <w:t xml:space="preserve"> </w:t>
      </w:r>
    </w:p>
    <w:p>
      <w:pPr>
        <w:spacing w:line="360" w:lineRule="auto"/>
        <w:rPr>
          <w:rFonts w:ascii="Times New Roman" w:hAnsi="Times New Roman" w:cs="Times New Roman"/>
          <w:sz w:val="24"/>
        </w:rPr>
      </w:pPr>
      <w:r>
        <w:rPr>
          <w:rFonts w:ascii="Times New Roman" w:hAnsi="Times New Roman" w:cs="Times New Roman"/>
          <w:sz w:val="24"/>
        </w:rPr>
        <w:t xml:space="preserve">Pandey and Charoensukmongko (2019) proposed that they wish to analyze whether CQ will bring a positivist influence to sellers in cross-cultural international business selling. The first advantage </w:t>
      </w:r>
      <w:r>
        <w:rPr>
          <w:rFonts w:hint="eastAsia" w:ascii="Times New Roman" w:hAnsi="Times New Roman" w:cs="Times New Roman"/>
          <w:sz w:val="24"/>
        </w:rPr>
        <w:t xml:space="preserve">in their methodology </w:t>
      </w:r>
      <w:r>
        <w:rPr>
          <w:rFonts w:ascii="Times New Roman" w:hAnsi="Times New Roman" w:cs="Times New Roman"/>
          <w:sz w:val="24"/>
        </w:rPr>
        <w:t xml:space="preserve">is that </w:t>
      </w:r>
      <w:r>
        <w:rPr>
          <w:rFonts w:hint="eastAsia" w:ascii="Times New Roman" w:hAnsi="Times New Roman" w:cs="Times New Roman"/>
          <w:sz w:val="24"/>
        </w:rPr>
        <w:t xml:space="preserve">they </w:t>
      </w:r>
      <w:r>
        <w:rPr>
          <w:rFonts w:ascii="Times New Roman" w:hAnsi="Times New Roman" w:cs="Times New Roman"/>
          <w:sz w:val="24"/>
        </w:rPr>
        <w:t>evaluate the samples that are selected by the two authors. To find out whether Japan and Vietnam are appropriate samples in this research, the authors did their analysis and evaluation of Thailand, Vietnam and Japan. Although it is well-known that they are located in Asia, all of these three countries have different cultural characteristics, especially Japan, which has a larger difference in national characteristics compared to the other two countries and this entails serious challenges to international business (</w:t>
      </w:r>
      <w:r>
        <w:rPr>
          <w:rFonts w:ascii="Times New Roman" w:hAnsi="Times New Roman" w:eastAsia="宋体" w:cs="Times New Roman"/>
          <w:color w:val="222222"/>
          <w:sz w:val="24"/>
          <w:shd w:val="clear" w:color="auto" w:fill="FFFFFF"/>
        </w:rPr>
        <w:t xml:space="preserve">Hubbard and </w:t>
      </w:r>
      <w:r>
        <w:rPr>
          <w:rFonts w:ascii="Times New Roman" w:hAnsi="Times New Roman" w:cs="Times New Roman"/>
          <w:sz w:val="24"/>
        </w:rPr>
        <w:t>Burgoon et al., 2019). For instance, Japanese clients rely heavily on implicit, nonverbal cues rather than verbally explicit expression and this means a complicated situation for a Thai seller to have their business there compared to Thai sellers in Vietnam (Taylor and Okazaki, 2015). Moreover, the authors also use data from Hofstede’s cultural scores (Hofstede, 2001) to prove that the three countries have different cultural distances. With the analysis of different cultural dimensions such as consumers who live in a high culture of uncertainty avoidance, an organization may focus more on the product performance, quality and utility (Kacen and Lee, 2002; Leng and Botelholl, 2010). For c</w:t>
      </w:r>
      <w:r>
        <w:rPr>
          <w:rFonts w:hint="eastAsia" w:ascii="Times New Roman" w:hAnsi="Times New Roman" w:cs="Times New Roman"/>
          <w:sz w:val="24"/>
        </w:rPr>
        <w:t>ustomers who live in a high culture of feminine and collective form</w:t>
      </w:r>
      <w:r>
        <w:rPr>
          <w:rFonts w:ascii="Times New Roman" w:hAnsi="Times New Roman" w:cs="Times New Roman"/>
          <w:sz w:val="24"/>
        </w:rPr>
        <w:t>, an</w:t>
      </w:r>
      <w:r>
        <w:rPr>
          <w:rFonts w:hint="eastAsia" w:ascii="Times New Roman" w:hAnsi="Times New Roman" w:cs="Times New Roman"/>
          <w:sz w:val="24"/>
        </w:rPr>
        <w:t xml:space="preserve"> organization may think high of sellers</w:t>
      </w:r>
      <w:r>
        <w:rPr>
          <w:rFonts w:ascii="Times New Roman" w:hAnsi="Times New Roman" w:cs="Times New Roman"/>
          <w:sz w:val="24"/>
        </w:rPr>
        <w:t>’</w:t>
      </w:r>
      <w:r>
        <w:rPr>
          <w:rFonts w:hint="eastAsia" w:ascii="Times New Roman" w:hAnsi="Times New Roman" w:cs="Times New Roman"/>
          <w:sz w:val="24"/>
        </w:rPr>
        <w:t xml:space="preserve"> service quality because interpersonal relationship is important in the collectivism and feminine organization (Chang, 2006) and customers who lived in the culture of high power distance organization may expect superior service from seller</w:t>
      </w:r>
      <w:r>
        <w:rPr>
          <w:rFonts w:ascii="Times New Roman" w:hAnsi="Times New Roman" w:cs="Times New Roman"/>
          <w:sz w:val="24"/>
        </w:rPr>
        <w:t>s</w:t>
      </w:r>
      <w:r>
        <w:rPr>
          <w:rFonts w:hint="eastAsia" w:ascii="Times New Roman" w:hAnsi="Times New Roman" w:cs="Times New Roman"/>
          <w:sz w:val="24"/>
        </w:rPr>
        <w:t xml:space="preserve"> because power status is important in these organization (Jung and Kau, 2004; Dash et al., 2009; Furrer et al., 2000). </w:t>
      </w:r>
      <w:r>
        <w:rPr>
          <w:rFonts w:ascii="Times New Roman" w:hAnsi="Times New Roman" w:cs="Times New Roman"/>
          <w:sz w:val="24"/>
        </w:rPr>
        <w:t>I</w:t>
      </w:r>
      <w:r>
        <w:rPr>
          <w:rFonts w:hint="eastAsia" w:ascii="Times New Roman" w:hAnsi="Times New Roman" w:cs="Times New Roman"/>
          <w:sz w:val="24"/>
        </w:rPr>
        <w:t xml:space="preserve">t seems the authors did a long analysis to </w:t>
      </w:r>
      <w:r>
        <w:rPr>
          <w:rFonts w:ascii="Times New Roman" w:hAnsi="Times New Roman" w:cs="Times New Roman"/>
          <w:sz w:val="24"/>
        </w:rPr>
        <w:t>study</w:t>
      </w:r>
      <w:r>
        <w:rPr>
          <w:rFonts w:hint="eastAsia" w:ascii="Times New Roman" w:hAnsi="Times New Roman" w:cs="Times New Roman"/>
          <w:sz w:val="24"/>
        </w:rPr>
        <w:t xml:space="preserve"> their samples; however, not only this evaluation provide</w:t>
      </w:r>
      <w:r>
        <w:rPr>
          <w:rFonts w:ascii="Times New Roman" w:hAnsi="Times New Roman" w:cs="Times New Roman"/>
          <w:sz w:val="24"/>
        </w:rPr>
        <w:t>s</w:t>
      </w:r>
      <w:r>
        <w:rPr>
          <w:rFonts w:hint="eastAsia" w:ascii="Times New Roman" w:hAnsi="Times New Roman" w:cs="Times New Roman"/>
          <w:sz w:val="24"/>
        </w:rPr>
        <w:t xml:space="preserve"> evidence to prove that Japan, Thailand and Vietnam have their cultural distance and appropriate in this research, but also the analysis from Hofstede also helps the authors to build their hypotheses that they can use in their quantitative research (</w:t>
      </w:r>
      <w:r>
        <w:rPr>
          <w:rFonts w:ascii="Times New Roman" w:hAnsi="Times New Roman" w:cs="Times New Roman"/>
          <w:sz w:val="24"/>
        </w:rPr>
        <w:t>Pandey and Charoensukmongko</w:t>
      </w:r>
      <w:r>
        <w:rPr>
          <w:rFonts w:hint="eastAsia" w:ascii="Times New Roman" w:hAnsi="Times New Roman" w:cs="Times New Roman"/>
          <w:sz w:val="24"/>
        </w:rPr>
        <w:t xml:space="preserve">, 2009). </w:t>
      </w:r>
      <w:r>
        <w:rPr>
          <w:rFonts w:ascii="Times New Roman" w:hAnsi="Times New Roman" w:cs="Times New Roman"/>
          <w:sz w:val="24"/>
        </w:rPr>
        <w:t xml:space="preserve">The second advantage is the high response rate. The authors used questionnaires to collect information from Thai sellers who did their selling in two different trade exhibitions: Japan and Vietnam. Both Japan and Vietnam trade exhibition participants have been sent 120 questionnaires and the Japan trade exhibition received 110 feedback, which means 92% response rate, and Vietnam also received 100 feedback, which is an 83% response rate. These response rates are high because usually the response rate will change around 33% (Lindemann, 2019), and the two response rates are much higher than 33%, which means the two authors have good control for their data collection process. Although the two authors think their data is a small sample, a higher response rate such as over 80% is better than a low response rate in a large sample (SJ, 1991). High response will bring a positive effect to the final results. The second obvious advantage in this article is the use of the Jarque-Bera test to confirm and find that most of their research’s variables are not normally distributed, therefore, what they decided to do is use the analysis tool of Partial Least Squares Structural Equation Modeling (PLS-SEM), which belongs to Non-parametric (Mohamad et al., 2019). The third obvious advantage of this article’s methodology is the two authors did confirm the importance of validity and reliability in this article. For the validity of the data, the two authors used factor loadings to do the test of convergence validity, and the result is all factor loadings all over 0.5 and support the convergent validity (Hair et al., 2006). The two authors also used the comparison between the squared correlation coefficient to average variance extracted (AVE), to evaluate and confirm discriminant validity by analyzing whether the square root of AVE is larger than the correlation between the constructs (Fornell and Larcker, 1981), and the result shows that all AVEs meet the request of confirming the discriminant validity. For reliability, the authors used the composite reliability coefficient and Cronbach’s alpha coefficient to test construct reliability, and the result from the test showed that all two coefficients are higher than 0.7, which fits into the situations all constructs’ coefficients meet the requirement of confirming the construct readability (Nunnally, 1978).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According to the analysis before, the researcher in this report can confirm that the research methodology and the research design is a fine example in quantitative research because it covers many factors of quantitative research, such as confirming the data structure, using a special tool to analyze the validity and reliability of this article and choose the right statistical analysis tool to find the result. However, there are also limitations of this article such as the sample size. This limitation is also admitted by the two authors, the article only reports on research in the area of Asia and not globally, therefore the results are only limited to a small scale. A large scale, however, will be a appropriate for international sellers to confirm that the result can be applied in a country like Japan and Vietnam but it is not clear if the result is also useful in other countries, especially countries that not local in Asia. </w:t>
      </w:r>
    </w:p>
    <w:p>
      <w:pPr>
        <w:spacing w:line="360" w:lineRule="auto"/>
        <w:rPr>
          <w:rFonts w:ascii="Times New Roman" w:hAnsi="Times New Roman" w:cs="Times New Roman"/>
          <w:sz w:val="24"/>
        </w:rPr>
      </w:pPr>
    </w:p>
    <w:p>
      <w:pPr>
        <w:pStyle w:val="4"/>
        <w:spacing w:line="360" w:lineRule="auto"/>
        <w:rPr>
          <w:rFonts w:ascii="Times New Roman" w:hAnsi="Times New Roman" w:cs="Times New Roman"/>
          <w:sz w:val="24"/>
        </w:rPr>
      </w:pPr>
      <w:bookmarkStart w:id="9" w:name="_Toc5076"/>
      <w:r>
        <w:rPr>
          <w:rFonts w:ascii="Times New Roman" w:hAnsi="Times New Roman" w:cs="Times New Roman"/>
          <w:sz w:val="24"/>
        </w:rPr>
        <w:t>Methodology or research method discussion in the second selected article (Kaur et al., 2009)</w:t>
      </w:r>
      <w:bookmarkEnd w:id="9"/>
      <w:r>
        <w:rPr>
          <w:rFonts w:ascii="Times New Roman" w:hAnsi="Times New Roman" w:cs="Times New Roman"/>
          <w:sz w:val="24"/>
        </w:rPr>
        <w:t xml:space="preserve"> </w:t>
      </w:r>
    </w:p>
    <w:p>
      <w:pPr>
        <w:spacing w:line="360" w:lineRule="auto"/>
        <w:rPr>
          <w:rFonts w:ascii="Times New Roman" w:hAnsi="Times New Roman" w:cs="Times New Roman"/>
          <w:sz w:val="24"/>
        </w:rPr>
      </w:pPr>
      <w:r>
        <w:rPr>
          <w:rFonts w:ascii="Times New Roman" w:hAnsi="Times New Roman" w:cs="Times New Roman"/>
          <w:sz w:val="24"/>
        </w:rPr>
        <w:t>From what the authors did in the second selected article (Kaur et al., 2009) it becomes clear that it is quantitative research. The authors use descriptive research design with applying a structured questionnaire and closed questions, which will assist them to describe the pattern or correlation between different factors or variables, and guide them to find the reason and purpose in this research (VOXCO, 2021). The authors have concluded many comparisons between different factors by using t-test with finding whether t-value or two-tail t-value is significant (Bliese and Wang, 2020), so that they can find out significant factors from five negotiation steps: negotiation preparation, building of relationship, exchange of related information, persuasion and concession and agreement (Kaur, 2007), to evaluate to different negotiation parts of Textile and Clothing Exporting Units and finding out these participants’ awareness of cross-cultural international business (Kaur et al., 2009). Compared to the first selected article, the second article did more (over 30) data analysis tables to prove the findings, and using a tool such as t-test, and mean numbers comparison also proves that this article is using the parametric approach</w:t>
      </w:r>
      <w:r>
        <w:rPr>
          <w:rFonts w:hint="eastAsia" w:ascii="Times New Roman" w:hAnsi="Times New Roman" w:cs="Times New Roman"/>
          <w:sz w:val="24"/>
        </w:rPr>
        <w:t>. And using different kinds of data comparison also support</w:t>
      </w:r>
      <w:r>
        <w:rPr>
          <w:rFonts w:ascii="Times New Roman" w:hAnsi="Times New Roman" w:cs="Times New Roman"/>
          <w:sz w:val="24"/>
        </w:rPr>
        <w:t>s</w:t>
      </w:r>
      <w:r>
        <w:rPr>
          <w:rFonts w:hint="eastAsia" w:ascii="Times New Roman" w:hAnsi="Times New Roman" w:cs="Times New Roman"/>
          <w:sz w:val="24"/>
        </w:rPr>
        <w:t xml:space="preserve"> the final result conclude by the research method picked by the authors</w:t>
      </w:r>
      <w:r>
        <w:rPr>
          <w:rFonts w:ascii="Times New Roman" w:hAnsi="Times New Roman" w:cs="Times New Roman"/>
          <w:sz w:val="24"/>
        </w:rPr>
        <w:t>.</w:t>
      </w:r>
      <w:r>
        <w:rPr>
          <w:rFonts w:hint="eastAsia" w:ascii="Times New Roman" w:hAnsi="Times New Roman" w:cs="Times New Roman"/>
          <w:sz w:val="24"/>
        </w:rPr>
        <w:t xml:space="preserve">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However, perhaps because of the characteristics of descriptive research design such as no treatment or intervention during the whole relevant steps with data, no need to have hypotheses or test hypotheses (Baker, 2017), the authors did not provide clear evidence that they set up a hypothesis</w:t>
      </w:r>
      <w:r>
        <w:rPr>
          <w:rFonts w:hint="eastAsia" w:ascii="Times New Roman" w:hAnsi="Times New Roman" w:cs="Times New Roman"/>
          <w:sz w:val="24"/>
        </w:rPr>
        <w:t xml:space="preserve"> and only provide two research targets. </w:t>
      </w:r>
      <w:r>
        <w:rPr>
          <w:rFonts w:ascii="Times New Roman" w:hAnsi="Times New Roman" w:cs="Times New Roman"/>
          <w:sz w:val="24"/>
        </w:rPr>
        <w:t>Moreover, although there are several pieces of evidence that the authors use parametric (Kim, 2015; Frost, 2017), there is no clear evidence to prove that the authors confirm the normal distribution of the data</w:t>
      </w:r>
      <w:r>
        <w:rPr>
          <w:rFonts w:hint="eastAsia" w:ascii="Times New Roman" w:hAnsi="Times New Roman" w:cs="Times New Roman"/>
          <w:sz w:val="24"/>
        </w:rPr>
        <w:t xml:space="preserve">, and this may </w:t>
      </w:r>
      <w:r>
        <w:rPr>
          <w:rFonts w:ascii="Times New Roman" w:hAnsi="Times New Roman" w:cs="Times New Roman"/>
          <w:sz w:val="24"/>
        </w:rPr>
        <w:t>make</w:t>
      </w:r>
      <w:r>
        <w:rPr>
          <w:rFonts w:hint="eastAsia" w:ascii="Times New Roman" w:hAnsi="Times New Roman" w:cs="Times New Roman"/>
          <w:sz w:val="24"/>
        </w:rPr>
        <w:t xml:space="preserve"> the readers</w:t>
      </w:r>
      <w:r>
        <w:rPr>
          <w:rFonts w:ascii="Times New Roman" w:hAnsi="Times New Roman" w:cs="Times New Roman"/>
          <w:sz w:val="24"/>
        </w:rPr>
        <w:t xml:space="preserve"> dubious as to </w:t>
      </w:r>
      <w:r>
        <w:rPr>
          <w:rFonts w:hint="eastAsia" w:ascii="Times New Roman" w:hAnsi="Times New Roman" w:cs="Times New Roman"/>
          <w:sz w:val="24"/>
        </w:rPr>
        <w:t xml:space="preserve">whether using Parametric is the good choice here because Parametric usually will </w:t>
      </w:r>
      <w:r>
        <w:rPr>
          <w:rFonts w:ascii="Times New Roman" w:hAnsi="Times New Roman" w:cs="Times New Roman"/>
          <w:sz w:val="24"/>
        </w:rPr>
        <w:t xml:space="preserve">be </w:t>
      </w:r>
      <w:r>
        <w:rPr>
          <w:rFonts w:hint="eastAsia" w:ascii="Times New Roman" w:hAnsi="Times New Roman" w:cs="Times New Roman"/>
          <w:sz w:val="24"/>
        </w:rPr>
        <w:t>used in normal distribution data (Vickers, 2005)</w:t>
      </w:r>
      <w:r>
        <w:rPr>
          <w:rFonts w:ascii="Times New Roman" w:hAnsi="Times New Roman" w:cs="Times New Roman"/>
          <w:sz w:val="24"/>
        </w:rPr>
        <w:t xml:space="preserve">. Furthermore, </w:t>
      </w:r>
      <w:r>
        <w:rPr>
          <w:rFonts w:hint="eastAsia" w:ascii="Times New Roman" w:hAnsi="Times New Roman" w:cs="Times New Roman"/>
          <w:sz w:val="24"/>
        </w:rPr>
        <w:t>compare</w:t>
      </w:r>
      <w:r>
        <w:rPr>
          <w:rFonts w:ascii="Times New Roman" w:hAnsi="Times New Roman" w:cs="Times New Roman"/>
          <w:sz w:val="24"/>
        </w:rPr>
        <w:t>d</w:t>
      </w:r>
      <w:r>
        <w:rPr>
          <w:rFonts w:hint="eastAsia" w:ascii="Times New Roman" w:hAnsi="Times New Roman" w:cs="Times New Roman"/>
          <w:sz w:val="24"/>
        </w:rPr>
        <w:t xml:space="preserve"> to the first </w:t>
      </w:r>
      <w:r>
        <w:rPr>
          <w:rFonts w:ascii="Times New Roman" w:hAnsi="Times New Roman" w:cs="Times New Roman"/>
          <w:sz w:val="24"/>
        </w:rPr>
        <w:t>selected</w:t>
      </w:r>
      <w:r>
        <w:rPr>
          <w:rFonts w:hint="eastAsia" w:ascii="Times New Roman" w:hAnsi="Times New Roman" w:cs="Times New Roman"/>
          <w:sz w:val="24"/>
        </w:rPr>
        <w:t xml:space="preserve"> article </w:t>
      </w:r>
      <w:r>
        <w:rPr>
          <w:rFonts w:ascii="Times New Roman" w:hAnsi="Times New Roman" w:cs="Times New Roman"/>
          <w:sz w:val="24"/>
        </w:rPr>
        <w:t>there is no clear evidence to prove that the authors did a test of the validity or reliability</w:t>
      </w:r>
      <w:r>
        <w:rPr>
          <w:rFonts w:hint="eastAsia" w:ascii="Times New Roman" w:hAnsi="Times New Roman" w:cs="Times New Roman"/>
          <w:sz w:val="24"/>
        </w:rPr>
        <w:t xml:space="preserve"> by using </w:t>
      </w:r>
      <w:r>
        <w:rPr>
          <w:rFonts w:ascii="Times New Roman" w:hAnsi="Times New Roman" w:cs="Times New Roman"/>
          <w:sz w:val="24"/>
        </w:rPr>
        <w:t xml:space="preserve">a </w:t>
      </w:r>
      <w:r>
        <w:rPr>
          <w:rFonts w:hint="eastAsia" w:ascii="Times New Roman" w:hAnsi="Times New Roman" w:cs="Times New Roman"/>
          <w:sz w:val="24"/>
        </w:rPr>
        <w:t>statistic</w:t>
      </w:r>
      <w:r>
        <w:rPr>
          <w:rFonts w:ascii="Times New Roman" w:hAnsi="Times New Roman" w:cs="Times New Roman"/>
          <w:sz w:val="24"/>
        </w:rPr>
        <w:t>al</w:t>
      </w:r>
      <w:r>
        <w:rPr>
          <w:rFonts w:hint="eastAsia" w:ascii="Times New Roman" w:hAnsi="Times New Roman" w:cs="Times New Roman"/>
          <w:sz w:val="24"/>
        </w:rPr>
        <w:t xml:space="preserve"> tool (</w:t>
      </w:r>
      <w:r>
        <w:rPr>
          <w:rFonts w:ascii="Times New Roman" w:hAnsi="Times New Roman" w:cs="Times New Roman"/>
          <w:sz w:val="24"/>
        </w:rPr>
        <w:t>Pandey and Charoensukmongko, 2019</w:t>
      </w:r>
      <w:r>
        <w:rPr>
          <w:rFonts w:hint="eastAsia" w:ascii="Times New Roman" w:hAnsi="Times New Roman" w:cs="Times New Roman"/>
          <w:sz w:val="24"/>
        </w:rPr>
        <w:t xml:space="preserve">). </w:t>
      </w:r>
      <w:r>
        <w:rPr>
          <w:rFonts w:ascii="Times New Roman" w:hAnsi="Times New Roman" w:cs="Times New Roman"/>
          <w:sz w:val="24"/>
        </w:rPr>
        <w:t>T</w:t>
      </w:r>
      <w:r>
        <w:rPr>
          <w:rFonts w:hint="eastAsia" w:ascii="Times New Roman" w:hAnsi="Times New Roman" w:cs="Times New Roman"/>
          <w:sz w:val="24"/>
        </w:rPr>
        <w:t xml:space="preserve">here is no clear evidence to prove that </w:t>
      </w:r>
      <w:r>
        <w:rPr>
          <w:rFonts w:ascii="Times New Roman" w:hAnsi="Times New Roman" w:cs="Times New Roman"/>
          <w:sz w:val="24"/>
        </w:rPr>
        <w:t xml:space="preserve">the </w:t>
      </w:r>
      <w:r>
        <w:rPr>
          <w:rFonts w:hint="eastAsia" w:ascii="Times New Roman" w:hAnsi="Times New Roman" w:cs="Times New Roman"/>
          <w:sz w:val="24"/>
        </w:rPr>
        <w:t xml:space="preserve">second </w:t>
      </w:r>
      <w:r>
        <w:rPr>
          <w:rFonts w:ascii="Times New Roman" w:hAnsi="Times New Roman" w:cs="Times New Roman"/>
          <w:sz w:val="24"/>
        </w:rPr>
        <w:t>selected</w:t>
      </w:r>
      <w:r>
        <w:rPr>
          <w:rFonts w:hint="eastAsia" w:ascii="Times New Roman" w:hAnsi="Times New Roman" w:cs="Times New Roman"/>
          <w:sz w:val="24"/>
        </w:rPr>
        <w:t xml:space="preserve"> article</w:t>
      </w:r>
      <w:r>
        <w:rPr>
          <w:rFonts w:ascii="Times New Roman" w:hAnsi="Times New Roman" w:cs="Times New Roman"/>
          <w:sz w:val="24"/>
        </w:rPr>
        <w:t>’</w:t>
      </w:r>
      <w:r>
        <w:rPr>
          <w:rFonts w:hint="eastAsia" w:ascii="Times New Roman" w:hAnsi="Times New Roman" w:cs="Times New Roman"/>
          <w:sz w:val="24"/>
        </w:rPr>
        <w:t xml:space="preserve">s authors did their validity and reliability test, </w:t>
      </w:r>
      <w:r>
        <w:rPr>
          <w:rFonts w:ascii="Times New Roman" w:hAnsi="Times New Roman" w:cs="Times New Roman"/>
          <w:sz w:val="24"/>
        </w:rPr>
        <w:t xml:space="preserve">and </w:t>
      </w:r>
      <w:r>
        <w:rPr>
          <w:rFonts w:hint="eastAsia" w:ascii="Times New Roman" w:hAnsi="Times New Roman" w:cs="Times New Roman"/>
          <w:sz w:val="24"/>
        </w:rPr>
        <w:t>this</w:t>
      </w:r>
      <w:r>
        <w:rPr>
          <w:rFonts w:ascii="Times New Roman" w:hAnsi="Times New Roman" w:cs="Times New Roman"/>
          <w:sz w:val="24"/>
        </w:rPr>
        <w:t xml:space="preserve"> may cause this article to be considered unscientific by some researchers (Shuttleworth, 2008)</w:t>
      </w:r>
      <w:r>
        <w:rPr>
          <w:rFonts w:hint="eastAsia" w:ascii="Times New Roman" w:hAnsi="Times New Roman" w:cs="Times New Roman"/>
          <w:sz w:val="24"/>
        </w:rPr>
        <w:t xml:space="preserve">.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2"/>
        <w:spacing w:line="360" w:lineRule="auto"/>
        <w:rPr>
          <w:rFonts w:ascii="Times New Roman" w:hAnsi="Times New Roman" w:cs="Times New Roman"/>
          <w:sz w:val="24"/>
        </w:rPr>
      </w:pPr>
      <w:bookmarkStart w:id="10" w:name="_Toc17847"/>
      <w:r>
        <w:rPr>
          <w:rFonts w:ascii="Times New Roman" w:hAnsi="Times New Roman" w:cs="Times New Roman"/>
          <w:sz w:val="24"/>
        </w:rPr>
        <w:t>Conclusion and recommendations</w:t>
      </w:r>
      <w:bookmarkEnd w:id="10"/>
    </w:p>
    <w:p>
      <w:pPr>
        <w:spacing w:line="360" w:lineRule="auto"/>
        <w:rPr>
          <w:rFonts w:ascii="Times New Roman" w:hAnsi="Times New Roman" w:cs="Times New Roman"/>
          <w:sz w:val="24"/>
        </w:rPr>
      </w:pPr>
      <w:r>
        <w:rPr>
          <w:rFonts w:ascii="Times New Roman" w:hAnsi="Times New Roman" w:cs="Times New Roman"/>
          <w:sz w:val="24"/>
        </w:rPr>
        <w:t xml:space="preserve">Overall, analyzing two interesting quantitative research articles brings a new insight for the researcher to do further study of research methodology. The first elected article (Pandey and Charoensukmongko, 2019) shows the researcher the different methods to test hypotheses, test data structure, test validity and test reliability in the cultural research area, therefore, which can help the researcher to know more approaches to build his thinking in cultural research areas in the future. In the second selected article (Kaur et al., 2009) the authors provide another different method to do quantitative research in the cross-cultural research area, which offers another aspect for the researcher. Although descriptive research design is different from normal quantitative research methods, this is still an option that can be adopted by the researcher, especially when the researcher would like to combine the qualitative research approach and quantitative research approach and wishes to focus on description in the future.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For the first selected article (Pandey and Charoensukmongko, 2019), the quantitative research method is a good option for them to continue their study, but they can increase their sample size and extend their research area from Asia to Europe, even extend their research to the global area in the future. CQ is one of the important theories in cross-culture area research. If the authors can extend their research scale perhaps they can conclude a series of comparisons between different countries such as Hofstede’s (2001) work on comparing cultural distances between different countries. For the second selected article (Kaur et al., 2009), </w:t>
      </w:r>
      <w:r>
        <w:rPr>
          <w:rFonts w:hint="eastAsia" w:ascii="Times New Roman" w:hAnsi="Times New Roman" w:cs="Times New Roman"/>
          <w:sz w:val="24"/>
        </w:rPr>
        <w:t xml:space="preserve">not only can the authors try to provide some validity or </w:t>
      </w:r>
      <w:r>
        <w:rPr>
          <w:rFonts w:ascii="Times New Roman" w:hAnsi="Times New Roman" w:cs="Times New Roman"/>
          <w:sz w:val="24"/>
        </w:rPr>
        <w:t xml:space="preserve">a </w:t>
      </w:r>
      <w:r>
        <w:rPr>
          <w:rFonts w:hint="eastAsia" w:ascii="Times New Roman" w:hAnsi="Times New Roman" w:cs="Times New Roman"/>
          <w:sz w:val="24"/>
        </w:rPr>
        <w:t>reliability test in their article, but also can include some limitation</w:t>
      </w:r>
      <w:r>
        <w:rPr>
          <w:rFonts w:ascii="Times New Roman" w:hAnsi="Times New Roman" w:cs="Times New Roman"/>
          <w:sz w:val="24"/>
        </w:rPr>
        <w:t>s</w:t>
      </w:r>
      <w:r>
        <w:rPr>
          <w:rFonts w:hint="eastAsia" w:ascii="Times New Roman" w:hAnsi="Times New Roman" w:cs="Times New Roman"/>
          <w:sz w:val="24"/>
        </w:rPr>
        <w:t xml:space="preserve">, such as the structured interview may contribute to the fragmentary information because </w:t>
      </w:r>
      <w:r>
        <w:rPr>
          <w:rFonts w:ascii="Times New Roman" w:hAnsi="Times New Roman" w:cs="Times New Roman"/>
          <w:sz w:val="24"/>
        </w:rPr>
        <w:t xml:space="preserve">there is </w:t>
      </w:r>
      <w:r>
        <w:rPr>
          <w:rFonts w:hint="eastAsia" w:ascii="Times New Roman" w:hAnsi="Times New Roman" w:cs="Times New Roman"/>
          <w:sz w:val="24"/>
        </w:rPr>
        <w:t xml:space="preserve">no exploration of full individual opinion (Weiss, 1994), no flexibility because </w:t>
      </w:r>
      <w:r>
        <w:rPr>
          <w:rFonts w:ascii="Times New Roman" w:hAnsi="Times New Roman" w:cs="Times New Roman"/>
          <w:sz w:val="24"/>
        </w:rPr>
        <w:t xml:space="preserve">of the </w:t>
      </w:r>
      <w:r>
        <w:rPr>
          <w:rFonts w:hint="eastAsia" w:ascii="Times New Roman" w:hAnsi="Times New Roman" w:cs="Times New Roman"/>
          <w:sz w:val="24"/>
        </w:rPr>
        <w:t xml:space="preserve">limited questions, and different vocabularies from different participants may </w:t>
      </w:r>
      <w:r>
        <w:rPr>
          <w:rFonts w:ascii="Times New Roman" w:hAnsi="Times New Roman" w:cs="Times New Roman"/>
          <w:sz w:val="24"/>
        </w:rPr>
        <w:t xml:space="preserve">have </w:t>
      </w:r>
      <w:r>
        <w:rPr>
          <w:rFonts w:hint="eastAsia" w:ascii="Times New Roman" w:hAnsi="Times New Roman" w:cs="Times New Roman"/>
          <w:sz w:val="24"/>
        </w:rPr>
        <w:t>caused different explanation</w:t>
      </w:r>
      <w:r>
        <w:rPr>
          <w:rFonts w:ascii="Times New Roman" w:hAnsi="Times New Roman" w:cs="Times New Roman"/>
          <w:sz w:val="24"/>
        </w:rPr>
        <w:t>s</w:t>
      </w:r>
      <w:r>
        <w:rPr>
          <w:rFonts w:hint="eastAsia" w:ascii="Times New Roman" w:hAnsi="Times New Roman" w:cs="Times New Roman"/>
          <w:sz w:val="24"/>
        </w:rPr>
        <w:t xml:space="preserve"> and descriptions (Merriam and Tisdell, 2015), and this should be </w:t>
      </w:r>
      <w:r>
        <w:rPr>
          <w:rFonts w:ascii="Times New Roman" w:hAnsi="Times New Roman" w:cs="Times New Roman"/>
          <w:sz w:val="24"/>
        </w:rPr>
        <w:t xml:space="preserve">a </w:t>
      </w:r>
      <w:r>
        <w:rPr>
          <w:rFonts w:hint="eastAsia" w:ascii="Times New Roman" w:hAnsi="Times New Roman" w:cs="Times New Roman"/>
          <w:sz w:val="24"/>
        </w:rPr>
        <w:t xml:space="preserve">concern by the authors. Moreover, </w:t>
      </w:r>
      <w:r>
        <w:rPr>
          <w:rFonts w:ascii="Times New Roman" w:hAnsi="Times New Roman" w:cs="Times New Roman"/>
          <w:sz w:val="24"/>
        </w:rPr>
        <w:t xml:space="preserve">if the authors wish to focus on the description of a situation, they can consider the possibility of using the Mix-method or only using the qualitative research method in their study. Because qualitative research may bring a deep insight for the study (Creswell et al., 2007), which means that once use qualitative research is used, not only the authors will find out whether T&amp;C export have a good understanding of cross-cultural negotiation, but also the authors may find the reason why they have this situation so that they can provide a detail recommendations for that situation in their research.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bookmarkStart w:id="37" w:name="_GoBack"/>
      <w:bookmarkEnd w:id="37"/>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2"/>
        <w:spacing w:before="0" w:after="0" w:line="240" w:lineRule="auto"/>
        <w:rPr>
          <w:rFonts w:ascii="Times New Roman" w:hAnsi="Times New Roman" w:cs="Times New Roman"/>
          <w:sz w:val="22"/>
          <w:szCs w:val="22"/>
        </w:rPr>
      </w:pPr>
      <w:bookmarkStart w:id="11" w:name="_Toc1257"/>
      <w:r>
        <w:rPr>
          <w:rFonts w:ascii="Times New Roman" w:hAnsi="Times New Roman" w:cs="Times New Roman"/>
          <w:sz w:val="22"/>
          <w:szCs w:val="22"/>
        </w:rPr>
        <w:t>Bibliography</w:t>
      </w:r>
      <w:bookmarkEnd w:id="11"/>
    </w:p>
    <w:p/>
    <w:p>
      <w:pPr>
        <w:jc w:val="left"/>
        <w:rPr>
          <w:rFonts w:ascii="Times New Roman" w:hAnsi="Times New Roman" w:eastAsia="宋体" w:cs="Times New Roman"/>
          <w:color w:val="222222"/>
          <w:sz w:val="24"/>
          <w:shd w:val="clear" w:color="auto" w:fill="FFFFFF"/>
        </w:rPr>
      </w:pPr>
      <w:bookmarkStart w:id="12" w:name="OLE_LINK38"/>
      <w:bookmarkStart w:id="13" w:name="OLE_LINK15"/>
      <w:r>
        <w:rPr>
          <w:rFonts w:ascii="Times New Roman" w:hAnsi="Times New Roman" w:eastAsia="宋体" w:cs="Times New Roman"/>
          <w:color w:val="222222"/>
          <w:sz w:val="24"/>
          <w:shd w:val="clear" w:color="auto" w:fill="FFFFFF"/>
        </w:rPr>
        <w:t>Baker</w:t>
      </w:r>
      <w:bookmarkEnd w:id="12"/>
      <w:r>
        <w:rPr>
          <w:rFonts w:ascii="Times New Roman" w:hAnsi="Times New Roman" w:eastAsia="宋体" w:cs="Times New Roman"/>
          <w:color w:val="222222"/>
          <w:sz w:val="24"/>
          <w:shd w:val="clear" w:color="auto" w:fill="FFFFFF"/>
        </w:rPr>
        <w:t>, C. (2017). Quantitative research designs: Experimental, quasi-experimental, and descriptive. </w:t>
      </w:r>
      <w:r>
        <w:rPr>
          <w:rFonts w:ascii="Times New Roman" w:hAnsi="Times New Roman" w:eastAsia="宋体" w:cs="Times New Roman"/>
          <w:i/>
          <w:iCs/>
          <w:color w:val="222222"/>
          <w:sz w:val="24"/>
          <w:shd w:val="clear" w:color="auto" w:fill="FFFFFF"/>
        </w:rPr>
        <w:t>Evidence-based practice: An integrative approach to research, administration, and practice</w:t>
      </w:r>
      <w:r>
        <w:rPr>
          <w:rFonts w:ascii="Times New Roman" w:hAnsi="Times New Roman" w:eastAsia="宋体" w:cs="Times New Roman"/>
          <w:color w:val="222222"/>
          <w:sz w:val="24"/>
          <w:shd w:val="clear" w:color="auto" w:fill="FFFFFF"/>
        </w:rPr>
        <w:t>, 155-183.</w:t>
      </w:r>
    </w:p>
    <w:bookmarkEnd w:id="13"/>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14" w:name="OLE_LINK36"/>
      <w:r>
        <w:rPr>
          <w:rFonts w:ascii="Times New Roman" w:hAnsi="Times New Roman" w:eastAsia="宋体" w:cs="Times New Roman"/>
          <w:color w:val="222222"/>
          <w:sz w:val="24"/>
          <w:shd w:val="clear" w:color="auto" w:fill="FFFFFF"/>
        </w:rPr>
        <w:t>Bliese</w:t>
      </w:r>
      <w:bookmarkEnd w:id="14"/>
      <w:r>
        <w:rPr>
          <w:rFonts w:ascii="Times New Roman" w:hAnsi="Times New Roman" w:eastAsia="宋体" w:cs="Times New Roman"/>
          <w:color w:val="222222"/>
          <w:sz w:val="24"/>
          <w:shd w:val="clear" w:color="auto" w:fill="FFFFFF"/>
        </w:rPr>
        <w:t>, P. D., &amp; Wang, M. (2020). Results provide information about cumulative probabilities of finding significance: Let’s report this information. </w:t>
      </w:r>
      <w:r>
        <w:rPr>
          <w:rFonts w:ascii="Times New Roman" w:hAnsi="Times New Roman" w:eastAsia="宋体" w:cs="Times New Roman"/>
          <w:i/>
          <w:iCs/>
          <w:color w:val="222222"/>
          <w:sz w:val="24"/>
          <w:shd w:val="clear" w:color="auto" w:fill="FFFFFF"/>
        </w:rPr>
        <w:t>Journal of Management</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46</w:t>
      </w:r>
      <w:r>
        <w:rPr>
          <w:rFonts w:ascii="Times New Roman" w:hAnsi="Times New Roman" w:eastAsia="宋体" w:cs="Times New Roman"/>
          <w:color w:val="222222"/>
          <w:sz w:val="24"/>
          <w:shd w:val="clear" w:color="auto" w:fill="FFFFFF"/>
        </w:rPr>
        <w:t>(7), 1275-1288.</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15" w:name="OLE_LINK8"/>
      <w:r>
        <w:rPr>
          <w:rFonts w:ascii="Times New Roman" w:hAnsi="Times New Roman" w:eastAsia="宋体" w:cs="Times New Roman"/>
          <w:color w:val="222222"/>
          <w:sz w:val="24"/>
          <w:shd w:val="clear" w:color="auto" w:fill="FFFFFF"/>
        </w:rPr>
        <w:t>Chang</w:t>
      </w:r>
      <w:bookmarkEnd w:id="15"/>
      <w:r>
        <w:rPr>
          <w:rFonts w:ascii="Times New Roman" w:hAnsi="Times New Roman" w:eastAsia="宋体" w:cs="Times New Roman"/>
          <w:color w:val="222222"/>
          <w:sz w:val="24"/>
          <w:shd w:val="clear" w:color="auto" w:fill="FFFFFF"/>
        </w:rPr>
        <w:t>, C. (2006). Cultural masculinity/femininity influences on advertising appeals. </w:t>
      </w:r>
      <w:r>
        <w:rPr>
          <w:rFonts w:ascii="Times New Roman" w:hAnsi="Times New Roman" w:eastAsia="宋体" w:cs="Times New Roman"/>
          <w:i/>
          <w:iCs/>
          <w:color w:val="222222"/>
          <w:sz w:val="24"/>
          <w:shd w:val="clear" w:color="auto" w:fill="FFFFFF"/>
        </w:rPr>
        <w:t>Journal of Advertising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46</w:t>
      </w:r>
      <w:r>
        <w:rPr>
          <w:rFonts w:ascii="Times New Roman" w:hAnsi="Times New Roman" w:eastAsia="宋体" w:cs="Times New Roman"/>
          <w:color w:val="222222"/>
          <w:sz w:val="24"/>
          <w:shd w:val="clear" w:color="auto" w:fill="FFFFFF"/>
        </w:rPr>
        <w:t>(3), 315-323.</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Chin, W. W. (1998). The partial least squares approach to structural equation modeling. </w:t>
      </w:r>
      <w:r>
        <w:rPr>
          <w:rFonts w:ascii="Times New Roman" w:hAnsi="Times New Roman" w:eastAsia="宋体" w:cs="Times New Roman"/>
          <w:i/>
          <w:iCs/>
          <w:color w:val="222222"/>
          <w:sz w:val="24"/>
          <w:shd w:val="clear" w:color="auto" w:fill="FFFFFF"/>
        </w:rPr>
        <w:t>Modern methods for business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295</w:t>
      </w:r>
      <w:r>
        <w:rPr>
          <w:rFonts w:ascii="Times New Roman" w:hAnsi="Times New Roman" w:eastAsia="宋体" w:cs="Times New Roman"/>
          <w:color w:val="222222"/>
          <w:sz w:val="24"/>
          <w:shd w:val="clear" w:color="auto" w:fill="FFFFFF"/>
        </w:rPr>
        <w:t>(2), 295-336.</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Cox, D. R. (2006). </w:t>
      </w:r>
      <w:r>
        <w:rPr>
          <w:rFonts w:ascii="Times New Roman" w:hAnsi="Times New Roman" w:eastAsia="宋体" w:cs="Times New Roman"/>
          <w:i/>
          <w:iCs/>
          <w:color w:val="222222"/>
          <w:sz w:val="24"/>
          <w:shd w:val="clear" w:color="auto" w:fill="FFFFFF"/>
        </w:rPr>
        <w:t>Principles of statistical inference</w:t>
      </w:r>
      <w:r>
        <w:rPr>
          <w:rFonts w:ascii="Times New Roman" w:hAnsi="Times New Roman" w:eastAsia="宋体" w:cs="Times New Roman"/>
          <w:color w:val="222222"/>
          <w:sz w:val="24"/>
          <w:shd w:val="clear" w:color="auto" w:fill="FFFFFF"/>
        </w:rPr>
        <w:t>. Cambridge university press.</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Creswell, J. W., Hanson, W. E., Clark Plano, V. L., &amp; Morales, A. (2007). Qualitative research designs: Selection and implementation. </w:t>
      </w:r>
      <w:r>
        <w:rPr>
          <w:rFonts w:ascii="Times New Roman" w:hAnsi="Times New Roman" w:eastAsia="宋体" w:cs="Times New Roman"/>
          <w:i/>
          <w:iCs/>
          <w:color w:val="222222"/>
          <w:sz w:val="24"/>
          <w:shd w:val="clear" w:color="auto" w:fill="FFFFFF"/>
        </w:rPr>
        <w:t>The counseling psychologist</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35</w:t>
      </w:r>
      <w:r>
        <w:rPr>
          <w:rFonts w:ascii="Times New Roman" w:hAnsi="Times New Roman" w:eastAsia="宋体" w:cs="Times New Roman"/>
          <w:color w:val="222222"/>
          <w:sz w:val="24"/>
          <w:shd w:val="clear" w:color="auto" w:fill="FFFFFF"/>
        </w:rPr>
        <w:t>(2), 236-264.</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Dash, S., Bruning, E., &amp; Acharya, M. (2009). The effect of power distance and individualism on service quality expectations in banking: A two-country individual-and national-cultural comparison. </w:t>
      </w:r>
      <w:r>
        <w:rPr>
          <w:rFonts w:ascii="Times New Roman" w:hAnsi="Times New Roman" w:eastAsia="宋体" w:cs="Times New Roman"/>
          <w:i/>
          <w:iCs/>
          <w:color w:val="222222"/>
          <w:sz w:val="24"/>
          <w:shd w:val="clear" w:color="auto" w:fill="FFFFFF"/>
        </w:rPr>
        <w:t>The International Journal of Bank Marketing</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27</w:t>
      </w:r>
      <w:r>
        <w:rPr>
          <w:rFonts w:ascii="Times New Roman" w:hAnsi="Times New Roman" w:eastAsia="宋体" w:cs="Times New Roman"/>
          <w:color w:val="222222"/>
          <w:sz w:val="24"/>
          <w:shd w:val="clear" w:color="auto" w:fill="FFFFFF"/>
        </w:rPr>
        <w:t>(5), 336-358.</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16" w:name="OLE_LINK24"/>
      <w:r>
        <w:rPr>
          <w:rFonts w:ascii="Times New Roman" w:hAnsi="Times New Roman" w:eastAsia="宋体" w:cs="Times New Roman"/>
          <w:color w:val="222222"/>
          <w:sz w:val="24"/>
          <w:shd w:val="clear" w:color="auto" w:fill="FFFFFF"/>
        </w:rPr>
        <w:t>De Winter</w:t>
      </w:r>
      <w:bookmarkEnd w:id="16"/>
      <w:r>
        <w:rPr>
          <w:rFonts w:ascii="Times New Roman" w:hAnsi="Times New Roman" w:eastAsia="宋体" w:cs="Times New Roman"/>
          <w:color w:val="222222"/>
          <w:sz w:val="24"/>
          <w:shd w:val="clear" w:color="auto" w:fill="FFFFFF"/>
        </w:rPr>
        <w:t>, J. C. (2013). Using the Student's t-test with extremely small sample sizes. </w:t>
      </w:r>
      <w:r>
        <w:rPr>
          <w:rFonts w:ascii="Times New Roman" w:hAnsi="Times New Roman" w:eastAsia="宋体" w:cs="Times New Roman"/>
          <w:i/>
          <w:iCs/>
          <w:color w:val="222222"/>
          <w:sz w:val="24"/>
          <w:shd w:val="clear" w:color="auto" w:fill="FFFFFF"/>
        </w:rPr>
        <w:t>Practical Assessment, Research, and Evaluation</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18</w:t>
      </w:r>
      <w:r>
        <w:rPr>
          <w:rFonts w:ascii="Times New Roman" w:hAnsi="Times New Roman" w:eastAsia="宋体" w:cs="Times New Roman"/>
          <w:color w:val="222222"/>
          <w:sz w:val="24"/>
          <w:shd w:val="clear" w:color="auto" w:fill="FFFFFF"/>
        </w:rPr>
        <w:t>(1), 10.</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17" w:name="OLE_LINK34"/>
      <w:r>
        <w:rPr>
          <w:rFonts w:ascii="Times New Roman" w:hAnsi="Times New Roman" w:eastAsia="宋体" w:cs="Times New Roman"/>
          <w:color w:val="222222"/>
          <w:sz w:val="24"/>
          <w:shd w:val="clear" w:color="auto" w:fill="FFFFFF"/>
        </w:rPr>
        <w:t>Fornell</w:t>
      </w:r>
      <w:bookmarkEnd w:id="17"/>
      <w:r>
        <w:rPr>
          <w:rFonts w:ascii="Times New Roman" w:hAnsi="Times New Roman" w:eastAsia="宋体" w:cs="Times New Roman"/>
          <w:color w:val="222222"/>
          <w:sz w:val="24"/>
          <w:shd w:val="clear" w:color="auto" w:fill="FFFFFF"/>
        </w:rPr>
        <w:t>, C., &amp; Larcker, D. F. (1981). Evaluating structural equation models with unobservable variables and measurement error. </w:t>
      </w:r>
      <w:r>
        <w:rPr>
          <w:rFonts w:ascii="Times New Roman" w:hAnsi="Times New Roman" w:eastAsia="宋体" w:cs="Times New Roman"/>
          <w:i/>
          <w:iCs/>
          <w:color w:val="222222"/>
          <w:sz w:val="24"/>
          <w:shd w:val="clear" w:color="auto" w:fill="FFFFFF"/>
        </w:rPr>
        <w:t>Journal of marketing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18</w:t>
      </w:r>
      <w:r>
        <w:rPr>
          <w:rFonts w:ascii="Times New Roman" w:hAnsi="Times New Roman" w:eastAsia="宋体" w:cs="Times New Roman"/>
          <w:color w:val="222222"/>
          <w:sz w:val="24"/>
          <w:shd w:val="clear" w:color="auto" w:fill="FFFFFF"/>
        </w:rPr>
        <w:t>(1), 39-50.</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Frost, J. (2017). Nonparametric tests vs. parametric tests. </w:t>
      </w:r>
      <w:r>
        <w:rPr>
          <w:rFonts w:ascii="Times New Roman" w:hAnsi="Times New Roman" w:eastAsia="宋体" w:cs="Times New Roman"/>
          <w:i/>
          <w:iCs/>
          <w:color w:val="222222"/>
          <w:sz w:val="24"/>
          <w:shd w:val="clear" w:color="auto" w:fill="FFFFFF"/>
        </w:rPr>
        <w:t>Statistics by Jim Blog</w:t>
      </w:r>
      <w:r>
        <w:rPr>
          <w:rFonts w:ascii="Times New Roman" w:hAnsi="Times New Roman" w:eastAsia="宋体" w:cs="Times New Roman"/>
          <w:color w:val="222222"/>
          <w:sz w:val="24"/>
          <w:shd w:val="clear" w:color="auto" w:fill="FFFFFF"/>
        </w:rPr>
        <w:t>.</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Frost, J. (2018). How t-Tests Work: t-Values, t-Distributions, and Probabilities. </w:t>
      </w:r>
      <w:r>
        <w:rPr>
          <w:rFonts w:ascii="Times New Roman" w:hAnsi="Times New Roman" w:eastAsia="宋体" w:cs="Times New Roman"/>
          <w:i/>
          <w:iCs/>
          <w:color w:val="222222"/>
          <w:sz w:val="24"/>
          <w:shd w:val="clear" w:color="auto" w:fill="FFFFFF"/>
        </w:rPr>
        <w:t>Statistics by Jim Blog</w:t>
      </w:r>
      <w:r>
        <w:rPr>
          <w:rFonts w:ascii="Times New Roman" w:hAnsi="Times New Roman" w:eastAsia="宋体" w:cs="Times New Roman"/>
          <w:color w:val="222222"/>
          <w:sz w:val="24"/>
          <w:shd w:val="clear" w:color="auto" w:fill="FFFFFF"/>
        </w:rPr>
        <w:t>.</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Furrer, O., Liu, B. S. C., &amp; Sudharshan, D. (2000). The relationships between culture and service quality perceptions: Basis for cross-cultural market segmentation and resource allocation. </w:t>
      </w:r>
      <w:r>
        <w:rPr>
          <w:rFonts w:ascii="Times New Roman" w:hAnsi="Times New Roman" w:eastAsia="宋体" w:cs="Times New Roman"/>
          <w:i/>
          <w:iCs/>
          <w:color w:val="222222"/>
          <w:sz w:val="24"/>
          <w:shd w:val="clear" w:color="auto" w:fill="FFFFFF"/>
        </w:rPr>
        <w:t>Journal of service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w:t>
      </w:r>
      <w:r>
        <w:rPr>
          <w:rFonts w:ascii="Times New Roman" w:hAnsi="Times New Roman" w:eastAsia="宋体" w:cs="Times New Roman"/>
          <w:color w:val="222222"/>
          <w:sz w:val="24"/>
          <w:shd w:val="clear" w:color="auto" w:fill="FFFFFF"/>
        </w:rPr>
        <w:t>(4), 355-371.</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Geisser, S., &amp; Johnson, W. O. (2006). </w:t>
      </w:r>
      <w:r>
        <w:rPr>
          <w:rFonts w:ascii="Times New Roman" w:hAnsi="Times New Roman" w:eastAsia="宋体" w:cs="Times New Roman"/>
          <w:i/>
          <w:iCs/>
          <w:color w:val="222222"/>
          <w:sz w:val="24"/>
          <w:shd w:val="clear" w:color="auto" w:fill="FFFFFF"/>
        </w:rPr>
        <w:t>Modes of parametric statistical inference</w:t>
      </w:r>
      <w:r>
        <w:rPr>
          <w:rFonts w:ascii="Times New Roman" w:hAnsi="Times New Roman" w:eastAsia="宋体" w:cs="Times New Roman"/>
          <w:color w:val="222222"/>
          <w:sz w:val="24"/>
          <w:shd w:val="clear" w:color="auto" w:fill="FFFFFF"/>
        </w:rPr>
        <w:t> (Vol. 529). John Wiley &amp; Sons.</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Goertzen, M. J. (2017). Introduction to quantitative research and data. </w:t>
      </w:r>
      <w:r>
        <w:rPr>
          <w:rFonts w:ascii="Times New Roman" w:hAnsi="Times New Roman" w:eastAsia="宋体" w:cs="Times New Roman"/>
          <w:i/>
          <w:iCs/>
          <w:color w:val="222222"/>
          <w:sz w:val="24"/>
          <w:shd w:val="clear" w:color="auto" w:fill="FFFFFF"/>
        </w:rPr>
        <w:t>Library Technology Reports</w:t>
      </w:r>
      <w:r>
        <w:rPr>
          <w:rFonts w:ascii="Times New Roman" w:hAnsi="Times New Roman" w:eastAsia="宋体" w:cs="Times New Roman"/>
          <w:color w:val="222222"/>
          <w:sz w:val="24"/>
          <w:shd w:val="clear" w:color="auto" w:fill="FFFFFF"/>
        </w:rPr>
        <w:t>, 53(4), 12-18.</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18" w:name="OLE_LINK18"/>
      <w:r>
        <w:rPr>
          <w:rFonts w:ascii="Times New Roman" w:hAnsi="Times New Roman" w:eastAsia="宋体" w:cs="Times New Roman"/>
          <w:color w:val="222222"/>
          <w:sz w:val="24"/>
          <w:shd w:val="clear" w:color="auto" w:fill="FFFFFF"/>
        </w:rPr>
        <w:t>Hammer</w:t>
      </w:r>
      <w:bookmarkEnd w:id="18"/>
      <w:r>
        <w:rPr>
          <w:rFonts w:ascii="Times New Roman" w:hAnsi="Times New Roman" w:eastAsia="宋体" w:cs="Times New Roman"/>
          <w:color w:val="222222"/>
          <w:sz w:val="24"/>
          <w:shd w:val="clear" w:color="auto" w:fill="FFFFFF"/>
        </w:rPr>
        <w:t>, M. R., Gudykunst, W. B., &amp; Wiseman, R. L. (1978). Dimensions of intercultural effectiveness: An exploratory study. </w:t>
      </w:r>
      <w:r>
        <w:rPr>
          <w:rFonts w:ascii="Times New Roman" w:hAnsi="Times New Roman" w:eastAsia="宋体" w:cs="Times New Roman"/>
          <w:i/>
          <w:iCs/>
          <w:color w:val="222222"/>
          <w:sz w:val="24"/>
          <w:shd w:val="clear" w:color="auto" w:fill="FFFFFF"/>
        </w:rPr>
        <w:t>International Journal of Intercultural Relations</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w:t>
      </w:r>
      <w:r>
        <w:rPr>
          <w:rFonts w:ascii="Times New Roman" w:hAnsi="Times New Roman" w:eastAsia="宋体" w:cs="Times New Roman"/>
          <w:color w:val="222222"/>
          <w:sz w:val="24"/>
          <w:shd w:val="clear" w:color="auto" w:fill="FFFFFF"/>
        </w:rPr>
        <w:t>(4), 382-393.</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Hofstede, G. (1991). Cultures and Organizations. Software of the Mind. London: McGraw-Hill.</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Hofstede, G. (2001). </w:t>
      </w:r>
      <w:r>
        <w:rPr>
          <w:rFonts w:ascii="Times New Roman" w:hAnsi="Times New Roman" w:eastAsia="宋体" w:cs="Times New Roman"/>
          <w:i/>
          <w:iCs/>
          <w:color w:val="222222"/>
          <w:sz w:val="24"/>
          <w:shd w:val="clear" w:color="auto" w:fill="FFFFFF"/>
        </w:rPr>
        <w:t>Culture's consequences: Comparing values, behaviors, institutions and organizations across nations</w:t>
      </w:r>
      <w:r>
        <w:rPr>
          <w:rFonts w:ascii="Times New Roman" w:hAnsi="Times New Roman" w:eastAsia="宋体" w:cs="Times New Roman"/>
          <w:color w:val="222222"/>
          <w:sz w:val="24"/>
          <w:shd w:val="clear" w:color="auto" w:fill="FFFFFF"/>
        </w:rPr>
        <w:t>. Thousand Oaks, London, New Delhi: Sage publications.</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19" w:name="OLE_LINK12"/>
      <w:r>
        <w:rPr>
          <w:rFonts w:ascii="Times New Roman" w:hAnsi="Times New Roman" w:eastAsia="宋体" w:cs="Times New Roman"/>
          <w:color w:val="222222"/>
          <w:sz w:val="24"/>
          <w:shd w:val="clear" w:color="auto" w:fill="FFFFFF"/>
        </w:rPr>
        <w:t>Hoskin</w:t>
      </w:r>
      <w:bookmarkEnd w:id="19"/>
      <w:r>
        <w:rPr>
          <w:rFonts w:ascii="Times New Roman" w:hAnsi="Times New Roman" w:eastAsia="宋体" w:cs="Times New Roman"/>
          <w:color w:val="222222"/>
          <w:sz w:val="24"/>
          <w:shd w:val="clear" w:color="auto" w:fill="FFFFFF"/>
        </w:rPr>
        <w:t>, T. (2012). Parametric and nonparametric: Demystifying the terms. In </w:t>
      </w:r>
      <w:r>
        <w:rPr>
          <w:rFonts w:ascii="Times New Roman" w:hAnsi="Times New Roman" w:eastAsia="宋体" w:cs="Times New Roman"/>
          <w:i/>
          <w:iCs/>
          <w:color w:val="222222"/>
          <w:sz w:val="24"/>
          <w:shd w:val="clear" w:color="auto" w:fill="FFFFFF"/>
        </w:rPr>
        <w:t>Mayo Clinic</w:t>
      </w:r>
      <w:r>
        <w:rPr>
          <w:rFonts w:ascii="Times New Roman" w:hAnsi="Times New Roman" w:eastAsia="宋体" w:cs="Times New Roman"/>
          <w:color w:val="222222"/>
          <w:sz w:val="24"/>
          <w:shd w:val="clear" w:color="auto" w:fill="FFFFFF"/>
        </w:rPr>
        <w:t> (Vol. 5, pp. 1-5).</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Hubbard, A. S. E., &amp; Burgoon, J. K. (2019). Nonverbal communication. In </w:t>
      </w:r>
      <w:r>
        <w:rPr>
          <w:rFonts w:ascii="Times New Roman" w:hAnsi="Times New Roman" w:eastAsia="宋体" w:cs="Times New Roman"/>
          <w:i/>
          <w:color w:val="222222"/>
          <w:sz w:val="24"/>
          <w:shd w:val="clear" w:color="auto" w:fill="FFFFFF"/>
        </w:rPr>
        <w:t>An Integrated Approach to Communication Theory and Research</w:t>
      </w:r>
      <w:r>
        <w:rPr>
          <w:rFonts w:ascii="Times New Roman" w:hAnsi="Times New Roman" w:eastAsia="宋体" w:cs="Times New Roman"/>
          <w:color w:val="222222"/>
          <w:sz w:val="24"/>
          <w:shd w:val="clear" w:color="auto" w:fill="FFFFFF"/>
        </w:rPr>
        <w:t>, Third Edition (pp. 333-345). Taylor and Francis. https://doi.org/10.4324/9780203710753-28</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Goertzen, M. J. (2017). Introduction to quantitative research and data. </w:t>
      </w:r>
      <w:r>
        <w:rPr>
          <w:rFonts w:ascii="Times New Roman" w:hAnsi="Times New Roman" w:eastAsia="宋体" w:cs="Times New Roman"/>
          <w:i/>
          <w:iCs/>
          <w:color w:val="222222"/>
          <w:sz w:val="24"/>
          <w:shd w:val="clear" w:color="auto" w:fill="FFFFFF"/>
        </w:rPr>
        <w:t>Library Technology Reports</w:t>
      </w:r>
      <w:r>
        <w:rPr>
          <w:rFonts w:ascii="Times New Roman" w:hAnsi="Times New Roman" w:eastAsia="宋体" w:cs="Times New Roman"/>
          <w:color w:val="222222"/>
          <w:sz w:val="24"/>
          <w:shd w:val="clear" w:color="auto" w:fill="FFFFFF"/>
        </w:rPr>
        <w:t>, 53(4), 12-18.</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Joshi, R. (2009). </w:t>
      </w:r>
      <w:r>
        <w:rPr>
          <w:rFonts w:ascii="Times New Roman" w:hAnsi="Times New Roman" w:eastAsia="宋体" w:cs="Times New Roman"/>
          <w:i/>
          <w:color w:val="222222"/>
          <w:sz w:val="24"/>
          <w:shd w:val="clear" w:color="auto" w:fill="FFFFFF"/>
        </w:rPr>
        <w:t>International Business</w:t>
      </w:r>
      <w:r>
        <w:rPr>
          <w:rFonts w:ascii="Times New Roman" w:hAnsi="Times New Roman" w:eastAsia="宋体" w:cs="Times New Roman"/>
          <w:color w:val="222222"/>
          <w:sz w:val="24"/>
          <w:shd w:val="clear" w:color="auto" w:fill="FFFFFF"/>
        </w:rPr>
        <w:t xml:space="preserve">. </w:t>
      </w:r>
      <w:r>
        <w:rPr>
          <w:rFonts w:ascii="Times New Roman" w:hAnsi="Times New Roman" w:eastAsia="宋体" w:cs="Times New Roman"/>
          <w:iCs/>
          <w:color w:val="222222"/>
          <w:sz w:val="24"/>
          <w:shd w:val="clear" w:color="auto" w:fill="FFFFFF"/>
        </w:rPr>
        <w:t>New Delhi and New York:</w:t>
      </w:r>
      <w:r>
        <w:rPr>
          <w:rFonts w:ascii="Times New Roman" w:hAnsi="Times New Roman" w:eastAsia="宋体" w:cs="Times New Roman"/>
          <w:color w:val="222222"/>
          <w:sz w:val="24"/>
          <w:shd w:val="clear" w:color="auto" w:fill="FFFFFF"/>
        </w:rPr>
        <w:t xml:space="preserve"> Oxford University Press. </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Jung, K., &amp; Kau, A. K. (2004). Culture’s influence on consumer behaviors: differences among ethnic groups in a multiracial Asian country. </w:t>
      </w:r>
      <w:r>
        <w:rPr>
          <w:rFonts w:ascii="Times New Roman" w:hAnsi="Times New Roman" w:eastAsia="宋体" w:cs="Times New Roman"/>
          <w:i/>
          <w:iCs/>
          <w:color w:val="222222"/>
          <w:sz w:val="24"/>
          <w:shd w:val="clear" w:color="auto" w:fill="FFFFFF"/>
        </w:rPr>
        <w:t>ACR North American Advances</w:t>
      </w:r>
      <w:r>
        <w:rPr>
          <w:rFonts w:ascii="Times New Roman" w:hAnsi="Times New Roman" w:eastAsia="宋体" w:cs="Times New Roman"/>
          <w:color w:val="222222"/>
          <w:sz w:val="24"/>
          <w:shd w:val="clear" w:color="auto" w:fill="FFFFFF"/>
        </w:rPr>
        <w:t>.</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Kacen, J. J., &amp; Lee, J. A. (2002). The influence of culture on consumer impulsive buying behavior. </w:t>
      </w:r>
      <w:r>
        <w:rPr>
          <w:rFonts w:ascii="Times New Roman" w:hAnsi="Times New Roman" w:eastAsia="宋体" w:cs="Times New Roman"/>
          <w:i/>
          <w:iCs/>
          <w:color w:val="222222"/>
          <w:sz w:val="24"/>
          <w:shd w:val="clear" w:color="auto" w:fill="FFFFFF"/>
        </w:rPr>
        <w:t>Journal of consumer psychology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12</w:t>
      </w:r>
      <w:r>
        <w:rPr>
          <w:rFonts w:ascii="Times New Roman" w:hAnsi="Times New Roman" w:eastAsia="宋体" w:cs="Times New Roman"/>
          <w:color w:val="222222"/>
          <w:sz w:val="24"/>
          <w:shd w:val="clear" w:color="auto" w:fill="FFFFFF"/>
        </w:rPr>
        <w:t>(2), 163-176.</w:t>
      </w:r>
    </w:p>
    <w:p>
      <w:pPr>
        <w:jc w:val="left"/>
        <w:rPr>
          <w:rFonts w:ascii="Times New Roman" w:hAnsi="Times New Roman" w:eastAsia="宋体" w:cs="Times New Roman"/>
          <w:color w:val="222222"/>
          <w:sz w:val="24"/>
          <w:shd w:val="clear" w:color="auto" w:fill="FFFFFF"/>
        </w:rPr>
      </w:pPr>
    </w:p>
    <w:p>
      <w:pPr>
        <w:widowControl/>
        <w:jc w:val="left"/>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w:t>
      </w:r>
      <w:r>
        <w:rPr>
          <w:rFonts w:hint="default" w:ascii="Times New Roman" w:hAnsi="Times New Roman" w:eastAsia="宋体" w:cs="Times New Roman"/>
          <w:i w:val="0"/>
          <w:iCs w:val="0"/>
          <w:caps w:val="0"/>
          <w:color w:val="222222"/>
          <w:spacing w:val="0"/>
          <w:sz w:val="24"/>
          <w:szCs w:val="24"/>
          <w:shd w:val="clear" w:fill="FFFFFF"/>
          <w:lang w:val="en-US"/>
        </w:rPr>
        <w:t>aur</w:t>
      </w:r>
      <w:r>
        <w:rPr>
          <w:rFonts w:hint="default" w:ascii="Times New Roman" w:hAnsi="Times New Roman" w:eastAsia="宋体" w:cs="Times New Roman"/>
          <w:i w:val="0"/>
          <w:iCs w:val="0"/>
          <w:caps w:val="0"/>
          <w:color w:val="222222"/>
          <w:spacing w:val="0"/>
          <w:sz w:val="24"/>
          <w:szCs w:val="24"/>
          <w:shd w:val="clear" w:fill="FFFFFF"/>
        </w:rPr>
        <w:t>, H. (2007). </w:t>
      </w:r>
      <w:r>
        <w:rPr>
          <w:rFonts w:hint="default" w:ascii="Times New Roman" w:hAnsi="Times New Roman" w:eastAsia="宋体" w:cs="Times New Roman"/>
          <w:i/>
          <w:iCs/>
          <w:caps w:val="0"/>
          <w:color w:val="222222"/>
          <w:spacing w:val="0"/>
          <w:sz w:val="24"/>
          <w:szCs w:val="24"/>
          <w:shd w:val="clear" w:fill="FFFFFF"/>
        </w:rPr>
        <w:t>CROSS-CULTURAL NEGOTIATIONS-A STUDY OF EXPORTING UNITS OF TEXTILES AND CLOTHING IN LUDHIANA</w:t>
      </w:r>
      <w:r>
        <w:rPr>
          <w:rFonts w:hint="default" w:ascii="Times New Roman" w:hAnsi="Times New Roman" w:eastAsia="宋体" w:cs="Times New Roman"/>
          <w:i w:val="0"/>
          <w:iCs w:val="0"/>
          <w:caps w:val="0"/>
          <w:color w:val="222222"/>
          <w:spacing w:val="0"/>
          <w:sz w:val="24"/>
          <w:szCs w:val="24"/>
          <w:shd w:val="clear" w:fill="FFFFFF"/>
        </w:rPr>
        <w:t> (Doctoral dissertation, PUNJAB AGRICULTURAL UNIVERSITY; LUDHIANA).</w:t>
      </w:r>
    </w:p>
    <w:p>
      <w:pPr>
        <w:widowControl/>
        <w:jc w:val="left"/>
        <w:rPr>
          <w:rFonts w:hint="default" w:ascii="Times New Roman" w:hAnsi="Times New Roman" w:eastAsia="宋体" w:cs="Times New Roman"/>
          <w:i w:val="0"/>
          <w:iCs w:val="0"/>
          <w:caps w:val="0"/>
          <w:color w:val="222222"/>
          <w:spacing w:val="0"/>
          <w:sz w:val="24"/>
          <w:szCs w:val="24"/>
          <w:shd w:val="clear" w:fill="FFFFFF"/>
        </w:rPr>
      </w:pPr>
    </w:p>
    <w:p>
      <w:pPr>
        <w:jc w:val="left"/>
        <w:rPr>
          <w:rFonts w:ascii="Times New Roman" w:hAnsi="Times New Roman" w:eastAsia="宋体" w:cs="Times New Roman"/>
          <w:color w:val="222222"/>
          <w:sz w:val="24"/>
          <w:shd w:val="clear" w:color="auto" w:fill="FFFFFF"/>
        </w:rPr>
      </w:pPr>
      <w:bookmarkStart w:id="20" w:name="OLE_LINK2"/>
      <w:r>
        <w:rPr>
          <w:rFonts w:ascii="Times New Roman" w:hAnsi="Times New Roman" w:eastAsia="宋体" w:cs="Times New Roman"/>
          <w:color w:val="222222"/>
          <w:sz w:val="24"/>
          <w:shd w:val="clear" w:color="auto" w:fill="FFFFFF"/>
        </w:rPr>
        <w:t>Kaur</w:t>
      </w:r>
      <w:bookmarkEnd w:id="20"/>
      <w:r>
        <w:rPr>
          <w:rFonts w:ascii="Times New Roman" w:hAnsi="Times New Roman" w:eastAsia="宋体" w:cs="Times New Roman"/>
          <w:color w:val="222222"/>
          <w:sz w:val="24"/>
          <w:shd w:val="clear" w:color="auto" w:fill="FFFFFF"/>
        </w:rPr>
        <w:t>, H., Sachdeva, Y. P., &amp; Kumar, B. (2009). An Analysis of Cross-Cultural Negotiations in Textile and Clothing Exporting Units. </w:t>
      </w:r>
      <w:r>
        <w:rPr>
          <w:rFonts w:ascii="Times New Roman" w:hAnsi="Times New Roman" w:eastAsia="宋体" w:cs="Times New Roman"/>
          <w:i/>
          <w:iCs/>
          <w:color w:val="222222"/>
          <w:sz w:val="24"/>
          <w:shd w:val="clear" w:color="auto" w:fill="FFFFFF"/>
        </w:rPr>
        <w:t>Foreign Trade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44</w:t>
      </w:r>
      <w:r>
        <w:rPr>
          <w:rFonts w:ascii="Times New Roman" w:hAnsi="Times New Roman" w:eastAsia="宋体" w:cs="Times New Roman"/>
          <w:color w:val="222222"/>
          <w:sz w:val="24"/>
          <w:shd w:val="clear" w:color="auto" w:fill="FFFFFF"/>
        </w:rPr>
        <w:t>(1), 44-67.</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Kim, T. K. (2015). T test as a parametric statistic. </w:t>
      </w:r>
      <w:r>
        <w:rPr>
          <w:rFonts w:ascii="Times New Roman" w:hAnsi="Times New Roman" w:eastAsia="宋体" w:cs="Times New Roman"/>
          <w:i/>
          <w:iCs/>
          <w:color w:val="222222"/>
          <w:sz w:val="24"/>
          <w:shd w:val="clear" w:color="auto" w:fill="FFFFFF"/>
        </w:rPr>
        <w:t>Korean journal of anesthesiology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68</w:t>
      </w:r>
      <w:r>
        <w:rPr>
          <w:rFonts w:ascii="Times New Roman" w:hAnsi="Times New Roman" w:eastAsia="宋体" w:cs="Times New Roman"/>
          <w:color w:val="222222"/>
          <w:sz w:val="24"/>
          <w:shd w:val="clear" w:color="auto" w:fill="FFFFFF"/>
        </w:rPr>
        <w:t>(6), 540.</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Leng, C. Y., &amp; Botelho, D. (2010). How does national culture impact on consumers’ decision-making styles? A cross cultural study in Brazil, the United States and Japan. </w:t>
      </w:r>
      <w:r>
        <w:rPr>
          <w:rFonts w:ascii="Times New Roman" w:hAnsi="Times New Roman" w:eastAsia="宋体" w:cs="Times New Roman"/>
          <w:i/>
          <w:iCs/>
          <w:color w:val="222222"/>
          <w:sz w:val="24"/>
          <w:shd w:val="clear" w:color="auto" w:fill="FFFFFF"/>
        </w:rPr>
        <w:t>BAR-Brazilian Administration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7</w:t>
      </w:r>
      <w:r>
        <w:rPr>
          <w:rFonts w:ascii="Times New Roman" w:hAnsi="Times New Roman" w:eastAsia="宋体" w:cs="Times New Roman"/>
          <w:color w:val="222222"/>
          <w:sz w:val="24"/>
          <w:shd w:val="clear" w:color="auto" w:fill="FFFFFF"/>
        </w:rPr>
        <w:t>, 260-275.</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21" w:name="OLE_LINK6"/>
      <w:r>
        <w:rPr>
          <w:rFonts w:ascii="Times New Roman" w:hAnsi="Times New Roman" w:eastAsia="宋体" w:cs="Times New Roman"/>
          <w:color w:val="222222"/>
          <w:sz w:val="24"/>
          <w:shd w:val="clear" w:color="auto" w:fill="FFFFFF"/>
        </w:rPr>
        <w:t>Leung</w:t>
      </w:r>
      <w:bookmarkEnd w:id="21"/>
      <w:r>
        <w:rPr>
          <w:rFonts w:ascii="Times New Roman" w:hAnsi="Times New Roman" w:eastAsia="宋体" w:cs="Times New Roman"/>
          <w:color w:val="222222"/>
          <w:sz w:val="24"/>
          <w:shd w:val="clear" w:color="auto" w:fill="FFFFFF"/>
        </w:rPr>
        <w:t>, K., Bhagat, R. S., Buchan, N. R., Erez, M., &amp; Gibson, C. B. (2005). Culture and international business: Recent advances and their implications for future research. </w:t>
      </w:r>
      <w:r>
        <w:rPr>
          <w:rFonts w:ascii="Times New Roman" w:hAnsi="Times New Roman" w:eastAsia="宋体" w:cs="Times New Roman"/>
          <w:i/>
          <w:iCs/>
          <w:color w:val="222222"/>
          <w:sz w:val="24"/>
          <w:shd w:val="clear" w:color="auto" w:fill="FFFFFF"/>
        </w:rPr>
        <w:t>Journal of international business studies</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36</w:t>
      </w:r>
      <w:r>
        <w:rPr>
          <w:rFonts w:ascii="Times New Roman" w:hAnsi="Times New Roman" w:eastAsia="宋体" w:cs="Times New Roman"/>
          <w:color w:val="222222"/>
          <w:sz w:val="24"/>
          <w:shd w:val="clear" w:color="auto" w:fill="FFFFFF"/>
        </w:rPr>
        <w:t>(4), 357-378.</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Lindemann, Nigel. (2019) "What’s the average survey response rate? </w:t>
      </w:r>
      <w:r>
        <w:rPr>
          <w:rFonts w:ascii="Times New Roman" w:hAnsi="Times New Roman" w:eastAsia="宋体" w:cs="Times New Roman"/>
          <w:i/>
          <w:iCs/>
          <w:color w:val="222222"/>
          <w:sz w:val="24"/>
          <w:shd w:val="clear" w:color="auto" w:fill="FFFFFF"/>
        </w:rPr>
        <w:t xml:space="preserve">SurveyAnyplace Blog. </w:t>
      </w:r>
      <w:r>
        <w:rPr>
          <w:rFonts w:ascii="Times New Roman" w:hAnsi="Times New Roman" w:eastAsia="宋体" w:cs="Times New Roman"/>
          <w:color w:val="222222"/>
          <w:sz w:val="24"/>
          <w:shd w:val="clear" w:color="auto" w:fill="FFFFFF"/>
        </w:rPr>
        <w:t>[Online]. Available at:</w:t>
      </w:r>
      <w:r>
        <w:rPr>
          <w:rFonts w:ascii="Times New Roman" w:hAnsi="Times New Roman" w:eastAsia="宋体" w:cs="Times New Roman"/>
          <w:i/>
          <w:iCs/>
          <w:color w:val="222222"/>
          <w:sz w:val="24"/>
          <w:shd w:val="clear" w:color="auto" w:fill="FFFFFF"/>
        </w:rPr>
        <w:t xml:space="preserve"> </w:t>
      </w:r>
      <w:r>
        <w:rPr>
          <w:rStyle w:val="11"/>
          <w:rFonts w:ascii="Times New Roman" w:hAnsi="Times New Roman" w:cs="Times New Roman"/>
          <w:sz w:val="24"/>
        </w:rPr>
        <w:t>https://surveyanyplace.com/blog/average-survey-response-rate//</w:t>
      </w:r>
      <w:r>
        <w:rPr>
          <w:rFonts w:ascii="Times New Roman" w:hAnsi="Times New Roman" w:eastAsia="宋体" w:cs="Times New Roman"/>
          <w:color w:val="222222"/>
          <w:sz w:val="24"/>
          <w:shd w:val="clear" w:color="auto" w:fill="FFFFFF"/>
        </w:rPr>
        <w:t>[Accessed 6th November 2021].</w:t>
      </w:r>
    </w:p>
    <w:p>
      <w:pPr>
        <w:jc w:val="left"/>
        <w:rPr>
          <w:rFonts w:ascii="Times New Roman" w:hAnsi="Times New Roman" w:eastAsia="宋体" w:cs="Times New Roman"/>
          <w:color w:val="222222"/>
          <w:sz w:val="24"/>
          <w:shd w:val="clear" w:color="auto" w:fill="FFFFFF"/>
        </w:rPr>
      </w:pPr>
    </w:p>
    <w:p>
      <w:pPr>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Lu, L. T. (2012). Etic or emic? Measuring culture in international business research. </w:t>
      </w:r>
      <w:r>
        <w:rPr>
          <w:rFonts w:ascii="Times New Roman" w:hAnsi="Times New Roman" w:eastAsia="宋体" w:cs="Times New Roman"/>
          <w:i/>
          <w:iCs/>
          <w:color w:val="222222"/>
          <w:sz w:val="24"/>
          <w:shd w:val="clear" w:color="auto" w:fill="FFFFFF"/>
        </w:rPr>
        <w:t>International Business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5</w:t>
      </w:r>
      <w:r>
        <w:rPr>
          <w:rFonts w:ascii="Times New Roman" w:hAnsi="Times New Roman" w:eastAsia="宋体" w:cs="Times New Roman"/>
          <w:color w:val="222222"/>
          <w:sz w:val="24"/>
          <w:shd w:val="clear" w:color="auto" w:fill="FFFFFF"/>
        </w:rPr>
        <w:t>(5), 109.</w:t>
      </w:r>
    </w:p>
    <w:p>
      <w:pPr>
        <w:rPr>
          <w:rFonts w:ascii="Times New Roman" w:hAnsi="Times New Roman" w:eastAsia="宋体" w:cs="Times New Roman"/>
          <w:color w:val="222222"/>
          <w:sz w:val="24"/>
          <w:shd w:val="clear" w:color="auto" w:fill="FFFFFF"/>
        </w:rPr>
      </w:pPr>
    </w:p>
    <w:p>
      <w:pPr>
        <w:rPr>
          <w:rFonts w:ascii="Times New Roman" w:hAnsi="Times New Roman" w:eastAsia="宋体" w:cs="Times New Roman"/>
          <w:color w:val="222222"/>
          <w:sz w:val="24"/>
          <w:shd w:val="clear" w:color="auto" w:fill="FFFFFF"/>
        </w:rPr>
      </w:pPr>
      <w:bookmarkStart w:id="22" w:name="OLE_LINK13"/>
      <w:r>
        <w:rPr>
          <w:rFonts w:ascii="Times New Roman" w:hAnsi="Times New Roman" w:eastAsia="宋体" w:cs="Times New Roman"/>
          <w:color w:val="222222"/>
          <w:sz w:val="24"/>
          <w:shd w:val="clear" w:color="auto" w:fill="FFFFFF"/>
        </w:rPr>
        <w:t>Merriam</w:t>
      </w:r>
      <w:bookmarkEnd w:id="22"/>
      <w:r>
        <w:rPr>
          <w:rFonts w:ascii="Times New Roman" w:hAnsi="Times New Roman" w:eastAsia="宋体" w:cs="Times New Roman"/>
          <w:color w:val="222222"/>
          <w:sz w:val="24"/>
          <w:shd w:val="clear" w:color="auto" w:fill="FFFFFF"/>
        </w:rPr>
        <w:t>, S. B., &amp; Tisdell, E. J. (2015). </w:t>
      </w:r>
      <w:r>
        <w:rPr>
          <w:rFonts w:ascii="Times New Roman" w:hAnsi="Times New Roman" w:eastAsia="宋体" w:cs="Times New Roman"/>
          <w:i/>
          <w:iCs/>
          <w:color w:val="222222"/>
          <w:sz w:val="24"/>
          <w:shd w:val="clear" w:color="auto" w:fill="FFFFFF"/>
        </w:rPr>
        <w:t>Qualitative research: A guide to design and implementation</w:t>
      </w:r>
      <w:r>
        <w:rPr>
          <w:rFonts w:ascii="Times New Roman" w:hAnsi="Times New Roman" w:eastAsia="宋体" w:cs="Times New Roman"/>
          <w:color w:val="222222"/>
          <w:sz w:val="24"/>
          <w:shd w:val="clear" w:color="auto" w:fill="FFFFFF"/>
        </w:rPr>
        <w:t>. San Francisco, CA: John Wiley &amp; Sons.</w:t>
      </w:r>
    </w:p>
    <w:p>
      <w:pPr>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23" w:name="OLE_LINK16"/>
      <w:r>
        <w:rPr>
          <w:rFonts w:ascii="Times New Roman" w:hAnsi="Times New Roman" w:eastAsia="宋体" w:cs="Times New Roman"/>
          <w:color w:val="222222"/>
          <w:sz w:val="24"/>
          <w:shd w:val="clear" w:color="auto" w:fill="FFFFFF"/>
        </w:rPr>
        <w:t>Mohamad</w:t>
      </w:r>
      <w:bookmarkEnd w:id="23"/>
      <w:r>
        <w:rPr>
          <w:rFonts w:ascii="Times New Roman" w:hAnsi="Times New Roman" w:eastAsia="宋体" w:cs="Times New Roman"/>
          <w:color w:val="222222"/>
          <w:sz w:val="24"/>
          <w:shd w:val="clear" w:color="auto" w:fill="FFFFFF"/>
        </w:rPr>
        <w:t>, M., Afthanorhan, A., Awang, Z., &amp; Mohammad, M. (2019). Comparison between CB-SEM and PLS-SEM: Testing and confirming the maqasid syariah quality of life measurement model. </w:t>
      </w:r>
      <w:r>
        <w:rPr>
          <w:rFonts w:ascii="Times New Roman" w:hAnsi="Times New Roman" w:eastAsia="宋体" w:cs="Times New Roman"/>
          <w:i/>
          <w:iCs/>
          <w:color w:val="222222"/>
          <w:sz w:val="24"/>
          <w:shd w:val="clear" w:color="auto" w:fill="FFFFFF"/>
        </w:rPr>
        <w:t>The Journal of Social Sciences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5</w:t>
      </w:r>
      <w:r>
        <w:rPr>
          <w:rFonts w:ascii="Times New Roman" w:hAnsi="Times New Roman" w:eastAsia="宋体" w:cs="Times New Roman"/>
          <w:color w:val="222222"/>
          <w:sz w:val="24"/>
          <w:shd w:val="clear" w:color="auto" w:fill="FFFFFF"/>
        </w:rPr>
        <w:t>(3), 608-614.</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Nunnally, J. C. (1978). </w:t>
      </w:r>
      <w:r>
        <w:rPr>
          <w:rFonts w:ascii="Times New Roman" w:hAnsi="Times New Roman" w:eastAsia="宋体" w:cs="Times New Roman"/>
          <w:i/>
          <w:iCs/>
          <w:color w:val="222222"/>
          <w:sz w:val="24"/>
          <w:shd w:val="clear" w:color="auto" w:fill="FFFFFF"/>
        </w:rPr>
        <w:t>Psychometric Theory: 2d Ed</w:t>
      </w:r>
      <w:r>
        <w:rPr>
          <w:rFonts w:ascii="Times New Roman" w:hAnsi="Times New Roman" w:eastAsia="宋体" w:cs="Times New Roman"/>
          <w:color w:val="222222"/>
          <w:sz w:val="24"/>
          <w:shd w:val="clear" w:color="auto" w:fill="FFFFFF"/>
        </w:rPr>
        <w:t>. New York: McGraw-Hill.</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Pandey, A., &amp; </w:t>
      </w:r>
      <w:bookmarkStart w:id="24" w:name="OLE_LINK11"/>
      <w:r>
        <w:rPr>
          <w:rFonts w:ascii="Times New Roman" w:hAnsi="Times New Roman" w:eastAsia="宋体" w:cs="Times New Roman"/>
          <w:color w:val="222222"/>
          <w:sz w:val="24"/>
          <w:shd w:val="clear" w:color="auto" w:fill="FFFFFF"/>
        </w:rPr>
        <w:t>Charoensukmongko</w:t>
      </w:r>
      <w:bookmarkEnd w:id="24"/>
      <w:r>
        <w:rPr>
          <w:rFonts w:ascii="Times New Roman" w:hAnsi="Times New Roman" w:eastAsia="宋体" w:cs="Times New Roman"/>
          <w:color w:val="222222"/>
          <w:sz w:val="24"/>
          <w:shd w:val="clear" w:color="auto" w:fill="FFFFFF"/>
        </w:rPr>
        <w:t>l, P. (2019). Contribution of cultural intelligence to adaptive selling and customer-oriented selling of salespeople at international trade shows: does cultural similarity matter?. </w:t>
      </w:r>
      <w:r>
        <w:rPr>
          <w:rFonts w:ascii="Times New Roman" w:hAnsi="Times New Roman" w:eastAsia="宋体" w:cs="Times New Roman"/>
          <w:i/>
          <w:iCs/>
          <w:color w:val="222222"/>
          <w:sz w:val="24"/>
          <w:shd w:val="clear" w:color="auto" w:fill="FFFFFF"/>
        </w:rPr>
        <w:t>Journal of Asia Business Studies</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13</w:t>
      </w:r>
      <w:r>
        <w:rPr>
          <w:rFonts w:ascii="Times New Roman" w:hAnsi="Times New Roman" w:eastAsia="宋体" w:cs="Times New Roman"/>
          <w:color w:val="222222"/>
          <w:sz w:val="24"/>
          <w:shd w:val="clear" w:color="auto" w:fill="FFFFFF"/>
        </w:rPr>
        <w:t>(1), 79-96</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Popescu, D. (2019). Culture as factor of economic development. </w:t>
      </w:r>
      <w:r>
        <w:rPr>
          <w:rFonts w:ascii="Times New Roman" w:hAnsi="Times New Roman" w:eastAsia="宋体" w:cs="Times New Roman"/>
          <w:i/>
          <w:iCs/>
          <w:color w:val="222222"/>
          <w:sz w:val="24"/>
          <w:shd w:val="clear" w:color="auto" w:fill="FFFFFF"/>
        </w:rPr>
        <w:t>Revista Economică</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71</w:t>
      </w:r>
      <w:r>
        <w:rPr>
          <w:rFonts w:ascii="Times New Roman" w:hAnsi="Times New Roman" w:eastAsia="宋体" w:cs="Times New Roman"/>
          <w:color w:val="222222"/>
          <w:sz w:val="24"/>
          <w:shd w:val="clear" w:color="auto" w:fill="FFFFFF"/>
        </w:rPr>
        <w:t>(4).</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i/>
          <w:color w:val="222222"/>
          <w:sz w:val="24"/>
          <w:shd w:val="clear" w:color="auto" w:fill="FFFFFF"/>
        </w:rPr>
      </w:pPr>
      <w:r>
        <w:rPr>
          <w:rFonts w:ascii="Times New Roman" w:hAnsi="Times New Roman" w:eastAsia="宋体" w:cs="Times New Roman"/>
          <w:color w:val="222222"/>
          <w:sz w:val="24"/>
          <w:shd w:val="clear" w:color="auto" w:fill="FFFFFF"/>
        </w:rPr>
        <w:t>Schein, E. H. (1990). </w:t>
      </w:r>
      <w:r>
        <w:rPr>
          <w:rFonts w:ascii="Times New Roman" w:hAnsi="Times New Roman" w:eastAsia="宋体" w:cs="Times New Roman"/>
          <w:iCs/>
          <w:color w:val="222222"/>
          <w:sz w:val="24"/>
          <w:shd w:val="clear" w:color="auto" w:fill="FFFFFF"/>
        </w:rPr>
        <w:t>Organizational culture.</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color w:val="222222"/>
          <w:sz w:val="24"/>
          <w:shd w:val="clear" w:color="auto" w:fill="FFFFFF"/>
        </w:rPr>
        <w:t xml:space="preserve">American Psychologist, </w:t>
      </w:r>
      <w:r>
        <w:rPr>
          <w:rFonts w:ascii="Times New Roman" w:hAnsi="Times New Roman" w:eastAsia="宋体" w:cs="Times New Roman"/>
          <w:color w:val="222222"/>
          <w:sz w:val="24"/>
          <w:shd w:val="clear" w:color="auto" w:fill="FFFFFF"/>
        </w:rPr>
        <w:t>45(2), 109–119.</w:t>
      </w:r>
      <w:r>
        <w:rPr>
          <w:rFonts w:ascii="Times New Roman" w:hAnsi="Times New Roman" w:eastAsia="宋体" w:cs="Times New Roman"/>
          <w:i/>
          <w:color w:val="222222"/>
          <w:sz w:val="24"/>
          <w:shd w:val="clear" w:color="auto" w:fill="FFFFFF"/>
        </w:rPr>
        <w:t xml:space="preserve"> </w:t>
      </w:r>
    </w:p>
    <w:p>
      <w:pPr>
        <w:jc w:val="left"/>
        <w:rPr>
          <w:rFonts w:ascii="Times New Roman" w:hAnsi="Times New Roman" w:eastAsia="宋体" w:cs="Times New Roman"/>
          <w:i/>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Sebenius, J. K. (2002). The hidden challenge of cross-border negotiations. </w:t>
      </w:r>
      <w:r>
        <w:rPr>
          <w:rFonts w:ascii="Times New Roman" w:hAnsi="Times New Roman" w:eastAsia="宋体" w:cs="Times New Roman"/>
          <w:i/>
          <w:iCs/>
          <w:color w:val="222222"/>
          <w:sz w:val="24"/>
          <w:shd w:val="clear" w:color="auto" w:fill="FFFFFF"/>
        </w:rPr>
        <w:t>Harvard Business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80</w:t>
      </w:r>
      <w:r>
        <w:rPr>
          <w:rFonts w:ascii="Times New Roman" w:hAnsi="Times New Roman" w:eastAsia="宋体" w:cs="Times New Roman"/>
          <w:color w:val="222222"/>
          <w:sz w:val="24"/>
          <w:shd w:val="clear" w:color="auto" w:fill="FFFFFF"/>
        </w:rPr>
        <w:t>(3), 76-85.</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25" w:name="OLE_LINK29"/>
      <w:r>
        <w:rPr>
          <w:rFonts w:ascii="Times New Roman" w:hAnsi="Times New Roman" w:eastAsia="宋体" w:cs="Times New Roman"/>
          <w:color w:val="222222"/>
          <w:sz w:val="24"/>
          <w:shd w:val="clear" w:color="auto" w:fill="FFFFFF"/>
        </w:rPr>
        <w:t>SJ, I. E. (1991). Good surveys guide: go for small random samples with high response rates. </w:t>
      </w:r>
      <w:r>
        <w:rPr>
          <w:rFonts w:ascii="Times New Roman" w:hAnsi="Times New Roman" w:eastAsia="宋体" w:cs="Times New Roman"/>
          <w:i/>
          <w:iCs/>
          <w:color w:val="222222"/>
          <w:sz w:val="24"/>
          <w:shd w:val="clear" w:color="auto" w:fill="FFFFFF"/>
        </w:rPr>
        <w:t>BrMed J</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302</w:t>
      </w:r>
      <w:r>
        <w:rPr>
          <w:rFonts w:ascii="Times New Roman" w:hAnsi="Times New Roman" w:eastAsia="宋体" w:cs="Times New Roman"/>
          <w:color w:val="222222"/>
          <w:sz w:val="24"/>
          <w:shd w:val="clear" w:color="auto" w:fill="FFFFFF"/>
        </w:rPr>
        <w:t>, 302-3.</w:t>
      </w:r>
    </w:p>
    <w:p>
      <w:pPr>
        <w:jc w:val="left"/>
        <w:rPr>
          <w:rFonts w:ascii="Times New Roman" w:hAnsi="Times New Roman" w:eastAsia="宋体" w:cs="Times New Roman"/>
          <w:color w:val="222222"/>
          <w:sz w:val="24"/>
          <w:shd w:val="clear" w:color="auto" w:fill="FFFFFF"/>
        </w:rPr>
      </w:pPr>
    </w:p>
    <w:bookmarkEnd w:id="25"/>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Spencer-Oatey, H. (2012) What is culture? A compilation of quotations. GlobalPAD Core Concepts. [Online]. Available at: </w:t>
      </w:r>
      <w:r>
        <w:fldChar w:fldCharType="begin"/>
      </w:r>
      <w:r>
        <w:instrText xml:space="preserve"> HYPERLINK "http://www2.warwick.ac.uk/fac/soc/al/globalpad/interculturalskills/." </w:instrText>
      </w:r>
      <w:r>
        <w:fldChar w:fldCharType="separate"/>
      </w:r>
      <w:r>
        <w:rPr>
          <w:rStyle w:val="11"/>
          <w:rFonts w:ascii="Times New Roman" w:hAnsi="Times New Roman" w:cs="Times New Roman"/>
          <w:sz w:val="24"/>
        </w:rPr>
        <w:t>http://www2.warwick.ac.uk/fac/soc/al/globalpad/interculturalskills/.</w:t>
      </w:r>
      <w:r>
        <w:rPr>
          <w:rStyle w:val="11"/>
          <w:rFonts w:ascii="Times New Roman" w:hAnsi="Times New Roman" w:cs="Times New Roman"/>
          <w:sz w:val="24"/>
        </w:rPr>
        <w:fldChar w:fldCharType="end"/>
      </w:r>
      <w:bookmarkStart w:id="26" w:name="OLE_LINK17"/>
      <w:r>
        <w:rPr>
          <w:rFonts w:ascii="Times New Roman" w:hAnsi="Times New Roman" w:eastAsia="宋体" w:cs="Times New Roman"/>
          <w:color w:val="222222"/>
          <w:sz w:val="24"/>
          <w:shd w:val="clear" w:color="auto" w:fill="FFFFFF"/>
        </w:rPr>
        <w:t>[Accessed 6th November 2021].</w:t>
      </w:r>
      <w:bookmarkEnd w:id="26"/>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27" w:name="OLE_LINK7"/>
      <w:r>
        <w:rPr>
          <w:rFonts w:ascii="Times New Roman" w:hAnsi="Times New Roman" w:eastAsia="宋体" w:cs="Times New Roman"/>
          <w:color w:val="222222"/>
          <w:sz w:val="24"/>
          <w:shd w:val="clear" w:color="auto" w:fill="FFFFFF"/>
        </w:rPr>
        <w:t>Srivastava</w:t>
      </w:r>
      <w:bookmarkEnd w:id="27"/>
      <w:r>
        <w:rPr>
          <w:rFonts w:ascii="Times New Roman" w:hAnsi="Times New Roman" w:eastAsia="宋体" w:cs="Times New Roman"/>
          <w:color w:val="222222"/>
          <w:sz w:val="24"/>
          <w:shd w:val="clear" w:color="auto" w:fill="FFFFFF"/>
        </w:rPr>
        <w:t>, S., Singh, S., &amp; Dhir, S. (2020). Culture and International business research: a review and research agenda. </w:t>
      </w:r>
      <w:r>
        <w:rPr>
          <w:rFonts w:ascii="Times New Roman" w:hAnsi="Times New Roman" w:eastAsia="宋体" w:cs="Times New Roman"/>
          <w:i/>
          <w:iCs/>
          <w:color w:val="222222"/>
          <w:sz w:val="24"/>
          <w:shd w:val="clear" w:color="auto" w:fill="FFFFFF"/>
        </w:rPr>
        <w:t>International Business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29</w:t>
      </w:r>
      <w:r>
        <w:rPr>
          <w:rFonts w:ascii="Times New Roman" w:hAnsi="Times New Roman" w:eastAsia="宋体" w:cs="Times New Roman"/>
          <w:color w:val="222222"/>
          <w:sz w:val="24"/>
          <w:shd w:val="clear" w:color="auto" w:fill="FFFFFF"/>
        </w:rPr>
        <w:t>(4), 101709.</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Shuttleworth, M. (2008). Descriptive research design: Observing a phenomenon. Explorable. [Online]. Available at: </w:t>
      </w:r>
    </w:p>
    <w:p>
      <w:pPr>
        <w:jc w:val="left"/>
        <w:rPr>
          <w:rFonts w:ascii="Times New Roman" w:hAnsi="Times New Roman" w:eastAsia="宋体" w:cs="Times New Roman"/>
          <w:color w:val="222222"/>
          <w:sz w:val="24"/>
          <w:shd w:val="clear" w:color="auto" w:fill="FFFFFF"/>
        </w:rPr>
      </w:pPr>
      <w:r>
        <w:fldChar w:fldCharType="begin"/>
      </w:r>
      <w:r>
        <w:instrText xml:space="preserve"> HYPERLINK "https://explorable.com/descriptive-research-design" </w:instrText>
      </w:r>
      <w:r>
        <w:fldChar w:fldCharType="separate"/>
      </w:r>
      <w:r>
        <w:rPr>
          <w:rStyle w:val="11"/>
          <w:rFonts w:ascii="Times New Roman" w:hAnsi="Times New Roman" w:eastAsia="宋体" w:cs="Times New Roman"/>
          <w:color w:val="222222"/>
          <w:sz w:val="24"/>
          <w:shd w:val="clear" w:color="auto" w:fill="FFFFFF"/>
        </w:rPr>
        <w:t>https://explorable.com/descriptive-research-design</w:t>
      </w:r>
      <w:r>
        <w:rPr>
          <w:rStyle w:val="11"/>
          <w:rFonts w:ascii="Times New Roman" w:hAnsi="Times New Roman" w:eastAsia="宋体" w:cs="Times New Roman"/>
          <w:color w:val="222222"/>
          <w:sz w:val="24"/>
          <w:shd w:val="clear" w:color="auto" w:fill="FFFFFF"/>
        </w:rPr>
        <w:fldChar w:fldCharType="end"/>
      </w:r>
      <w:r>
        <w:rPr>
          <w:rFonts w:ascii="Times New Roman" w:hAnsi="Times New Roman" w:eastAsia="宋体" w:cs="Times New Roman"/>
          <w:color w:val="222222"/>
          <w:sz w:val="24"/>
          <w:shd w:val="clear" w:color="auto" w:fill="FFFFFF"/>
        </w:rPr>
        <w:t>[Accessed 7th November 2021].</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VOXCO (2021). Descriptive Research : Definition, Method and Examples. </w:t>
      </w:r>
      <w:r>
        <w:rPr>
          <w:rFonts w:ascii="Times New Roman" w:hAnsi="Times New Roman" w:eastAsia="宋体" w:cs="Times New Roman"/>
          <w:i/>
          <w:iCs/>
          <w:color w:val="222222"/>
          <w:sz w:val="24"/>
          <w:shd w:val="clear" w:color="auto" w:fill="FFFFFF"/>
        </w:rPr>
        <w:t xml:space="preserve">Voxco. </w:t>
      </w:r>
      <w:r>
        <w:rPr>
          <w:rFonts w:ascii="Times New Roman" w:hAnsi="Times New Roman" w:eastAsia="宋体" w:cs="Times New Roman"/>
          <w:color w:val="222222"/>
          <w:sz w:val="24"/>
          <w:shd w:val="clear" w:color="auto" w:fill="FFFFFF"/>
        </w:rPr>
        <w:t>[Online]. Available at:</w:t>
      </w:r>
    </w:p>
    <w:p>
      <w:pPr>
        <w:jc w:val="left"/>
        <w:rPr>
          <w:rFonts w:ascii="Times New Roman" w:hAnsi="Times New Roman" w:eastAsia="宋体" w:cs="Times New Roman"/>
          <w:color w:val="222222"/>
          <w:sz w:val="24"/>
          <w:shd w:val="clear" w:color="auto" w:fill="FFFFFF"/>
        </w:rPr>
      </w:pPr>
      <w:bookmarkStart w:id="28" w:name="OLE_LINK14"/>
      <w:r>
        <w:fldChar w:fldCharType="begin"/>
      </w:r>
      <w:r>
        <w:rPr>
          <w:rFonts w:ascii="Times New Roman" w:hAnsi="Times New Roman" w:cs="Times New Roman"/>
          <w:sz w:val="24"/>
        </w:rPr>
        <w:instrText xml:space="preserve"> HYPERLINK "https://www.voxco.com/blog/descriptive-research/" </w:instrText>
      </w:r>
      <w:r>
        <w:fldChar w:fldCharType="separate"/>
      </w:r>
      <w:r>
        <w:rPr>
          <w:rStyle w:val="11"/>
          <w:rFonts w:ascii="Times New Roman" w:hAnsi="Times New Roman" w:cs="Times New Roman"/>
          <w:sz w:val="24"/>
        </w:rPr>
        <w:t>https://www.voxco.com/blog/descriptive-research/</w:t>
      </w:r>
      <w:r>
        <w:rPr>
          <w:rStyle w:val="11"/>
          <w:rFonts w:ascii="Times New Roman" w:hAnsi="Times New Roman" w:cs="Times New Roman"/>
          <w:sz w:val="24"/>
        </w:rPr>
        <w:fldChar w:fldCharType="end"/>
      </w:r>
      <w:bookmarkEnd w:id="28"/>
      <w:r>
        <w:rPr>
          <w:rFonts w:ascii="Times New Roman" w:hAnsi="Times New Roman" w:eastAsia="宋体" w:cs="Times New Roman"/>
          <w:color w:val="222222"/>
          <w:sz w:val="24"/>
          <w:shd w:val="clear" w:color="auto" w:fill="FFFFFF"/>
        </w:rPr>
        <w:t>[Accessed 7th November 2021].</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Taylor, C. R., &amp; Okazaki, S. (2015). Do global brands use similar executional styles across cultures? A comparison of US and Japanese television advertising. </w:t>
      </w:r>
      <w:r>
        <w:rPr>
          <w:rFonts w:ascii="Times New Roman" w:hAnsi="Times New Roman" w:eastAsia="宋体" w:cs="Times New Roman"/>
          <w:i/>
          <w:iCs/>
          <w:color w:val="222222"/>
          <w:sz w:val="24"/>
          <w:shd w:val="clear" w:color="auto" w:fill="FFFFFF"/>
        </w:rPr>
        <w:t>Journal of Advertising</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44</w:t>
      </w:r>
      <w:r>
        <w:rPr>
          <w:rFonts w:ascii="Times New Roman" w:hAnsi="Times New Roman" w:eastAsia="宋体" w:cs="Times New Roman"/>
          <w:color w:val="222222"/>
          <w:sz w:val="24"/>
          <w:shd w:val="clear" w:color="auto" w:fill="FFFFFF"/>
        </w:rPr>
        <w:t>(3), 276-288.</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29" w:name="OLE_LINK9"/>
      <w:r>
        <w:rPr>
          <w:rFonts w:ascii="Times New Roman" w:hAnsi="Times New Roman" w:eastAsia="宋体" w:cs="Times New Roman"/>
          <w:color w:val="222222"/>
          <w:sz w:val="24"/>
          <w:shd w:val="clear" w:color="auto" w:fill="FFFFFF"/>
        </w:rPr>
        <w:t>Vickers</w:t>
      </w:r>
      <w:bookmarkEnd w:id="29"/>
      <w:r>
        <w:rPr>
          <w:rFonts w:ascii="Times New Roman" w:hAnsi="Times New Roman" w:eastAsia="宋体" w:cs="Times New Roman"/>
          <w:color w:val="222222"/>
          <w:sz w:val="24"/>
          <w:shd w:val="clear" w:color="auto" w:fill="FFFFFF"/>
        </w:rPr>
        <w:t>, A. J. (2005). Parametric versus non-parametric statistics in the analysis of randomized trials with non-normally distributed data. </w:t>
      </w:r>
      <w:r>
        <w:rPr>
          <w:rFonts w:ascii="Times New Roman" w:hAnsi="Times New Roman" w:eastAsia="宋体" w:cs="Times New Roman"/>
          <w:i/>
          <w:iCs/>
          <w:color w:val="222222"/>
          <w:sz w:val="24"/>
          <w:shd w:val="clear" w:color="auto" w:fill="FFFFFF"/>
        </w:rPr>
        <w:t>BMC medical research methodology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5</w:t>
      </w:r>
      <w:r>
        <w:rPr>
          <w:rFonts w:ascii="Times New Roman" w:hAnsi="Times New Roman" w:eastAsia="宋体" w:cs="Times New Roman"/>
          <w:color w:val="222222"/>
          <w:sz w:val="24"/>
          <w:shd w:val="clear" w:color="auto" w:fill="FFFFFF"/>
        </w:rPr>
        <w:t>(1), 1-12.</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30" w:name="OLE_LINK1"/>
      <w:r>
        <w:rPr>
          <w:rFonts w:ascii="Times New Roman" w:hAnsi="Times New Roman" w:eastAsia="宋体" w:cs="Times New Roman"/>
          <w:color w:val="222222"/>
          <w:sz w:val="24"/>
          <w:shd w:val="clear" w:color="auto" w:fill="FFFFFF"/>
        </w:rPr>
        <w:t>Walker</w:t>
      </w:r>
      <w:bookmarkEnd w:id="30"/>
      <w:r>
        <w:rPr>
          <w:rFonts w:ascii="Times New Roman" w:hAnsi="Times New Roman" w:eastAsia="宋体" w:cs="Times New Roman"/>
          <w:color w:val="222222"/>
          <w:sz w:val="24"/>
          <w:shd w:val="clear" w:color="auto" w:fill="FFFFFF"/>
        </w:rPr>
        <w:t>, J. T., Salter, A., Fontinha, R., &amp; Salandra, R. (2019). The impact of journal re-grading on perception of ranking systems: Exploring the case of the Academic Journal Guide and Business and Management scholars in the UK. </w:t>
      </w:r>
      <w:r>
        <w:rPr>
          <w:rFonts w:ascii="Times New Roman" w:hAnsi="Times New Roman" w:eastAsia="宋体" w:cs="Times New Roman"/>
          <w:i/>
          <w:iCs/>
          <w:color w:val="222222"/>
          <w:sz w:val="24"/>
          <w:shd w:val="clear" w:color="auto" w:fill="FFFFFF"/>
        </w:rPr>
        <w:t>Research Evaluation</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28</w:t>
      </w:r>
      <w:r>
        <w:rPr>
          <w:rFonts w:ascii="Times New Roman" w:hAnsi="Times New Roman" w:eastAsia="宋体" w:cs="Times New Roman"/>
          <w:color w:val="222222"/>
          <w:sz w:val="24"/>
          <w:shd w:val="clear" w:color="auto" w:fill="FFFFFF"/>
        </w:rPr>
        <w:t>(3), 218-231.</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Weiss, R. S. (1995). </w:t>
      </w:r>
      <w:r>
        <w:rPr>
          <w:rFonts w:ascii="Times New Roman" w:hAnsi="Times New Roman" w:eastAsia="宋体" w:cs="Times New Roman"/>
          <w:i/>
          <w:iCs/>
          <w:color w:val="222222"/>
          <w:sz w:val="24"/>
          <w:shd w:val="clear" w:color="auto" w:fill="FFFFFF"/>
        </w:rPr>
        <w:t>Learning from strangers: The art and method of qualitative interview studies</w:t>
      </w:r>
      <w:r>
        <w:rPr>
          <w:rFonts w:ascii="Times New Roman" w:hAnsi="Times New Roman" w:eastAsia="宋体" w:cs="Times New Roman"/>
          <w:color w:val="222222"/>
          <w:sz w:val="24"/>
          <w:shd w:val="clear" w:color="auto" w:fill="FFFFFF"/>
        </w:rPr>
        <w:t>. New York: Simon and Schuster.</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eastAsia="宋体" w:cs="Times New Roman"/>
          <w:color w:val="222222"/>
          <w:sz w:val="24"/>
          <w:shd w:val="clear" w:color="auto" w:fill="FFFFFF"/>
        </w:rPr>
      </w:pPr>
      <w:bookmarkStart w:id="31" w:name="OLE_LINK21"/>
      <w:r>
        <w:rPr>
          <w:rFonts w:ascii="Times New Roman" w:hAnsi="Times New Roman" w:eastAsia="宋体" w:cs="Times New Roman"/>
          <w:color w:val="222222"/>
          <w:sz w:val="24"/>
          <w:shd w:val="clear" w:color="auto" w:fill="FFFFFF"/>
        </w:rPr>
        <w:t>Whitley</w:t>
      </w:r>
      <w:bookmarkEnd w:id="31"/>
      <w:r>
        <w:rPr>
          <w:rFonts w:ascii="Times New Roman" w:hAnsi="Times New Roman" w:eastAsia="宋体" w:cs="Times New Roman"/>
          <w:color w:val="222222"/>
          <w:sz w:val="24"/>
          <w:shd w:val="clear" w:color="auto" w:fill="FFFFFF"/>
        </w:rPr>
        <w:t>, E., &amp; Ball, J. (2002). Statistics review 6: Nonparametric methods. </w:t>
      </w:r>
      <w:r>
        <w:rPr>
          <w:rFonts w:ascii="Times New Roman" w:hAnsi="Times New Roman" w:eastAsia="宋体" w:cs="Times New Roman"/>
          <w:i/>
          <w:iCs/>
          <w:color w:val="222222"/>
          <w:sz w:val="24"/>
          <w:shd w:val="clear" w:color="auto" w:fill="FFFFFF"/>
        </w:rPr>
        <w:t>Critical care</w:t>
      </w:r>
      <w:r>
        <w:rPr>
          <w:rFonts w:ascii="Times New Roman" w:hAnsi="Times New Roman" w:eastAsia="宋体" w:cs="Times New Roman"/>
          <w:color w:val="222222"/>
          <w:sz w:val="24"/>
          <w:shd w:val="clear" w:color="auto" w:fill="FFFFFF"/>
        </w:rPr>
        <w:t>, </w:t>
      </w:r>
      <w:r>
        <w:rPr>
          <w:rFonts w:ascii="Times New Roman" w:hAnsi="Times New Roman" w:eastAsia="宋体" w:cs="Times New Roman"/>
          <w:iCs/>
          <w:color w:val="222222"/>
          <w:sz w:val="24"/>
          <w:shd w:val="clear" w:color="auto" w:fill="FFFFFF"/>
        </w:rPr>
        <w:t>6</w:t>
      </w:r>
      <w:r>
        <w:rPr>
          <w:rFonts w:ascii="Times New Roman" w:hAnsi="Times New Roman" w:eastAsia="宋体" w:cs="Times New Roman"/>
          <w:color w:val="222222"/>
          <w:sz w:val="24"/>
          <w:shd w:val="clear" w:color="auto" w:fill="FFFFFF"/>
        </w:rPr>
        <w:t>(6), 1-5.</w:t>
      </w:r>
    </w:p>
    <w:p>
      <w:pPr>
        <w:jc w:val="left"/>
        <w:rPr>
          <w:rFonts w:ascii="Times New Roman" w:hAnsi="Times New Roman" w:eastAsia="宋体" w:cs="Times New Roman"/>
          <w:color w:val="222222"/>
          <w:sz w:val="24"/>
          <w:shd w:val="clear" w:color="auto" w:fill="FFFFFF"/>
        </w:rPr>
      </w:pPr>
    </w:p>
    <w:p>
      <w:pPr>
        <w:jc w:val="left"/>
        <w:rPr>
          <w:rFonts w:ascii="Times New Roman" w:hAnsi="Times New Roman" w:cs="Times New Roman"/>
          <w:sz w:val="24"/>
        </w:rPr>
      </w:pPr>
      <w:bookmarkStart w:id="32" w:name="OLE_LINK5"/>
      <w:r>
        <w:rPr>
          <w:rFonts w:ascii="Times New Roman" w:hAnsi="Times New Roman" w:eastAsia="宋体" w:cs="Times New Roman"/>
          <w:color w:val="222222"/>
          <w:sz w:val="24"/>
          <w:shd w:val="clear" w:color="auto" w:fill="FFFFFF"/>
        </w:rPr>
        <w:t>Yeganeh</w:t>
      </w:r>
      <w:bookmarkEnd w:id="32"/>
      <w:r>
        <w:rPr>
          <w:rFonts w:ascii="Times New Roman" w:hAnsi="Times New Roman" w:eastAsia="宋体" w:cs="Times New Roman"/>
          <w:color w:val="222222"/>
          <w:sz w:val="24"/>
          <w:shd w:val="clear" w:color="auto" w:fill="FFFFFF"/>
        </w:rPr>
        <w:t>, H. (2011). Culture and international trade: evidence from Canada. </w:t>
      </w:r>
      <w:r>
        <w:rPr>
          <w:rFonts w:ascii="Times New Roman" w:hAnsi="Times New Roman" w:eastAsia="宋体" w:cs="Times New Roman"/>
          <w:i/>
          <w:iCs/>
          <w:color w:val="222222"/>
          <w:sz w:val="24"/>
          <w:shd w:val="clear" w:color="auto" w:fill="FFFFFF"/>
        </w:rPr>
        <w:t>International Journal of Commerce and Management</w:t>
      </w:r>
      <w:r>
        <w:rPr>
          <w:rFonts w:ascii="Times New Roman" w:hAnsi="Times New Roman" w:eastAsia="宋体" w:cs="Times New Roman"/>
          <w:color w:val="222222"/>
          <w:sz w:val="24"/>
          <w:shd w:val="clear" w:color="auto" w:fill="FFFFFF"/>
        </w:rPr>
        <w:t>,</w:t>
      </w:r>
      <w:r>
        <w:t xml:space="preserve"> </w:t>
      </w:r>
      <w:r>
        <w:rPr>
          <w:rFonts w:ascii="Times New Roman" w:hAnsi="Times New Roman" w:eastAsia="宋体" w:cs="Times New Roman"/>
          <w:color w:val="222222"/>
          <w:sz w:val="24"/>
          <w:shd w:val="clear" w:color="auto" w:fill="FFFFFF"/>
        </w:rPr>
        <w:t>21(4)</w:t>
      </w:r>
      <w:r>
        <w:t>,</w:t>
      </w:r>
      <w:r>
        <w:rPr>
          <w:rFonts w:ascii="Times New Roman" w:hAnsi="Times New Roman" w:eastAsia="宋体" w:cs="Times New Roman"/>
          <w:color w:val="222222"/>
          <w:sz w:val="24"/>
          <w:shd w:val="clear" w:color="auto" w:fill="FFFFFF"/>
        </w:rPr>
        <w:t xml:space="preserve"> 381-393.</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2"/>
        <w:spacing w:line="360" w:lineRule="auto"/>
        <w:rPr>
          <w:rFonts w:ascii="Times New Roman" w:hAnsi="Times New Roman" w:cs="Times New Roman"/>
          <w:sz w:val="28"/>
          <w:szCs w:val="28"/>
        </w:rPr>
      </w:pPr>
      <w:bookmarkStart w:id="33" w:name="_Toc18542"/>
      <w:r>
        <w:rPr>
          <w:rFonts w:ascii="Times New Roman" w:hAnsi="Times New Roman" w:cs="Times New Roman"/>
          <w:sz w:val="24"/>
        </w:rPr>
        <w:t>Appendix:</w:t>
      </w:r>
      <w:bookmarkEnd w:id="33"/>
    </w:p>
    <w:p>
      <w:pPr>
        <w:pStyle w:val="3"/>
        <w:spacing w:line="360" w:lineRule="auto"/>
        <w:rPr>
          <w:rFonts w:ascii="Times New Roman" w:hAnsi="Times New Roman" w:cs="Times New Roman"/>
          <w:sz w:val="24"/>
        </w:rPr>
      </w:pPr>
      <w:bookmarkStart w:id="34" w:name="_Toc15229"/>
      <w:r>
        <w:rPr>
          <w:rFonts w:ascii="Times New Roman" w:hAnsi="Times New Roman" w:cs="Times New Roman"/>
          <w:sz w:val="24"/>
        </w:rPr>
        <w:t>Appendix1: Link to the first selected article:</w:t>
      </w:r>
      <w:bookmarkEnd w:id="34"/>
    </w:p>
    <w:p>
      <w:pPr>
        <w:spacing w:line="360" w:lineRule="auto"/>
        <w:rPr>
          <w:rFonts w:ascii="Times New Roman" w:hAnsi="Times New Roman" w:cs="Times New Roman"/>
          <w:sz w:val="24"/>
        </w:rPr>
      </w:pPr>
      <w:r>
        <w:fldChar w:fldCharType="begin"/>
      </w:r>
      <w:r>
        <w:instrText xml:space="preserve"> HYPERLINK "https://journals-sagepub-com.ezproxy.uwtsd.ac.uk/doi/pdf/10.1177/0015732515090103" </w:instrText>
      </w:r>
      <w:r>
        <w:fldChar w:fldCharType="separate"/>
      </w:r>
      <w:r>
        <w:rPr>
          <w:rStyle w:val="11"/>
          <w:rFonts w:ascii="Times New Roman" w:hAnsi="Times New Roman" w:cs="Times New Roman"/>
          <w:sz w:val="24"/>
        </w:rPr>
        <w:t>https://journals-sagepub-com.ezproxy.uwtsd.ac.uk/doi/pdf/10.1177/0015732515090103</w:t>
      </w:r>
      <w:r>
        <w:rPr>
          <w:rStyle w:val="11"/>
          <w:rFonts w:ascii="Times New Roman" w:hAnsi="Times New Roman" w:cs="Times New Roman"/>
          <w:sz w:val="24"/>
        </w:rPr>
        <w:fldChar w:fldCharType="end"/>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pStyle w:val="3"/>
        <w:spacing w:line="360" w:lineRule="auto"/>
        <w:rPr>
          <w:rFonts w:ascii="Times New Roman" w:hAnsi="Times New Roman" w:cs="Times New Roman"/>
          <w:sz w:val="24"/>
        </w:rPr>
      </w:pPr>
      <w:bookmarkStart w:id="35" w:name="_Toc9895"/>
      <w:r>
        <w:rPr>
          <w:rFonts w:ascii="Times New Roman" w:hAnsi="Times New Roman" w:cs="Times New Roman"/>
          <w:sz w:val="24"/>
        </w:rPr>
        <w:t>Appendix2: Link to the second selected article:</w:t>
      </w:r>
      <w:bookmarkEnd w:id="35"/>
      <w:r>
        <w:rPr>
          <w:rFonts w:ascii="Times New Roman" w:hAnsi="Times New Roman" w:cs="Times New Roman"/>
          <w:sz w:val="24"/>
        </w:rPr>
        <w:t xml:space="preserve"> </w:t>
      </w:r>
    </w:p>
    <w:p>
      <w:pPr>
        <w:spacing w:line="360" w:lineRule="auto"/>
        <w:rPr>
          <w:rStyle w:val="11"/>
          <w:rFonts w:ascii="Times New Roman" w:hAnsi="Times New Roman" w:cs="Times New Roman"/>
          <w:sz w:val="24"/>
        </w:rPr>
      </w:pPr>
      <w:r>
        <w:rPr>
          <w:rStyle w:val="11"/>
          <w:rFonts w:ascii="Times New Roman" w:hAnsi="Times New Roman" w:cs="Times New Roman"/>
          <w:sz w:val="24"/>
        </w:rPr>
        <w:t>https://www.proquest.com/docview/2172624640?accountid=130472</w:t>
      </w: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spacing w:line="360" w:lineRule="auto"/>
        <w:rPr>
          <w:rStyle w:val="11"/>
          <w:rFonts w:ascii="Times New Roman" w:hAnsi="Times New Roman" w:cs="Times New Roman"/>
          <w:sz w:val="24"/>
        </w:rPr>
      </w:pPr>
    </w:p>
    <w:p>
      <w:pPr>
        <w:pStyle w:val="3"/>
        <w:spacing w:line="360" w:lineRule="auto"/>
        <w:rPr>
          <w:rFonts w:ascii="Times New Roman" w:hAnsi="Times New Roman" w:cs="Times New Roman"/>
          <w:sz w:val="24"/>
        </w:rPr>
      </w:pPr>
      <w:bookmarkStart w:id="36" w:name="_Toc24723"/>
      <w:r>
        <w:rPr>
          <w:rFonts w:ascii="Times New Roman" w:hAnsi="Times New Roman" w:cs="Times New Roman"/>
          <w:sz w:val="24"/>
        </w:rPr>
        <w:t>Appendix3: Parametric or Non-parametric procedures</w:t>
      </w:r>
      <w:bookmarkEnd w:id="36"/>
      <w:r>
        <w:rPr>
          <w:rFonts w:ascii="Times New Roman" w:hAnsi="Times New Roman" w:cs="Times New Roman"/>
          <w:sz w:val="24"/>
        </w:rPr>
        <w:t xml:space="preserve">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lang w:eastAsia="en-US"/>
        </w:rPr>
        <w:drawing>
          <wp:inline distT="0" distB="0" distL="114300" distR="114300">
            <wp:extent cx="5269230" cy="4752975"/>
            <wp:effectExtent l="0" t="0" r="3810" b="1905"/>
            <wp:docPr id="1" name="图片 1" descr="8d6943524f57c157da3558fd43ed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d6943524f57c157da3558fd43ed848"/>
                    <pic:cNvPicPr>
                      <a:picLocks noChangeAspect="1"/>
                    </pic:cNvPicPr>
                  </pic:nvPicPr>
                  <pic:blipFill>
                    <a:blip r:embed="rId5"/>
                    <a:stretch>
                      <a:fillRect/>
                    </a:stretch>
                  </pic:blipFill>
                  <pic:spPr>
                    <a:xfrm>
                      <a:off x="0" y="0"/>
                      <a:ext cx="5269230" cy="4752975"/>
                    </a:xfrm>
                    <a:prstGeom prst="rect">
                      <a:avLst/>
                    </a:prstGeom>
                  </pic:spPr>
                </pic:pic>
              </a:graphicData>
            </a:graphic>
          </wp:inline>
        </w:drawing>
      </w:r>
    </w:p>
    <w:p>
      <w:pPr>
        <w:spacing w:line="360" w:lineRule="auto"/>
        <w:jc w:val="right"/>
      </w:pPr>
      <w:r>
        <w:rPr>
          <w:rFonts w:ascii="Times New Roman" w:hAnsi="Times New Roman" w:cs="Times New Roman"/>
          <w:i/>
          <w:iCs/>
          <w:sz w:val="24"/>
        </w:rPr>
        <w:t>(Source from Hoskin, 2012)</w:t>
      </w:r>
    </w:p>
    <w:p/>
    <w:sectPr>
      <w:footerReference r:id="rId3" w:type="default"/>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alatino">
    <w:altName w:val="Palatino Linotype"/>
    <w:panose1 w:val="00000000000000000000"/>
    <w:charset w:val="00"/>
    <w:family w:val="auto"/>
    <w:pitch w:val="default"/>
    <w:sig w:usb0="00000000" w:usb1="00000000" w:usb2="00000000" w:usb3="00000000" w:csb0="00000000" w:csb1="00000000"/>
  </w:font>
  <w:font w:name="Palatino Linotype">
    <w:panose1 w:val="02040502050505030304"/>
    <w:charset w:val="00"/>
    <w:family w:val="auto"/>
    <w:pitch w:val="default"/>
    <w:sig w:usb0="E0000287" w:usb1="40000013" w:usb2="00000000" w:usb3="00000000" w:csb0="2000019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lang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ascii="Times New Roman" w:hAnsi="Times New Roman" w:cs="Times New Roman"/>
                              <w:b/>
                              <w:bCs/>
                              <w:sz w:val="24"/>
                            </w:rPr>
                          </w:pPr>
                          <w:r>
                            <w:rPr>
                              <w:rFonts w:ascii="Times New Roman" w:hAnsi="Times New Roman" w:cs="Times New Roman"/>
                              <w:b/>
                              <w:bCs/>
                              <w:sz w:val="24"/>
                            </w:rPr>
                            <w:fldChar w:fldCharType="begin"/>
                          </w:r>
                          <w:r>
                            <w:rPr>
                              <w:rFonts w:ascii="Times New Roman" w:hAnsi="Times New Roman" w:cs="Times New Roman"/>
                              <w:b/>
                              <w:bCs/>
                              <w:sz w:val="24"/>
                            </w:rPr>
                            <w:instrText xml:space="preserve"> PAGE  \* MERGEFORMAT </w:instrText>
                          </w:r>
                          <w:r>
                            <w:rPr>
                              <w:rFonts w:ascii="Times New Roman" w:hAnsi="Times New Roman" w:cs="Times New Roman"/>
                              <w:b/>
                              <w:bCs/>
                              <w:sz w:val="24"/>
                            </w:rPr>
                            <w:fldChar w:fldCharType="separate"/>
                          </w:r>
                          <w:r>
                            <w:rPr>
                              <w:rFonts w:ascii="Times New Roman" w:hAnsi="Times New Roman" w:cs="Times New Roman"/>
                              <w:b/>
                              <w:bCs/>
                              <w:sz w:val="24"/>
                            </w:rPr>
                            <w:t>20</w:t>
                          </w:r>
                          <w:r>
                            <w:rPr>
                              <w:rFonts w:ascii="Times New Roman" w:hAnsi="Times New Roman" w:cs="Times New Roman"/>
                              <w:b/>
                              <w:bCs/>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6"/>
                      <w:rPr>
                        <w:rFonts w:ascii="Times New Roman" w:hAnsi="Times New Roman" w:cs="Times New Roman"/>
                        <w:b/>
                        <w:bCs/>
                        <w:sz w:val="24"/>
                      </w:rPr>
                    </w:pPr>
                    <w:r>
                      <w:rPr>
                        <w:rFonts w:ascii="Times New Roman" w:hAnsi="Times New Roman" w:cs="Times New Roman"/>
                        <w:b/>
                        <w:bCs/>
                        <w:sz w:val="24"/>
                      </w:rPr>
                      <w:fldChar w:fldCharType="begin"/>
                    </w:r>
                    <w:r>
                      <w:rPr>
                        <w:rFonts w:ascii="Times New Roman" w:hAnsi="Times New Roman" w:cs="Times New Roman"/>
                        <w:b/>
                        <w:bCs/>
                        <w:sz w:val="24"/>
                      </w:rPr>
                      <w:instrText xml:space="preserve"> PAGE  \* MERGEFORMAT </w:instrText>
                    </w:r>
                    <w:r>
                      <w:rPr>
                        <w:rFonts w:ascii="Times New Roman" w:hAnsi="Times New Roman" w:cs="Times New Roman"/>
                        <w:b/>
                        <w:bCs/>
                        <w:sz w:val="24"/>
                      </w:rPr>
                      <w:fldChar w:fldCharType="separate"/>
                    </w:r>
                    <w:r>
                      <w:rPr>
                        <w:rFonts w:ascii="Times New Roman" w:hAnsi="Times New Roman" w:cs="Times New Roman"/>
                        <w:b/>
                        <w:bCs/>
                        <w:sz w:val="24"/>
                      </w:rPr>
                      <w:t>20</w:t>
                    </w:r>
                    <w:r>
                      <w:rPr>
                        <w:rFonts w:ascii="Times New Roman" w:hAnsi="Times New Roman" w:cs="Times New Roman"/>
                        <w:b/>
                        <w:bCs/>
                        <w:sz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8D003B"/>
    <w:rsid w:val="00006836"/>
    <w:rsid w:val="001B6820"/>
    <w:rsid w:val="002F2C20"/>
    <w:rsid w:val="004A26B6"/>
    <w:rsid w:val="00530303"/>
    <w:rsid w:val="00742E5A"/>
    <w:rsid w:val="0074580B"/>
    <w:rsid w:val="0077499C"/>
    <w:rsid w:val="008F5429"/>
    <w:rsid w:val="009F1E36"/>
    <w:rsid w:val="00A47A4D"/>
    <w:rsid w:val="00AB0A42"/>
    <w:rsid w:val="00B33470"/>
    <w:rsid w:val="00B94BE0"/>
    <w:rsid w:val="00CA0628"/>
    <w:rsid w:val="00CE4334"/>
    <w:rsid w:val="00D83721"/>
    <w:rsid w:val="00FC1662"/>
    <w:rsid w:val="078D003B"/>
    <w:rsid w:val="27E325E2"/>
    <w:rsid w:val="4BCC7A3A"/>
    <w:rsid w:val="67050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character" w:styleId="11">
    <w:name w:val="Hyperlink"/>
    <w:basedOn w:val="10"/>
    <w:qFormat/>
    <w:uiPriority w:val="0"/>
    <w:rPr>
      <w:color w:val="0000FF"/>
      <w:u w:val="single"/>
    </w:rPr>
  </w:style>
  <w:style w:type="character" w:styleId="12">
    <w:name w:val="annotation reference"/>
    <w:basedOn w:val="10"/>
    <w:qFormat/>
    <w:uiPriority w:val="0"/>
    <w:rPr>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4881</Words>
  <Characters>27827</Characters>
  <Lines>231</Lines>
  <Paragraphs>65</Paragraphs>
  <TotalTime>1</TotalTime>
  <ScaleCrop>false</ScaleCrop>
  <LinksUpToDate>false</LinksUpToDate>
  <CharactersWithSpaces>32643</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2021-11-28T15:45:00Z</dcterms:created>
  <dc:creator>Eric</dc:creator>
  <cp:lastModifiedBy>Eric</cp:lastModifiedBy>
  <dcterms:modified xsi:type="dcterms:W3CDTF">2021-11-28T18:35:44Z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1E19259C68024AD192175C2FDA01CFB5</vt:lpwstr>
  </property>
</Properties>
</file>