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6C1FF" w14:textId="2A5BBD0C" w:rsidR="00A133F0" w:rsidRDefault="001245F4" w:rsidP="00A133F0">
      <w:pPr>
        <w:pStyle w:val="NormalWeb"/>
        <w:spacing w:before="0" w:beforeAutospacing="0" w:after="0" w:afterAutospacing="0"/>
        <w:ind w:left="-180" w:right="-334"/>
        <w:rPr>
          <w:rFonts w:ascii="Trebuchet MS" w:hAnsi="Trebuchet MS" w:cs="Tahoma"/>
          <w:sz w:val="24"/>
          <w:szCs w:val="24"/>
        </w:rPr>
      </w:pPr>
      <w:r>
        <w:t xml:space="preserve">  </w:t>
      </w:r>
      <w:r w:rsidR="00A133F0">
        <w:rPr>
          <w:noProof/>
          <w:lang w:eastAsia="en-GB"/>
        </w:rPr>
        <w:drawing>
          <wp:inline distT="0" distB="0" distL="0" distR="0" wp14:anchorId="7197E26F" wp14:editId="288C5313">
            <wp:extent cx="2875280" cy="1046480"/>
            <wp:effectExtent l="25400" t="25400" r="2032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4BDD465A" w14:textId="77777777" w:rsidR="00A133F0" w:rsidRDefault="00A133F0" w:rsidP="00A133F0">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02E0C823" w14:textId="77777777" w:rsidR="00A133F0" w:rsidRPr="001E50BB" w:rsidRDefault="00A133F0" w:rsidP="00A133F0">
      <w:pPr>
        <w:jc w:val="center"/>
        <w:rPr>
          <w:rFonts w:ascii="Arial" w:hAnsi="Arial" w:cs="Arial"/>
          <w:b/>
          <w:lang w:val="cy-GB"/>
        </w:rPr>
      </w:pPr>
      <w:r w:rsidRPr="001E50BB">
        <w:rPr>
          <w:rFonts w:ascii="Arial" w:hAnsi="Arial" w:cs="Arial"/>
          <w:b/>
          <w:lang w:val="cy-GB"/>
        </w:rPr>
        <w:t>(to be completed by marker)</w:t>
      </w:r>
    </w:p>
    <w:p w14:paraId="046A873D" w14:textId="77777777" w:rsidR="00A133F0" w:rsidRPr="001E50BB" w:rsidRDefault="00A133F0" w:rsidP="00A133F0">
      <w:pPr>
        <w:jc w:val="center"/>
        <w:rPr>
          <w:rFonts w:ascii="Arial" w:hAnsi="Arial" w:cs="Arial"/>
          <w:b/>
          <w:lang w:val="cy-GB"/>
        </w:rPr>
      </w:pPr>
    </w:p>
    <w:p w14:paraId="05D2DC33" w14:textId="77777777" w:rsidR="00A133F0" w:rsidRDefault="00A133F0" w:rsidP="00A133F0">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133F0" w:rsidRPr="0065654E" w14:paraId="39B93E8B" w14:textId="77777777" w:rsidTr="0083376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5563B02" w14:textId="77777777" w:rsidR="00A133F0" w:rsidRDefault="00A133F0" w:rsidP="0083376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Alexandra Owen-Smith</w:t>
            </w:r>
          </w:p>
          <w:p w14:paraId="58225F92" w14:textId="77777777" w:rsidR="00A133F0" w:rsidRPr="0065654E" w:rsidRDefault="00A133F0" w:rsidP="00833768">
            <w:pPr>
              <w:pStyle w:val="NormalWeb"/>
              <w:spacing w:before="0" w:beforeAutospacing="0" w:after="0" w:afterAutospacing="0"/>
              <w:ind w:right="34"/>
              <w:rPr>
                <w:rFonts w:ascii="Calibri" w:hAnsi="Calibri" w:cs="Tahoma"/>
                <w:i/>
                <w:sz w:val="24"/>
                <w:szCs w:val="24"/>
              </w:rPr>
            </w:pPr>
          </w:p>
        </w:tc>
      </w:tr>
      <w:tr w:rsidR="00A133F0" w:rsidRPr="0065654E" w14:paraId="4C47B393" w14:textId="77777777" w:rsidTr="0083376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2A1353D" w14:textId="77777777" w:rsidR="00A133F0" w:rsidRDefault="00A133F0" w:rsidP="0083376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CSEN5014</w:t>
            </w:r>
          </w:p>
          <w:p w14:paraId="4D84175D" w14:textId="77777777" w:rsidR="00A133F0" w:rsidRDefault="00A133F0" w:rsidP="00833768">
            <w:pPr>
              <w:pStyle w:val="NormalWeb"/>
              <w:spacing w:before="0" w:beforeAutospacing="0" w:after="0" w:afterAutospacing="0"/>
              <w:ind w:right="34"/>
              <w:rPr>
                <w:rFonts w:ascii="Calibri" w:hAnsi="Calibri" w:cs="Tahoma"/>
                <w:i/>
                <w:sz w:val="24"/>
                <w:szCs w:val="24"/>
              </w:rPr>
            </w:pPr>
          </w:p>
          <w:p w14:paraId="5F811915" w14:textId="77777777" w:rsidR="00A133F0" w:rsidRDefault="00A133F0" w:rsidP="0083376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critical and cultural theory</w:t>
            </w:r>
          </w:p>
          <w:p w14:paraId="76AC33B6" w14:textId="77777777" w:rsidR="00A133F0" w:rsidRPr="0065654E" w:rsidRDefault="00A133F0" w:rsidP="00833768">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4748BB56" w14:textId="77777777" w:rsidR="00A133F0" w:rsidRPr="0065654E" w:rsidRDefault="00A133F0" w:rsidP="0083376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1705406</w:t>
            </w:r>
          </w:p>
        </w:tc>
      </w:tr>
      <w:tr w:rsidR="00A133F0" w:rsidRPr="0065654E" w14:paraId="5FB96734" w14:textId="77777777" w:rsidTr="0083376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5C0E65D" w14:textId="77777777" w:rsidR="00A133F0" w:rsidRPr="0065654E" w:rsidRDefault="00A133F0" w:rsidP="0083376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0452876F" w14:textId="77777777" w:rsidR="00A133F0" w:rsidRDefault="00A133F0" w:rsidP="00833768">
            <w:pPr>
              <w:pStyle w:val="NormalWeb"/>
              <w:rPr>
                <w:rFonts w:ascii="Calibri" w:hAnsi="Calibri" w:cs="Tahoma"/>
                <w:i/>
                <w:sz w:val="24"/>
                <w:szCs w:val="24"/>
              </w:rPr>
            </w:pPr>
            <w:r w:rsidRPr="0065654E">
              <w:rPr>
                <w:rFonts w:ascii="Calibri" w:hAnsi="Calibri" w:cs="Tahoma"/>
                <w:i/>
                <w:sz w:val="24"/>
                <w:szCs w:val="24"/>
              </w:rPr>
              <w:t>Comments:</w:t>
            </w:r>
          </w:p>
          <w:p w14:paraId="6D22545C" w14:textId="77777777" w:rsidR="00A133F0" w:rsidRDefault="00A133F0" w:rsidP="00833768">
            <w:pPr>
              <w:pStyle w:val="NormalWeb"/>
              <w:rPr>
                <w:rFonts w:ascii="Calibri" w:hAnsi="Calibri" w:cs="Tahoma"/>
                <w:i/>
                <w:sz w:val="24"/>
                <w:szCs w:val="24"/>
              </w:rPr>
            </w:pPr>
          </w:p>
          <w:p w14:paraId="590B3F9D" w14:textId="77777777" w:rsidR="00A133F0" w:rsidRDefault="00A133F0" w:rsidP="00833768">
            <w:pPr>
              <w:pStyle w:val="NormalWeb"/>
              <w:rPr>
                <w:rFonts w:ascii="Calibri" w:hAnsi="Calibri" w:cs="Tahoma"/>
                <w:i/>
                <w:sz w:val="24"/>
                <w:szCs w:val="24"/>
              </w:rPr>
            </w:pPr>
          </w:p>
          <w:p w14:paraId="1F943CFC" w14:textId="77777777" w:rsidR="00A133F0" w:rsidRDefault="00A133F0" w:rsidP="00833768">
            <w:pPr>
              <w:pStyle w:val="NormalWeb"/>
              <w:rPr>
                <w:rFonts w:ascii="Calibri" w:hAnsi="Calibri" w:cs="Tahoma"/>
                <w:i/>
                <w:sz w:val="24"/>
                <w:szCs w:val="24"/>
              </w:rPr>
            </w:pPr>
          </w:p>
          <w:p w14:paraId="14F445F3" w14:textId="77777777" w:rsidR="00A133F0" w:rsidRDefault="00A133F0" w:rsidP="00833768">
            <w:pPr>
              <w:pStyle w:val="NormalWeb"/>
              <w:rPr>
                <w:rFonts w:ascii="Calibri" w:hAnsi="Calibri" w:cs="Tahoma"/>
                <w:i/>
                <w:sz w:val="24"/>
                <w:szCs w:val="24"/>
              </w:rPr>
            </w:pPr>
          </w:p>
          <w:p w14:paraId="7A2C29CE" w14:textId="77777777" w:rsidR="00A133F0" w:rsidRDefault="00A133F0" w:rsidP="00833768">
            <w:pPr>
              <w:pStyle w:val="NormalWeb"/>
              <w:rPr>
                <w:rFonts w:ascii="Calibri" w:hAnsi="Calibri" w:cs="Tahoma"/>
                <w:i/>
                <w:sz w:val="24"/>
                <w:szCs w:val="24"/>
              </w:rPr>
            </w:pPr>
          </w:p>
          <w:p w14:paraId="0B4CBC53" w14:textId="77777777" w:rsidR="00A133F0" w:rsidRDefault="00A133F0" w:rsidP="00833768">
            <w:pPr>
              <w:pStyle w:val="NormalWeb"/>
              <w:rPr>
                <w:rFonts w:ascii="Calibri" w:hAnsi="Calibri" w:cs="Tahoma"/>
                <w:i/>
                <w:sz w:val="24"/>
                <w:szCs w:val="24"/>
              </w:rPr>
            </w:pPr>
          </w:p>
          <w:p w14:paraId="19E172A1" w14:textId="77777777" w:rsidR="00A133F0" w:rsidRDefault="00A133F0" w:rsidP="00833768">
            <w:pPr>
              <w:pStyle w:val="NormalWeb"/>
              <w:rPr>
                <w:rFonts w:ascii="Calibri" w:hAnsi="Calibri" w:cs="Tahoma"/>
                <w:i/>
                <w:sz w:val="24"/>
                <w:szCs w:val="24"/>
              </w:rPr>
            </w:pPr>
          </w:p>
          <w:p w14:paraId="78F73FFC" w14:textId="77777777" w:rsidR="00A133F0" w:rsidRDefault="00A133F0" w:rsidP="00833768">
            <w:pPr>
              <w:pStyle w:val="NormalWeb"/>
              <w:rPr>
                <w:rFonts w:ascii="Calibri" w:hAnsi="Calibri" w:cs="Tahoma"/>
                <w:i/>
                <w:sz w:val="24"/>
                <w:szCs w:val="24"/>
              </w:rPr>
            </w:pPr>
          </w:p>
          <w:p w14:paraId="405E9AE9" w14:textId="77777777" w:rsidR="00A133F0" w:rsidRDefault="00A133F0" w:rsidP="00833768">
            <w:pPr>
              <w:pStyle w:val="NormalWeb"/>
              <w:rPr>
                <w:rFonts w:ascii="Calibri" w:hAnsi="Calibri" w:cs="Tahoma"/>
                <w:i/>
                <w:sz w:val="24"/>
                <w:szCs w:val="24"/>
              </w:rPr>
            </w:pPr>
          </w:p>
          <w:p w14:paraId="0869B9EF" w14:textId="77777777" w:rsidR="00A133F0" w:rsidRDefault="00A133F0" w:rsidP="00833768">
            <w:pPr>
              <w:pStyle w:val="NormalWeb"/>
              <w:rPr>
                <w:rFonts w:ascii="Calibri" w:hAnsi="Calibri" w:cs="Tahoma"/>
                <w:i/>
                <w:sz w:val="24"/>
                <w:szCs w:val="24"/>
              </w:rPr>
            </w:pPr>
          </w:p>
          <w:p w14:paraId="5B0EBEC5" w14:textId="77777777" w:rsidR="00A133F0" w:rsidRPr="0065654E" w:rsidRDefault="00A133F0" w:rsidP="00833768">
            <w:pPr>
              <w:pStyle w:val="NormalWeb"/>
              <w:rPr>
                <w:rFonts w:ascii="Calibri" w:hAnsi="Calibri" w:cs="Tahoma"/>
                <w:i/>
                <w:sz w:val="24"/>
                <w:szCs w:val="24"/>
              </w:rPr>
            </w:pPr>
          </w:p>
        </w:tc>
      </w:tr>
      <w:tr w:rsidR="00A133F0" w:rsidRPr="0065654E" w14:paraId="4FE4FB7F" w14:textId="77777777" w:rsidTr="00833768">
        <w:trPr>
          <w:trHeight w:val="492"/>
        </w:trPr>
        <w:tc>
          <w:tcPr>
            <w:tcW w:w="6768" w:type="dxa"/>
            <w:gridSpan w:val="2"/>
            <w:tcBorders>
              <w:top w:val="single" w:sz="4" w:space="0" w:color="auto"/>
            </w:tcBorders>
            <w:vAlign w:val="center"/>
          </w:tcPr>
          <w:p w14:paraId="66B91559" w14:textId="77777777" w:rsidR="00A133F0" w:rsidRPr="0065654E" w:rsidRDefault="00A133F0" w:rsidP="0083376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6574E0E7" w14:textId="77777777" w:rsidR="00A133F0" w:rsidRPr="0065654E" w:rsidRDefault="00A133F0" w:rsidP="0083376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133F0" w:rsidRPr="0065654E" w14:paraId="404C731C" w14:textId="77777777" w:rsidTr="00833768">
        <w:tc>
          <w:tcPr>
            <w:tcW w:w="8755" w:type="dxa"/>
            <w:gridSpan w:val="3"/>
            <w:vAlign w:val="center"/>
          </w:tcPr>
          <w:p w14:paraId="1E912176" w14:textId="77777777" w:rsidR="00A133F0" w:rsidRDefault="00A133F0" w:rsidP="0083376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40BD7C0A" w14:textId="77777777" w:rsidR="00A133F0" w:rsidRPr="0065654E" w:rsidRDefault="00A133F0" w:rsidP="0083376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4FE8CD17" w14:textId="77777777" w:rsidR="00A133F0" w:rsidRPr="0065654E" w:rsidRDefault="00A133F0" w:rsidP="00A133F0">
      <w:pPr>
        <w:pStyle w:val="NormalWeb"/>
        <w:spacing w:before="0" w:beforeAutospacing="0" w:after="0" w:afterAutospacing="0"/>
        <w:ind w:right="-334"/>
        <w:rPr>
          <w:rFonts w:ascii="Trebuchet MS" w:hAnsi="Trebuchet MS" w:cs="Tahoma"/>
          <w:b/>
          <w:bCs/>
          <w:sz w:val="24"/>
          <w:szCs w:val="24"/>
        </w:rPr>
      </w:pPr>
    </w:p>
    <w:p w14:paraId="0B7E2E5F" w14:textId="77777777" w:rsidR="00A133F0" w:rsidRDefault="00A133F0">
      <w:bookmarkStart w:id="0" w:name="_GoBack"/>
      <w:bookmarkEnd w:id="0"/>
    </w:p>
    <w:p w14:paraId="27234E08" w14:textId="02C59954" w:rsidR="00965CEE" w:rsidRPr="002E3DB4" w:rsidRDefault="001245F4">
      <w:r>
        <w:lastRenderedPageBreak/>
        <w:t xml:space="preserve">  This essay will begin by exploring some ways in which encounters with post-structuralism has changed psychoanalytic approaches to literature. </w:t>
      </w:r>
      <w:r w:rsidR="001C59D3">
        <w:t xml:space="preserve">I will begin by exploring </w:t>
      </w:r>
      <w:r w:rsidR="00D50E7C">
        <w:t>what post-structuralism</w:t>
      </w:r>
      <w:r w:rsidR="00392BC2">
        <w:t xml:space="preserve"> entails</w:t>
      </w:r>
      <w:r w:rsidR="00D50E7C">
        <w:t>,</w:t>
      </w:r>
      <w:r w:rsidR="001C59D3">
        <w:t xml:space="preserve"> and in doing so will demonstrate how encounter</w:t>
      </w:r>
      <w:r w:rsidR="00D50E7C">
        <w:t>s with it have</w:t>
      </w:r>
      <w:r w:rsidR="001C59D3">
        <w:t xml:space="preserve"> changed approaches to psychoanalytic critique of literary texts</w:t>
      </w:r>
      <w:r>
        <w:t xml:space="preserve">. Moving forward with the essay, once these encounters have been discussed, I will demonstrate and discuss in my own considered opinion how these factors re-shape the relationship between psychoanalytic theory and literature with reference to psychoanalytic criticism of ETA Hoffman’s </w:t>
      </w:r>
      <w:r>
        <w:rPr>
          <w:i/>
        </w:rPr>
        <w:t>The Sandman</w:t>
      </w:r>
      <w:r>
        <w:t xml:space="preserve">. The particular </w:t>
      </w:r>
      <w:r w:rsidR="006A6F96">
        <w:t xml:space="preserve">psychoanalytic </w:t>
      </w:r>
      <w:r>
        <w:t>criticism I will be referencing in regard to Hoffman’s short story will be Neil Hertz</w:t>
      </w:r>
      <w:r w:rsidR="004D3102">
        <w:t>’</w:t>
      </w:r>
      <w:r>
        <w:t xml:space="preserve"> reading of ‘Freud and the Sandman’. I will further support my overall considered opinion by sourcing evidence from Elizabeth Wright’s </w:t>
      </w:r>
      <w:r>
        <w:rPr>
          <w:i/>
        </w:rPr>
        <w:t>Psychoanalytic criticism; theory in practice</w:t>
      </w:r>
      <w:r w:rsidR="00D25098">
        <w:t>. Throughout the essay</w:t>
      </w:r>
      <w:r>
        <w:t xml:space="preserve"> Terry Eagleton’s </w:t>
      </w:r>
      <w:r>
        <w:rPr>
          <w:i/>
        </w:rPr>
        <w:t>Literary theory; an introduction</w:t>
      </w:r>
      <w:r w:rsidR="00086BE0">
        <w:rPr>
          <w:i/>
        </w:rPr>
        <w:t xml:space="preserve"> </w:t>
      </w:r>
      <w:r w:rsidR="00086BE0">
        <w:t xml:space="preserve">and Jonathan’s Culler </w:t>
      </w:r>
      <w:proofErr w:type="gramStart"/>
      <w:r w:rsidR="00086BE0">
        <w:rPr>
          <w:i/>
        </w:rPr>
        <w:t>The</w:t>
      </w:r>
      <w:proofErr w:type="gramEnd"/>
      <w:r w:rsidR="00086BE0">
        <w:rPr>
          <w:i/>
        </w:rPr>
        <w:t xml:space="preserve"> Pursuit of Signs</w:t>
      </w:r>
      <w:r w:rsidR="00D25098">
        <w:rPr>
          <w:i/>
        </w:rPr>
        <w:t xml:space="preserve"> </w:t>
      </w:r>
      <w:r w:rsidR="00D25098">
        <w:t>will also be used as sources to support the argument</w:t>
      </w:r>
      <w:r w:rsidR="00FA46EF">
        <w:t>s I</w:t>
      </w:r>
      <w:r w:rsidR="00D25098">
        <w:t xml:space="preserve"> </w:t>
      </w:r>
      <w:r w:rsidR="00FA46EF">
        <w:t>mak</w:t>
      </w:r>
      <w:r w:rsidR="00D25098">
        <w:t>e</w:t>
      </w:r>
      <w:r w:rsidR="00086BE0">
        <w:rPr>
          <w:i/>
        </w:rPr>
        <w:t>.</w:t>
      </w:r>
      <w:r w:rsidR="002E3DB4">
        <w:rPr>
          <w:i/>
        </w:rPr>
        <w:t xml:space="preserve"> </w:t>
      </w:r>
      <w:r w:rsidR="002E3DB4">
        <w:t>I will conclude by giving my overall opinion on how I believe that the relationship between psychoanalytic theory and literature</w:t>
      </w:r>
      <w:r w:rsidR="0027790F">
        <w:t xml:space="preserve"> has been re-shaped</w:t>
      </w:r>
      <w:r w:rsidR="002E3DB4">
        <w:t xml:space="preserve"> </w:t>
      </w:r>
      <w:r w:rsidR="00CF3748">
        <w:t>with relation to</w:t>
      </w:r>
      <w:r w:rsidR="002E3DB4">
        <w:t xml:space="preserve"> the points </w:t>
      </w:r>
      <w:r w:rsidR="00FA46EF">
        <w:t xml:space="preserve">that have been made </w:t>
      </w:r>
      <w:r w:rsidR="002E3DB4">
        <w:t>throughout the essay.</w:t>
      </w:r>
    </w:p>
    <w:p w14:paraId="6124539C" w14:textId="4ADCA5D3" w:rsidR="002F6928" w:rsidRDefault="001245F4">
      <w:r>
        <w:t xml:space="preserve">  </w:t>
      </w:r>
      <w:r w:rsidR="008B6784">
        <w:t xml:space="preserve">     </w:t>
      </w:r>
      <w:r w:rsidR="003E3696">
        <w:t xml:space="preserve">Firstly, </w:t>
      </w:r>
      <w:r w:rsidR="00100BF7">
        <w:t xml:space="preserve">with reference to </w:t>
      </w:r>
      <w:r w:rsidR="003E3696">
        <w:t>three key terms as a</w:t>
      </w:r>
      <w:r w:rsidR="00100BF7">
        <w:t xml:space="preserve"> way into post-structuralism</w:t>
      </w:r>
      <w:r w:rsidR="00521121">
        <w:t>,</w:t>
      </w:r>
      <w:r w:rsidR="00100BF7">
        <w:t xml:space="preserve"> these being</w:t>
      </w:r>
      <w:r w:rsidR="00521121">
        <w:t xml:space="preserve"> </w:t>
      </w:r>
      <w:r w:rsidR="003E3696" w:rsidRPr="001F6B30">
        <w:rPr>
          <w:i/>
        </w:rPr>
        <w:t>signature</w:t>
      </w:r>
      <w:r w:rsidR="003E3696">
        <w:t>,</w:t>
      </w:r>
      <w:r w:rsidR="00100BF7">
        <w:t xml:space="preserve"> the </w:t>
      </w:r>
      <w:r w:rsidR="003E3696">
        <w:t xml:space="preserve">language as a system of signs, </w:t>
      </w:r>
      <w:r w:rsidR="003E3696" w:rsidRPr="001F6B30">
        <w:rPr>
          <w:i/>
        </w:rPr>
        <w:t>event</w:t>
      </w:r>
      <w:r w:rsidR="00100BF7">
        <w:t xml:space="preserve">, the use of language </w:t>
      </w:r>
      <w:r w:rsidR="003E3696">
        <w:t>as it’s happening, and finally c</w:t>
      </w:r>
      <w:r w:rsidR="003E3696" w:rsidRPr="001F6B30">
        <w:rPr>
          <w:i/>
        </w:rPr>
        <w:t>ontext</w:t>
      </w:r>
      <w:r w:rsidR="003E3696">
        <w:t xml:space="preserve">, the </w:t>
      </w:r>
      <w:r w:rsidR="00935EC9">
        <w:t>c</w:t>
      </w:r>
      <w:r w:rsidR="003E3696">
        <w:t>ontext in which utterance takes place, shared code, addresser and addressee.</w:t>
      </w:r>
      <w:r w:rsidR="00ED3A52">
        <w:t xml:space="preserve"> </w:t>
      </w:r>
      <w:r w:rsidR="00FE63DC">
        <w:t xml:space="preserve">Beginning with </w:t>
      </w:r>
      <w:r w:rsidR="00FE63DC" w:rsidRPr="00FE63DC">
        <w:rPr>
          <w:i/>
        </w:rPr>
        <w:t>signatur</w:t>
      </w:r>
      <w:r w:rsidR="00521121">
        <w:rPr>
          <w:i/>
        </w:rPr>
        <w:t xml:space="preserve">e </w:t>
      </w:r>
      <w:r w:rsidR="00521121">
        <w:t>and exploring</w:t>
      </w:r>
      <w:r w:rsidR="00FE63DC">
        <w:t xml:space="preserve"> a </w:t>
      </w:r>
      <w:r w:rsidR="00521121">
        <w:t xml:space="preserve">new </w:t>
      </w:r>
      <w:r w:rsidR="00FE63DC">
        <w:t xml:space="preserve">theory emerging out of post-structuralism regarding signs and signification that </w:t>
      </w:r>
      <w:r w:rsidR="0031746E">
        <w:t>‘</w:t>
      </w:r>
      <w:r w:rsidR="00FE63DC">
        <w:t>new lexical items will be given some kind of meaning by readers.’</w:t>
      </w:r>
      <w:r w:rsidR="00FE63DC">
        <w:rPr>
          <w:rStyle w:val="FootnoteReference"/>
        </w:rPr>
        <w:footnoteReference w:id="1"/>
      </w:r>
      <w:r w:rsidR="00412C11">
        <w:t xml:space="preserve"> </w:t>
      </w:r>
      <w:r w:rsidR="00D660A9">
        <w:t xml:space="preserve">This statement </w:t>
      </w:r>
      <w:r w:rsidR="00165217">
        <w:t>building off the suggestion of</w:t>
      </w:r>
      <w:r w:rsidR="000026B8">
        <w:t xml:space="preserve"> </w:t>
      </w:r>
      <w:r w:rsidR="00551C3A">
        <w:t xml:space="preserve">the </w:t>
      </w:r>
      <w:r w:rsidR="000026B8">
        <w:t xml:space="preserve">signifier </w:t>
      </w:r>
      <w:r w:rsidR="00C03813">
        <w:t>as a chain, for example</w:t>
      </w:r>
      <w:r w:rsidR="005F1E53">
        <w:t xml:space="preserve"> that when uttered it </w:t>
      </w:r>
      <w:r w:rsidR="00C03813">
        <w:t>sets off a chain of signifiers in the mind of the person who hears it and so on, suggesting that it is not a simple relationshi</w:t>
      </w:r>
      <w:r w:rsidR="00AB58F2">
        <w:t xml:space="preserve">p between signifier </w:t>
      </w:r>
      <w:r w:rsidR="00C03813">
        <w:t>within a context that generates the meaning.</w:t>
      </w:r>
      <w:r w:rsidR="00A372BE">
        <w:t xml:space="preserve"> ‘Instead of being a well-defined, clearly demarcated structure containing symmetrical units of signifiers and signifieds, it n</w:t>
      </w:r>
      <w:r w:rsidR="00506F0C">
        <w:t>ow begins</w:t>
      </w:r>
      <w:r w:rsidR="00A372BE">
        <w:t xml:space="preserve"> to look much more like a sprawling limitless web…’</w:t>
      </w:r>
      <w:r w:rsidR="00A372BE">
        <w:rPr>
          <w:rStyle w:val="FootnoteReference"/>
        </w:rPr>
        <w:footnoteReference w:id="2"/>
      </w:r>
    </w:p>
    <w:p w14:paraId="7C73B14E" w14:textId="092BF400" w:rsidR="005E5217" w:rsidRDefault="002F6928">
      <w:r>
        <w:t xml:space="preserve">    </w:t>
      </w:r>
      <w:r w:rsidR="00444DEC">
        <w:t>Secondly, e</w:t>
      </w:r>
      <w:r>
        <w:t xml:space="preserve">xploring </w:t>
      </w:r>
      <w:r w:rsidR="006E6534">
        <w:t>discourse as</w:t>
      </w:r>
      <w:r w:rsidR="00ED3A52">
        <w:t xml:space="preserve"> an event;</w:t>
      </w:r>
      <w:r w:rsidR="006E6534">
        <w:t xml:space="preserve"> ‘The Speech Act’</w:t>
      </w:r>
      <w:r w:rsidR="005A133B">
        <w:t xml:space="preserve"> Austin theorised this in terms of</w:t>
      </w:r>
      <w:r w:rsidR="00497F05">
        <w:t xml:space="preserve"> the</w:t>
      </w:r>
      <w:r w:rsidR="005A133B">
        <w:t xml:space="preserve"> </w:t>
      </w:r>
      <w:r w:rsidR="005A133B" w:rsidRPr="005A133B">
        <w:rPr>
          <w:i/>
        </w:rPr>
        <w:t>locutionary act</w:t>
      </w:r>
      <w:r w:rsidR="006E6534">
        <w:t xml:space="preserve"> and </w:t>
      </w:r>
      <w:r w:rsidR="005A133B">
        <w:rPr>
          <w:i/>
        </w:rPr>
        <w:t xml:space="preserve">illocutionary act </w:t>
      </w:r>
      <w:r w:rsidR="005A133B">
        <w:t xml:space="preserve">as implied effects of discourse as an event. </w:t>
      </w:r>
      <w:r w:rsidR="006E6534">
        <w:t>Paul Demann</w:t>
      </w:r>
      <w:r w:rsidR="005A133B">
        <w:t xml:space="preserve"> extends </w:t>
      </w:r>
      <w:r w:rsidR="006E6534">
        <w:t>on Austin</w:t>
      </w:r>
      <w:r w:rsidR="00257CCA">
        <w:t>’</w:t>
      </w:r>
      <w:r w:rsidR="00444DEC">
        <w:t>s model of discourse, by</w:t>
      </w:r>
      <w:r w:rsidR="006E6534">
        <w:t xml:space="preserve"> introducing the </w:t>
      </w:r>
      <w:r w:rsidR="006E6534" w:rsidRPr="005E5217">
        <w:rPr>
          <w:i/>
        </w:rPr>
        <w:t>prelocutionairy</w:t>
      </w:r>
      <w:r w:rsidR="006E6534">
        <w:t xml:space="preserve"> act</w:t>
      </w:r>
      <w:r w:rsidR="006E18C4">
        <w:t>,</w:t>
      </w:r>
      <w:r w:rsidR="006E6534">
        <w:t xml:space="preserve"> </w:t>
      </w:r>
      <w:r w:rsidR="00A23E35">
        <w:t xml:space="preserve">by doing this </w:t>
      </w:r>
      <w:r w:rsidR="00444DEC">
        <w:t xml:space="preserve">Demann </w:t>
      </w:r>
      <w:r w:rsidR="006E6534">
        <w:t>opens up meaning.</w:t>
      </w:r>
      <w:r w:rsidR="00FE63DC">
        <w:t xml:space="preserve"> </w:t>
      </w:r>
      <w:r w:rsidR="00F47744">
        <w:t xml:space="preserve">Demann does this as he </w:t>
      </w:r>
      <w:r w:rsidR="00F463BF">
        <w:t>observes</w:t>
      </w:r>
      <w:r w:rsidR="007B2BB4">
        <w:t xml:space="preserve"> that</w:t>
      </w:r>
      <w:r w:rsidR="00F463BF">
        <w:t xml:space="preserve"> there</w:t>
      </w:r>
      <w:r w:rsidR="00A706F6">
        <w:t xml:space="preserve"> are variations in the way we understand certain utterances</w:t>
      </w:r>
      <w:r w:rsidR="00D80367">
        <w:t xml:space="preserve"> that cannot be defined in either of the other two acts</w:t>
      </w:r>
      <w:r w:rsidR="00A706F6">
        <w:t>, be it histor</w:t>
      </w:r>
      <w:r w:rsidR="000D33EE">
        <w:t>ic/social or cultural variation. T</w:t>
      </w:r>
      <w:r w:rsidR="00A706F6">
        <w:t>ake rhetoric as an example, grammatically it is framed as a question yet it requires no answer</w:t>
      </w:r>
      <w:r w:rsidR="006E6534">
        <w:t>.</w:t>
      </w:r>
      <w:r w:rsidR="000907DD">
        <w:t xml:space="preserve"> All of this implies that the author is in fact not guarantor of meaning.</w:t>
      </w:r>
      <w:r w:rsidR="006E6534">
        <w:t xml:space="preserve"> </w:t>
      </w:r>
      <w:r w:rsidR="00D93C0A">
        <w:t xml:space="preserve">‘It is language which speaks in literature, in all </w:t>
      </w:r>
      <w:r w:rsidR="001823DC">
        <w:t>its</w:t>
      </w:r>
      <w:r w:rsidR="00D93C0A">
        <w:t xml:space="preserve"> swarming ‘polysemic’ plurality, not the author himself. If there is any place where this seething multiplicity of the text focused, it is not the author but the reader.’</w:t>
      </w:r>
      <w:r w:rsidR="00D93C0A">
        <w:rPr>
          <w:rStyle w:val="FootnoteReference"/>
        </w:rPr>
        <w:footnoteReference w:id="3"/>
      </w:r>
      <w:r w:rsidR="00D93C0A">
        <w:t xml:space="preserve"> </w:t>
      </w:r>
      <w:r w:rsidR="0036232B">
        <w:t>This ap</w:t>
      </w:r>
      <w:r w:rsidR="0005557A">
        <w:t>proach already making changes in regard to the relationship between literature and psychoanalytic critical theory. N</w:t>
      </w:r>
      <w:r w:rsidR="0036232B">
        <w:t xml:space="preserve">o longer </w:t>
      </w:r>
      <w:r w:rsidR="000A7E3F">
        <w:t>should the focal point of</w:t>
      </w:r>
      <w:r w:rsidR="0036232B">
        <w:t xml:space="preserve"> psychoanalysis</w:t>
      </w:r>
      <w:r w:rsidR="000A7E3F">
        <w:t xml:space="preserve"> in literature be the author of the text or the characters within the text, but the text its self should be the focal point and how that text generates an effect from the reader </w:t>
      </w:r>
      <w:r w:rsidR="003D52E9">
        <w:t>which leads them to generate an analysis of the text based on how they read the web of sings</w:t>
      </w:r>
      <w:r w:rsidR="0036232B">
        <w:t xml:space="preserve">. </w:t>
      </w:r>
      <w:r w:rsidR="00BF5779">
        <w:t xml:space="preserve"> A post-structuralist approach</w:t>
      </w:r>
      <w:r w:rsidR="002651FC">
        <w:t xml:space="preserve"> relies on reading the text against </w:t>
      </w:r>
      <w:r w:rsidR="006C3A1A">
        <w:t>itself</w:t>
      </w:r>
      <w:r w:rsidR="002651FC">
        <w:t xml:space="preserve">, looking for meaning </w:t>
      </w:r>
      <w:r w:rsidR="00953C98">
        <w:t>at</w:t>
      </w:r>
      <w:r w:rsidR="009E52E1">
        <w:t xml:space="preserve"> the surface</w:t>
      </w:r>
      <w:r w:rsidR="0059074D">
        <w:t xml:space="preserve"> as well as beneath</w:t>
      </w:r>
      <w:r w:rsidR="002651FC">
        <w:t>. Furthermore, through concentrating on a</w:t>
      </w:r>
      <w:r w:rsidR="00BD5D24">
        <w:t xml:space="preserve"> particular passage from a</w:t>
      </w:r>
      <w:r w:rsidR="002651FC">
        <w:t xml:space="preserve"> text </w:t>
      </w:r>
      <w:r w:rsidR="00BD5D24">
        <w:t>thus analysing it in the way noted above, one can determine multiple meanings</w:t>
      </w:r>
      <w:r w:rsidR="002651FC">
        <w:t xml:space="preserve">. </w:t>
      </w:r>
    </w:p>
    <w:p w14:paraId="10754856" w14:textId="2D89561D" w:rsidR="001245F4" w:rsidRDefault="005675F8">
      <w:r>
        <w:t xml:space="preserve">    </w:t>
      </w:r>
      <w:r w:rsidR="005E5217">
        <w:t xml:space="preserve"> </w:t>
      </w:r>
      <w:r w:rsidR="00EC651A">
        <w:t>‘Anyone who goes in search of meaning at its source, or in its essential forms, has no choice but to travel by way of language, and at every moment on this journey variously connected signifiers extend to the horizon in all directions. When the signified seems finally to be within reach, it dissolves at the explorer’s touch into yet more signifiers’</w:t>
      </w:r>
      <w:r w:rsidR="00EC651A">
        <w:rPr>
          <w:rStyle w:val="FootnoteReference"/>
        </w:rPr>
        <w:footnoteReference w:id="4"/>
      </w:r>
      <w:r w:rsidR="00D920FB">
        <w:t xml:space="preserve"> </w:t>
      </w:r>
      <w:r>
        <w:t>this statement leads the way into deconstruction, a strand of post</w:t>
      </w:r>
      <w:r w:rsidR="000F6331">
        <w:t xml:space="preserve">-structuralism devised by Derrida. </w:t>
      </w:r>
    </w:p>
    <w:p w14:paraId="6E33EEA2" w14:textId="77777777" w:rsidR="00741DEB" w:rsidRDefault="00741DEB"/>
    <w:p w14:paraId="5956A500" w14:textId="1BB1D4BF" w:rsidR="00741DEB" w:rsidRDefault="00741DEB">
      <w:r>
        <w:t>The tactic of deconstruction criticism, that is to say, is to show how texts come to embarrass their own ruling system of logic, and deconstruction shows this by fastening on the ‘sy</w:t>
      </w:r>
      <w:r w:rsidR="00F86B5E">
        <w:t>m</w:t>
      </w:r>
      <w:r>
        <w:t>ptomatic’ points, the aporia or impass</w:t>
      </w:r>
      <w:r w:rsidR="00445964">
        <w:t>es</w:t>
      </w:r>
      <w:r>
        <w:t xml:space="preserve"> of meaning, where texts get into trouble, come unstuck, offer to contradict themselves.</w:t>
      </w:r>
      <w:r>
        <w:rPr>
          <w:rStyle w:val="FootnoteReference"/>
        </w:rPr>
        <w:footnoteReference w:id="5"/>
      </w:r>
    </w:p>
    <w:p w14:paraId="6A73B608" w14:textId="77777777" w:rsidR="00F51A2C" w:rsidRDefault="00F51A2C"/>
    <w:p w14:paraId="5AE52DD8" w14:textId="07D3651B" w:rsidR="008B6784" w:rsidRDefault="00F51A2C">
      <w:r>
        <w:t xml:space="preserve">Language in a </w:t>
      </w:r>
      <w:r w:rsidR="005C5459">
        <w:t>text defers endless meaning, not a meaning that is intended by the author or the speaker in a text.</w:t>
      </w:r>
      <w:r w:rsidR="00AF5438">
        <w:t xml:space="preserve"> Such an encounter as this has changed approaches to psychoanalytic criticism in relation to literature through the language of the</w:t>
      </w:r>
      <w:r w:rsidR="00A70CFE">
        <w:t xml:space="preserve"> text, equally through what is abs</w:t>
      </w:r>
      <w:r w:rsidR="00C36681">
        <w:t>ent</w:t>
      </w:r>
      <w:r w:rsidR="00A70CFE">
        <w:t xml:space="preserve"> or </w:t>
      </w:r>
      <w:r w:rsidR="0006007C">
        <w:t xml:space="preserve">through </w:t>
      </w:r>
      <w:r w:rsidR="00A70CFE">
        <w:t xml:space="preserve">its binary opposite. </w:t>
      </w:r>
      <w:r w:rsidR="003703ED">
        <w:t>Therefore,</w:t>
      </w:r>
      <w:r w:rsidR="00F240A8">
        <w:t xml:space="preserve"> t</w:t>
      </w:r>
      <w:r w:rsidR="00A07A5D">
        <w:t>hrough</w:t>
      </w:r>
      <w:r w:rsidR="003703ED">
        <w:t xml:space="preserve"> this</w:t>
      </w:r>
      <w:r w:rsidR="00A07A5D">
        <w:t xml:space="preserve"> </w:t>
      </w:r>
      <w:r w:rsidR="00F240A8">
        <w:t xml:space="preserve">constant </w:t>
      </w:r>
      <w:r w:rsidR="00A07A5D">
        <w:t>deferred meaning</w:t>
      </w:r>
      <w:r w:rsidR="003703ED">
        <w:t xml:space="preserve"> and different context in which to travel it shows</w:t>
      </w:r>
      <w:r w:rsidR="00AF5438">
        <w:t xml:space="preserve"> there is in fact no </w:t>
      </w:r>
      <w:r w:rsidR="00CB0194">
        <w:t xml:space="preserve">one </w:t>
      </w:r>
      <w:r w:rsidR="00AF5438">
        <w:t xml:space="preserve">definitive meaning to a text. </w:t>
      </w:r>
      <w:r w:rsidR="00A67C0C">
        <w:t>Deconstruction destabilises and/or proves the instability of a text.</w:t>
      </w:r>
      <w:r w:rsidR="00A07A5D">
        <w:t xml:space="preserve"> </w:t>
      </w:r>
      <w:r w:rsidR="005010F1">
        <w:t>Furthermore, in relation to a</w:t>
      </w:r>
      <w:r w:rsidR="00A07A5D">
        <w:t xml:space="preserve"> psychoanalytic criticism of a text can </w:t>
      </w:r>
      <w:r w:rsidR="00DE42D2">
        <w:t>deconstruction be used as</w:t>
      </w:r>
      <w:r w:rsidR="00A07A5D">
        <w:t xml:space="preserve"> post-structuralist approach to psychoanalyse</w:t>
      </w:r>
      <w:r w:rsidR="00DE42D2">
        <w:t xml:space="preserve"> the effects of</w:t>
      </w:r>
      <w:r w:rsidR="00A07A5D">
        <w:t xml:space="preserve"> the literature</w:t>
      </w:r>
      <w:r w:rsidR="00DE42D2">
        <w:t xml:space="preserve"> on the reader.</w:t>
      </w:r>
    </w:p>
    <w:p w14:paraId="687B9E66" w14:textId="45BC7912" w:rsidR="001D413C" w:rsidRDefault="008B6784">
      <w:r>
        <w:t xml:space="preserve">        </w:t>
      </w:r>
      <w:r w:rsidR="00314EF3">
        <w:t xml:space="preserve">The second part of this essay will discuss how </w:t>
      </w:r>
      <w:r w:rsidR="00D83C14">
        <w:t xml:space="preserve">these encounters have re-shaped the relationship between literature and psychoanalytic theory, this will be illustrated in reference to the psychoanalytic criticism </w:t>
      </w:r>
      <w:r w:rsidR="00845B5C">
        <w:t xml:space="preserve">of </w:t>
      </w:r>
      <w:r w:rsidR="00D83C14">
        <w:t xml:space="preserve">Hoffman’s short story </w:t>
      </w:r>
      <w:r w:rsidR="00D83C14">
        <w:rPr>
          <w:i/>
        </w:rPr>
        <w:t xml:space="preserve">The Sandman </w:t>
      </w:r>
      <w:r w:rsidR="00D83C14">
        <w:t>by Neil Hertz.</w:t>
      </w:r>
      <w:r w:rsidR="00B35672">
        <w:t xml:space="preserve"> ‘It is Freud’s discovery of the unconscious which has prepared the way both for theory of textual deconstruction and for a deconstruction of the mode of that discovery.’</w:t>
      </w:r>
      <w:r w:rsidR="00B35672">
        <w:rPr>
          <w:rStyle w:val="FootnoteReference"/>
        </w:rPr>
        <w:footnoteReference w:id="6"/>
      </w:r>
      <w:r w:rsidR="00FB6728">
        <w:t xml:space="preserve"> Hertz provides a deconstruction of Freud’s essay </w:t>
      </w:r>
      <w:r w:rsidR="00FB6728">
        <w:rPr>
          <w:i/>
        </w:rPr>
        <w:t xml:space="preserve">The </w:t>
      </w:r>
      <w:r w:rsidR="005A5620">
        <w:rPr>
          <w:i/>
        </w:rPr>
        <w:t>Uncanny</w:t>
      </w:r>
      <w:r w:rsidR="005A5620">
        <w:t xml:space="preserve"> and </w:t>
      </w:r>
      <w:r w:rsidR="005A5620">
        <w:rPr>
          <w:i/>
        </w:rPr>
        <w:t xml:space="preserve">The Sandman </w:t>
      </w:r>
      <w:r w:rsidR="00A8422D">
        <w:t>in order to psychoanalyse</w:t>
      </w:r>
      <w:r w:rsidR="005A5620">
        <w:t xml:space="preserve"> Hoffman’s narrative</w:t>
      </w:r>
      <w:r w:rsidR="00A8422D">
        <w:t xml:space="preserve">. </w:t>
      </w:r>
      <w:r w:rsidR="00845B5C">
        <w:t>Beginning with the fact</w:t>
      </w:r>
      <w:r w:rsidR="00E55F53">
        <w:t xml:space="preserve"> that ‘Freud’s reading subordinates everything to a single thematic motif; the hero’s fear of losing his eyes as equivalent </w:t>
      </w:r>
      <w:r w:rsidR="00845B5C">
        <w:t xml:space="preserve">to his fear of being deprived </w:t>
      </w:r>
      <w:r w:rsidR="00E55F53">
        <w:t>of his sexual organ’</w:t>
      </w:r>
      <w:r w:rsidR="00ED638D">
        <w:rPr>
          <w:rStyle w:val="FootnoteReference"/>
        </w:rPr>
        <w:footnoteReference w:id="7"/>
      </w:r>
      <w:r w:rsidR="00316435">
        <w:t xml:space="preserve"> Hertz notes that the first mistake Freud makes is to st</w:t>
      </w:r>
      <w:r w:rsidR="00477824">
        <w:t xml:space="preserve">abilise the text, </w:t>
      </w:r>
      <w:r w:rsidR="00E81DE6">
        <w:t>Hertz disapproves of this and claims it is something that cannot be done</w:t>
      </w:r>
      <w:r w:rsidR="00316435">
        <w:t>. The first summary Freud makes</w:t>
      </w:r>
      <w:r w:rsidR="00F36D26">
        <w:t xml:space="preserve"> in his essay</w:t>
      </w:r>
      <w:r w:rsidR="00316435">
        <w:t xml:space="preserve"> is a paraphrase, he is no</w:t>
      </w:r>
      <w:r w:rsidR="00367049">
        <w:t>t working with the text itself. Freud</w:t>
      </w:r>
      <w:r w:rsidR="00316435">
        <w:t xml:space="preserve"> writes it in his </w:t>
      </w:r>
      <w:r w:rsidR="00DE440E">
        <w:t>own terms to suit his purpose thus manipulating</w:t>
      </w:r>
      <w:r w:rsidR="006629FB">
        <w:t xml:space="preserve"> the text to suit his intended </w:t>
      </w:r>
      <w:r w:rsidR="00951BEE">
        <w:t>psycho</w:t>
      </w:r>
      <w:r w:rsidR="00316435">
        <w:t>analysis. ‘Freud has ignored the narrative strategies and textual devices employed (consciously/unconsciously) by Hoffman’</w:t>
      </w:r>
      <w:r w:rsidR="00316435">
        <w:rPr>
          <w:rStyle w:val="FootnoteReference"/>
        </w:rPr>
        <w:footnoteReference w:id="8"/>
      </w:r>
      <w:r w:rsidR="00F8341A">
        <w:t xml:space="preserve"> Through </w:t>
      </w:r>
      <w:r w:rsidR="0082502E">
        <w:t xml:space="preserve">Freud’s </w:t>
      </w:r>
      <w:r w:rsidR="00116D21">
        <w:t xml:space="preserve">paraphrasing </w:t>
      </w:r>
      <w:r w:rsidR="0082502E">
        <w:t xml:space="preserve">of </w:t>
      </w:r>
      <w:r w:rsidR="00116D21">
        <w:t>the n</w:t>
      </w:r>
      <w:r w:rsidR="00C841AE">
        <w:t>arrative in his own words, the claim is made</w:t>
      </w:r>
      <w:r w:rsidR="00116D21">
        <w:t xml:space="preserve"> that the scen</w:t>
      </w:r>
      <w:r w:rsidR="0069771E">
        <w:t xml:space="preserve">e with the father and Coppelius </w:t>
      </w:r>
      <w:r w:rsidR="0082502E">
        <w:t>(</w:t>
      </w:r>
      <w:r w:rsidR="0069771E">
        <w:t xml:space="preserve">in which Nathaniel is </w:t>
      </w:r>
      <w:r w:rsidR="00632AC1">
        <w:t xml:space="preserve">caught watching an </w:t>
      </w:r>
      <w:r w:rsidR="001D45DD">
        <w:t>experiment,</w:t>
      </w:r>
      <w:r w:rsidR="0082502E">
        <w:t>)</w:t>
      </w:r>
      <w:r w:rsidR="001D45DD">
        <w:t xml:space="preserve"> </w:t>
      </w:r>
      <w:r w:rsidR="00D34292">
        <w:t>is</w:t>
      </w:r>
      <w:r w:rsidR="0069771E">
        <w:t xml:space="preserve"> linked to fear of castration </w:t>
      </w:r>
      <w:r w:rsidR="00197398">
        <w:t xml:space="preserve">(this is made </w:t>
      </w:r>
      <w:r w:rsidR="0069771E">
        <w:t xml:space="preserve">in relation to the </w:t>
      </w:r>
      <w:r w:rsidR="001D45DD">
        <w:t>symbol</w:t>
      </w:r>
      <w:r w:rsidR="0082502E">
        <w:t xml:space="preserve">ism Freud places on the </w:t>
      </w:r>
      <w:r w:rsidR="001D45DD">
        <w:t xml:space="preserve">eyes and the </w:t>
      </w:r>
      <w:r w:rsidR="0069771E">
        <w:t>poss</w:t>
      </w:r>
      <w:r w:rsidR="001D45DD">
        <w:t>ibility of losing them</w:t>
      </w:r>
      <w:r w:rsidR="00197398">
        <w:t>.)</w:t>
      </w:r>
      <w:r w:rsidR="0069771E">
        <w:t xml:space="preserve"> Through </w:t>
      </w:r>
      <w:r w:rsidR="00197398">
        <w:t xml:space="preserve">the </w:t>
      </w:r>
      <w:r w:rsidR="00CC305A">
        <w:t>rise of Nathaniel’s</w:t>
      </w:r>
      <w:r w:rsidR="001B7FBF">
        <w:t xml:space="preserve"> Oedipal complex and due to the fact that his complex never reaches the resolution stage,</w:t>
      </w:r>
      <w:r w:rsidR="00E93D03">
        <w:t xml:space="preserve"> Freud claims</w:t>
      </w:r>
      <w:r w:rsidR="001B7FBF">
        <w:t xml:space="preserve"> </w:t>
      </w:r>
      <w:r w:rsidR="0069771E">
        <w:t xml:space="preserve">repetition </w:t>
      </w:r>
      <w:r w:rsidR="001B7FBF">
        <w:t xml:space="preserve">then </w:t>
      </w:r>
      <w:r w:rsidR="0069771E">
        <w:t>occurs in a distorted form</w:t>
      </w:r>
      <w:r w:rsidR="001B7FBF">
        <w:t xml:space="preserve"> of the uncanny</w:t>
      </w:r>
      <w:r w:rsidR="0069771E">
        <w:t>.</w:t>
      </w:r>
      <w:r w:rsidR="00F36D26">
        <w:t xml:space="preserve"> </w:t>
      </w:r>
    </w:p>
    <w:p w14:paraId="5350A2D0" w14:textId="0445BEF3" w:rsidR="00E55F53" w:rsidRDefault="001D413C">
      <w:r>
        <w:t xml:space="preserve">      </w:t>
      </w:r>
      <w:r w:rsidR="00DC6C3C">
        <w:t xml:space="preserve"> The second instance where Freud </w:t>
      </w:r>
      <w:r>
        <w:t>makes a mistake in</w:t>
      </w:r>
      <w:r w:rsidR="00E923C1">
        <w:t xml:space="preserve"> stabilising </w:t>
      </w:r>
      <w:r w:rsidR="00E3116A">
        <w:t>the text</w:t>
      </w:r>
      <w:r w:rsidR="00693679">
        <w:t xml:space="preserve"> through his paraphrased narration when</w:t>
      </w:r>
      <w:r w:rsidR="0026704C">
        <w:t xml:space="preserve"> he report</w:t>
      </w:r>
      <w:r w:rsidR="00591C90">
        <w:t>s</w:t>
      </w:r>
      <w:r w:rsidR="00E923C1">
        <w:t xml:space="preserve"> that Coppelius and Coppola are the same person. Hertz argues that Freud has no authority to make this judgement. Through paraphrasing the text Freu</w:t>
      </w:r>
      <w:r w:rsidR="007B20DE">
        <w:t>d is ironing out the incongruities</w:t>
      </w:r>
      <w:r w:rsidR="00E923C1">
        <w:t xml:space="preserve"> of the story in order to arrive at his psychoanalysis. </w:t>
      </w:r>
      <w:r w:rsidR="006C5A79">
        <w:t>To Freud, the role of repression produces the uncanny. ‘The unheimlich is what was once Heimlich, familiar, the prefix ‘un’ in the token of repression’</w:t>
      </w:r>
      <w:r w:rsidR="006C5A79">
        <w:rPr>
          <w:rStyle w:val="FootnoteReference"/>
        </w:rPr>
        <w:footnoteReference w:id="9"/>
      </w:r>
      <w:r w:rsidR="006472C3">
        <w:t xml:space="preserve"> </w:t>
      </w:r>
    </w:p>
    <w:p w14:paraId="2F6ACB56" w14:textId="54F483B0" w:rsidR="007B20DE" w:rsidRDefault="007B20DE">
      <w:r>
        <w:t xml:space="preserve">   Hertz argues that it is the ambiguity of the language that triggers the uncanny. </w:t>
      </w:r>
      <w:r w:rsidR="002E27F0">
        <w:t>I</w:t>
      </w:r>
      <w:r w:rsidR="00903372">
        <w:t>nstance</w:t>
      </w:r>
      <w:r w:rsidR="002E27F0">
        <w:t>s</w:t>
      </w:r>
      <w:r w:rsidR="00903372">
        <w:t xml:space="preserve"> of this are</w:t>
      </w:r>
      <w:r>
        <w:t xml:space="preserve"> </w:t>
      </w:r>
      <w:r w:rsidR="002E27F0">
        <w:t xml:space="preserve">notable in </w:t>
      </w:r>
      <w:r>
        <w:t>the figures of repetition</w:t>
      </w:r>
      <w:r w:rsidR="007D30AD">
        <w:t xml:space="preserve"> throughout the story</w:t>
      </w:r>
      <w:r>
        <w:t>, C</w:t>
      </w:r>
      <w:r w:rsidR="00DD359C">
        <w:t xml:space="preserve">oppelius and Coppola, repetition and similarity of their names, </w:t>
      </w:r>
      <w:r>
        <w:t>and the fact that it is never announced definitively that they are the same person</w:t>
      </w:r>
      <w:r w:rsidR="00CD74EA">
        <w:t xml:space="preserve">. The repetition of eyes, Coppola selling the eye-glasses, the Sandman coming for children’s eye’s, Olympia losing hers. It’s the repetition of </w:t>
      </w:r>
      <w:r w:rsidR="008A6754">
        <w:t xml:space="preserve">ambiguity in </w:t>
      </w:r>
      <w:r w:rsidR="00CD74EA">
        <w:t>the language that causes the eerie feel of the uncanny in Hertz opinion. Another instance of the text being ambiguous and unstable is with regards to Ol</w:t>
      </w:r>
      <w:r w:rsidR="006C6A7B">
        <w:t>ympia, the language used by</w:t>
      </w:r>
      <w:r w:rsidR="00CD74EA">
        <w:t xml:space="preserve"> </w:t>
      </w:r>
      <w:r w:rsidR="007B2DF4">
        <w:t>S</w:t>
      </w:r>
      <w:r w:rsidR="007F4846">
        <w:t>e</w:t>
      </w:r>
      <w:r w:rsidR="007B2DF4">
        <w:t>igmund</w:t>
      </w:r>
      <w:r w:rsidR="00CD74EA">
        <w:t xml:space="preserve"> is sensitive toward Nathaniel</w:t>
      </w:r>
      <w:r w:rsidR="008B2783">
        <w:t xml:space="preserve"> when he declares his love for her. Seigmund</w:t>
      </w:r>
      <w:r w:rsidR="00CD74EA">
        <w:t xml:space="preserve"> hints at what she is but never says. Later of course it becomes apparent </w:t>
      </w:r>
      <w:r w:rsidR="003C1EE5">
        <w:t>that she is an automaton,</w:t>
      </w:r>
      <w:r w:rsidR="00CD74EA">
        <w:t xml:space="preserve"> but the eerie feel of the uncanny comes with the deliberately ambivalent </w:t>
      </w:r>
      <w:r w:rsidR="007B2DF4">
        <w:t>language in regard</w:t>
      </w:r>
      <w:r w:rsidR="00CD74EA">
        <w:t xml:space="preserve"> to Nathaniel</w:t>
      </w:r>
      <w:r w:rsidR="007B2DF4">
        <w:t>’</w:t>
      </w:r>
      <w:r w:rsidR="00C13F76">
        <w:t>s blatant unaware</w:t>
      </w:r>
      <w:r w:rsidR="00571ACE">
        <w:t>ness to</w:t>
      </w:r>
      <w:r w:rsidR="00C13F76">
        <w:t xml:space="preserve"> the fact that she is an</w:t>
      </w:r>
      <w:r w:rsidR="000B43AD">
        <w:t xml:space="preserve"> automaton</w:t>
      </w:r>
      <w:r w:rsidR="00721E42">
        <w:t>.</w:t>
      </w:r>
      <w:r w:rsidR="00CD74EA">
        <w:t xml:space="preserve"> </w:t>
      </w:r>
      <w:r w:rsidR="00D95C1E">
        <w:t>The ambiguity of the text produces the uncanny instead of Freud’s claim that the uncanny factor in the story is Nathaniel’s childhood trauma/repression.</w:t>
      </w:r>
      <w:r w:rsidR="00501FA5">
        <w:t xml:space="preserve"> Freud is psych</w:t>
      </w:r>
      <w:r w:rsidR="00C43EB5">
        <w:t>o</w:t>
      </w:r>
      <w:r w:rsidR="00501FA5">
        <w:t xml:space="preserve">-biographizing the character of Nathaniel and not analysing the effect the ambiguity of the text </w:t>
      </w:r>
      <w:r w:rsidR="00BF56CE">
        <w:t>(</w:t>
      </w:r>
      <w:r w:rsidR="00501FA5">
        <w:t>through the use of lan</w:t>
      </w:r>
      <w:r w:rsidR="00417F7E">
        <w:t>guage</w:t>
      </w:r>
      <w:r w:rsidR="00BF56CE">
        <w:t>)</w:t>
      </w:r>
      <w:r w:rsidR="006C5832">
        <w:t xml:space="preserve"> as a </w:t>
      </w:r>
      <w:r w:rsidR="00417F7E">
        <w:t>trigger of the uncanny in the reader.</w:t>
      </w:r>
      <w:r w:rsidR="00501FA5">
        <w:t xml:space="preserve"> </w:t>
      </w:r>
      <w:r w:rsidR="00BF56CE">
        <w:t>‘…it may be what is unsettling, if not uncanny about ‘The Sandman’ is as much a function of its surface as of the depths it conceals’</w:t>
      </w:r>
      <w:r w:rsidR="00BF56CE">
        <w:rPr>
          <w:rStyle w:val="FootnoteReference"/>
        </w:rPr>
        <w:footnoteReference w:id="10"/>
      </w:r>
      <w:r w:rsidR="00721E42">
        <w:t xml:space="preserve"> </w:t>
      </w:r>
      <w:r w:rsidR="00C77447">
        <w:t xml:space="preserve">Interestingly, </w:t>
      </w:r>
      <w:r w:rsidR="00721E42">
        <w:t xml:space="preserve">in </w:t>
      </w:r>
      <w:r w:rsidR="005D2C6C">
        <w:t>my opninion</w:t>
      </w:r>
      <w:r w:rsidR="00721E42">
        <w:t xml:space="preserve"> as a reader the effect of the sensitive language used in this situation creates an eerie uncanny feel </w:t>
      </w:r>
      <w:r w:rsidR="0031331B">
        <w:t xml:space="preserve">in </w:t>
      </w:r>
      <w:r w:rsidR="00721E42">
        <w:t>comedic form with the obviousness that Olympia i</w:t>
      </w:r>
      <w:r w:rsidR="0031331B">
        <w:t>s portrayed in a mechanical and unhuman way that everyone else at the party seems to notice.</w:t>
      </w:r>
    </w:p>
    <w:p w14:paraId="1C3160B0" w14:textId="633C865A" w:rsidR="00A75FD1" w:rsidRDefault="00A75FD1">
      <w:r>
        <w:t xml:space="preserve">      One </w:t>
      </w:r>
      <w:r w:rsidR="00994202">
        <w:t>final example of how</w:t>
      </w:r>
      <w:r w:rsidR="00291260">
        <w:t xml:space="preserve"> post-structuralist criticism is evident in Neil Hertz ess</w:t>
      </w:r>
      <w:r w:rsidR="00A47B4E">
        <w:t xml:space="preserve">ay is in the focus he places on the </w:t>
      </w:r>
      <w:r w:rsidR="00291260">
        <w:t xml:space="preserve">language </w:t>
      </w:r>
      <w:r w:rsidR="00744211">
        <w:t xml:space="preserve">of </w:t>
      </w:r>
      <w:r w:rsidR="00A47B4E">
        <w:t xml:space="preserve">the text </w:t>
      </w:r>
      <w:r w:rsidR="00291260">
        <w:t>and the rhetorical effects they have on the reader. Hertz talk</w:t>
      </w:r>
      <w:r w:rsidR="005B58BE">
        <w:t>s</w:t>
      </w:r>
      <w:r w:rsidR="00291260">
        <w:t xml:space="preserve"> of images create</w:t>
      </w:r>
      <w:r w:rsidR="00DC6A31">
        <w:t>d in the short story that generate</w:t>
      </w:r>
      <w:r w:rsidR="00291260">
        <w:t xml:space="preserve"> effects on </w:t>
      </w:r>
      <w:r w:rsidR="005B58BE">
        <w:t>the reader and draw them energetically into the text:</w:t>
      </w:r>
    </w:p>
    <w:p w14:paraId="5D56DD5D" w14:textId="77777777" w:rsidR="005B58BE" w:rsidRDefault="005B58BE"/>
    <w:p w14:paraId="030866E4" w14:textId="78F2BEA7" w:rsidR="005C2A83" w:rsidRDefault="005B58BE">
      <w:r>
        <w:t xml:space="preserve">    It is as if Hoffmann had begun with the commonplace equation of poets, lovers, and madman, and then clustered together fragmentary versions of analogy so that the semantic overlapping and sheer accumulation of instances would dazzle his readers, as Nathaniael is dazzled by Coppola’s display of eye glasses: ‘Myriad eyes peered and blinked and stared up at Nathanael, who could not look away from the table, while Coppola continued putting down more and more eyeglasses; and flaming glances criss-crossed each other ever more wildly and shot their blood-red rays into Nathanael’s breast’ 156</w:t>
      </w:r>
      <w:r>
        <w:rPr>
          <w:rStyle w:val="FootnoteReference"/>
        </w:rPr>
        <w:footnoteReference w:id="11"/>
      </w:r>
    </w:p>
    <w:p w14:paraId="6B47FAF3" w14:textId="77777777" w:rsidR="00127BFD" w:rsidRDefault="00127BFD"/>
    <w:p w14:paraId="43731A03" w14:textId="36E32B3A" w:rsidR="00127BFD" w:rsidRDefault="00127BFD">
      <w:r>
        <w:t xml:space="preserve">     It is then, for the reader to elude as to what </w:t>
      </w:r>
      <w:r w:rsidR="006C3A1A">
        <w:t>meaning is determined from this</w:t>
      </w:r>
      <w:r w:rsidR="006A70B2">
        <w:t xml:space="preserve"> for them</w:t>
      </w:r>
      <w:r w:rsidR="006C3A1A">
        <w:t xml:space="preserve">. For </w:t>
      </w:r>
      <w:r w:rsidR="005B7E5A">
        <w:t>Hertz,</w:t>
      </w:r>
      <w:r w:rsidR="006C3A1A">
        <w:t xml:space="preserve"> this is </w:t>
      </w:r>
      <w:r w:rsidR="00A93218">
        <w:t>that ‘the story consistently presents the pathos (and, almost as often, the comedy) of the psychological/daemonic in language that draws on the vocabulary and topics of Romantic aesthetics.’</w:t>
      </w:r>
      <w:r w:rsidR="002B1E8C">
        <w:rPr>
          <w:rStyle w:val="FootnoteReference"/>
        </w:rPr>
        <w:footnoteReference w:id="12"/>
      </w:r>
    </w:p>
    <w:p w14:paraId="577AD3EF" w14:textId="69CD58CD" w:rsidR="00C35147" w:rsidRDefault="0085218E">
      <w:r>
        <w:t xml:space="preserve">     </w:t>
      </w:r>
      <w:r w:rsidR="001245F4">
        <w:t xml:space="preserve"> In conclusion, </w:t>
      </w:r>
      <w:r w:rsidR="001977B5">
        <w:t>encounters with post-structuralism</w:t>
      </w:r>
      <w:r w:rsidR="00CC492E">
        <w:t xml:space="preserve"> in my opinion</w:t>
      </w:r>
      <w:r w:rsidR="00A12FEC">
        <w:t xml:space="preserve"> </w:t>
      </w:r>
      <w:r w:rsidR="001977B5">
        <w:t xml:space="preserve">has re-shaped psychoanalytic criticism </w:t>
      </w:r>
      <w:r w:rsidR="00CC492E">
        <w:t xml:space="preserve">of literary texts </w:t>
      </w:r>
      <w:r w:rsidR="001977B5">
        <w:t>through</w:t>
      </w:r>
      <w:r w:rsidR="00A12FEC">
        <w:t xml:space="preserve"> emphasis</w:t>
      </w:r>
      <w:r w:rsidR="001977B5">
        <w:t xml:space="preserve"> being</w:t>
      </w:r>
      <w:r w:rsidR="00A12FEC">
        <w:t xml:space="preserve"> placed on the ‘literariness’</w:t>
      </w:r>
      <w:r w:rsidR="00CC492E">
        <w:t xml:space="preserve"> </w:t>
      </w:r>
      <w:r w:rsidR="001977B5">
        <w:t>by</w:t>
      </w:r>
      <w:r w:rsidR="00A12FEC">
        <w:t xml:space="preserve"> the use of language and not psycho-b</w:t>
      </w:r>
      <w:r w:rsidR="008C0377">
        <w:t>iography</w:t>
      </w:r>
      <w:r w:rsidR="008A37A7">
        <w:t>. A text unfolds</w:t>
      </w:r>
      <w:r w:rsidR="008A102B">
        <w:t xml:space="preserve"> within the reader, discovering</w:t>
      </w:r>
      <w:r w:rsidR="001977B5">
        <w:t xml:space="preserve"> a possible psychoanalysis of said text</w:t>
      </w:r>
      <w:r w:rsidR="00A12FEC">
        <w:t>. This a</w:t>
      </w:r>
      <w:r w:rsidR="00476803">
        <w:t>pproach does not claim to find the</w:t>
      </w:r>
      <w:r w:rsidR="00A12FEC">
        <w:t xml:space="preserve"> de</w:t>
      </w:r>
      <w:r w:rsidR="006353EC">
        <w:t xml:space="preserve">finitive intention of an author. It is </w:t>
      </w:r>
      <w:r w:rsidR="00D57206">
        <w:t xml:space="preserve">a </w:t>
      </w:r>
      <w:r w:rsidR="006353EC">
        <w:t>reader-centric</w:t>
      </w:r>
      <w:r w:rsidR="00CF3D84">
        <w:t xml:space="preserve"> approach</w:t>
      </w:r>
      <w:r w:rsidR="00476803">
        <w:t>,</w:t>
      </w:r>
      <w:r w:rsidR="008A102B">
        <w:t xml:space="preserve"> based on language</w:t>
      </w:r>
      <w:r w:rsidR="0038451E">
        <w:t xml:space="preserve"> and the effect of the rhetoric</w:t>
      </w:r>
      <w:r w:rsidR="008A102B">
        <w:t xml:space="preserve">, </w:t>
      </w:r>
      <w:r w:rsidR="00086BE0">
        <w:t xml:space="preserve">how a reader interprets </w:t>
      </w:r>
      <w:r w:rsidR="006353EC">
        <w:t>the text and</w:t>
      </w:r>
      <w:r w:rsidR="00C74190">
        <w:t xml:space="preserve"> the personal </w:t>
      </w:r>
      <w:r w:rsidR="00810FC3">
        <w:t>e</w:t>
      </w:r>
      <w:r w:rsidR="00C74190">
        <w:t>ffect a</w:t>
      </w:r>
      <w:r w:rsidR="006353EC">
        <w:t xml:space="preserve"> text has </w:t>
      </w:r>
      <w:r w:rsidR="00C74190">
        <w:t>on</w:t>
      </w:r>
      <w:r w:rsidR="00726EBB">
        <w:t xml:space="preserve"> a</w:t>
      </w:r>
      <w:r w:rsidR="006353EC">
        <w:t xml:space="preserve"> reader. </w:t>
      </w:r>
      <w:r w:rsidR="00CD1776">
        <w:t>A psychoanalyst can no longer definit</w:t>
      </w:r>
      <w:r w:rsidR="00B3065F">
        <w:t>iv</w:t>
      </w:r>
      <w:r w:rsidR="00CD1776">
        <w:t>ely claim</w:t>
      </w:r>
      <w:r w:rsidR="00561660">
        <w:t xml:space="preserve"> to have found author intention. </w:t>
      </w:r>
      <w:r w:rsidR="00CD1776">
        <w:t xml:space="preserve"> </w:t>
      </w:r>
      <w:r w:rsidR="00953A4D">
        <w:t xml:space="preserve">The </w:t>
      </w:r>
      <w:r w:rsidR="00CD1776">
        <w:t>‘literariness’</w:t>
      </w:r>
      <w:r w:rsidR="00B3065F">
        <w:t xml:space="preserve"> of a</w:t>
      </w:r>
      <w:r w:rsidR="00CD1776">
        <w:t xml:space="preserve"> text </w:t>
      </w:r>
      <w:r w:rsidR="00B3065F">
        <w:t>that</w:t>
      </w:r>
      <w:r w:rsidR="00CD1776">
        <w:t xml:space="preserve"> generates the reader’s ability to make a psychoanalytic critique. </w:t>
      </w:r>
      <w:r w:rsidR="0068374D">
        <w:t>‘Literary work is now no longer treated as a stable object of delimited structure.’</w:t>
      </w:r>
      <w:r w:rsidR="002C160D">
        <w:rPr>
          <w:rStyle w:val="FootnoteReference"/>
        </w:rPr>
        <w:footnoteReference w:id="13"/>
      </w:r>
      <w:r w:rsidR="00741DEB">
        <w:t xml:space="preserve"> </w:t>
      </w:r>
      <w:r w:rsidR="00561660">
        <w:t xml:space="preserve">Deconstruction acts as a mechanism used to undermine a text and prove the instability of claiming one definitive meaning. </w:t>
      </w:r>
    </w:p>
    <w:p w14:paraId="583FFD2F" w14:textId="5AD97B98" w:rsidR="00D13DFF" w:rsidRDefault="00D13DFF" w:rsidP="00D13DFF">
      <w:r>
        <w:t xml:space="preserve">    Finally, in the case of Freud</w:t>
      </w:r>
      <w:r w:rsidR="002C5AD7">
        <w:t xml:space="preserve"> in his essay on</w:t>
      </w:r>
      <w:r>
        <w:t xml:space="preserve"> ‘The Uncanny’ </w:t>
      </w:r>
      <w:r w:rsidR="00DB6AB9">
        <w:t>in becoming the narrator he exhibits a</w:t>
      </w:r>
      <w:r>
        <w:t xml:space="preserve"> specific agenda of portraying the text in order to psychoanalyse </w:t>
      </w:r>
      <w:r w:rsidR="00953A4D">
        <w:t xml:space="preserve">Nathaniel, claiming this, then claiming Hoffman’s authorial intention, </w:t>
      </w:r>
      <w:r>
        <w:t>uncovering the ‘true’ meaning of the text</w:t>
      </w:r>
      <w:r w:rsidR="006112E0">
        <w:t xml:space="preserve"> ‘subordinates everything to a single thematic motif</w:t>
      </w:r>
      <w:r>
        <w:t>.</w:t>
      </w:r>
      <w:r w:rsidR="006112E0">
        <w:t>’</w:t>
      </w:r>
      <w:r>
        <w:t xml:space="preserve"> This was a notable point of psychoanalysis before post-structuralism, Marie Bonaparte does the same in her reading of ‘The Black Cat’ by Poe, by ironing out the incongruities of the story in order to psychoanalyse the author. In doing so Bonaparte claims to have found the one and only meaning behind the text when in fact her reading lends itself open to deconstruction. </w:t>
      </w:r>
      <w:r w:rsidR="0070550A">
        <w:t xml:space="preserve">It </w:t>
      </w:r>
      <w:r w:rsidR="005B53F7">
        <w:t>appears</w:t>
      </w:r>
      <w:r w:rsidR="0070550A">
        <w:t xml:space="preserve"> that there has been;</w:t>
      </w:r>
    </w:p>
    <w:p w14:paraId="32F309C2" w14:textId="30CA342A" w:rsidR="00D13DFF" w:rsidRDefault="00D13DFF"/>
    <w:p w14:paraId="4C789C76" w14:textId="580680FC" w:rsidR="00C35147" w:rsidRDefault="00C35147">
      <w:r>
        <w:t>…a shift</w:t>
      </w:r>
      <w:r w:rsidR="0086623F">
        <w:t xml:space="preserve"> </w:t>
      </w:r>
      <w:r>
        <w:t>from seeing the poem or novel as a closed entity, equipped with definitive meanings which it is the critics task to decipher, to seeing it as irreducibly plural, an endless play of signifiers which can never be finally nailed down to a single centre, essence or meanin</w:t>
      </w:r>
      <w:r w:rsidR="0086623F">
        <w:t>g.</w:t>
      </w:r>
      <w:r w:rsidR="0086623F">
        <w:rPr>
          <w:rStyle w:val="FootnoteReference"/>
        </w:rPr>
        <w:footnoteReference w:id="14"/>
      </w:r>
    </w:p>
    <w:p w14:paraId="11DAD1A7" w14:textId="77777777" w:rsidR="00470466" w:rsidRDefault="00470466"/>
    <w:p w14:paraId="3441F604" w14:textId="77777777" w:rsidR="00D95554" w:rsidRDefault="00D95554"/>
    <w:p w14:paraId="6187B87D" w14:textId="37E655F4" w:rsidR="00D95554" w:rsidRDefault="00D95554">
      <w:r>
        <w:t>Bibliography</w:t>
      </w:r>
    </w:p>
    <w:p w14:paraId="2EBD86BA" w14:textId="77777777" w:rsidR="00D95554" w:rsidRDefault="00D95554"/>
    <w:p w14:paraId="1A7C36F4" w14:textId="6845F571" w:rsidR="00D95554" w:rsidRDefault="00D95554">
      <w:r>
        <w:t xml:space="preserve">Bowie, Malcolm, </w:t>
      </w:r>
      <w:r>
        <w:rPr>
          <w:i/>
        </w:rPr>
        <w:t>Lacan,</w:t>
      </w:r>
      <w:r>
        <w:t xml:space="preserve"> Fontana Modern Masters series (London: Fontana, 1991)</w:t>
      </w:r>
    </w:p>
    <w:p w14:paraId="3DFBACF0" w14:textId="4EFB0E16" w:rsidR="00D95554" w:rsidRDefault="00D95554">
      <w:r w:rsidRPr="00FE63DC">
        <w:t xml:space="preserve">Culler, Jonathan, </w:t>
      </w:r>
      <w:r w:rsidRPr="00FE63DC">
        <w:rPr>
          <w:i/>
        </w:rPr>
        <w:t>The Pursuit of Signs: Semiotics, Literature, Deconstruction</w:t>
      </w:r>
      <w:r w:rsidRPr="00FE63DC">
        <w:t xml:space="preserve"> (London; New York: Routledge, 1981</w:t>
      </w:r>
    </w:p>
    <w:p w14:paraId="7B263E90" w14:textId="053B102E" w:rsidR="00D95554" w:rsidRDefault="00D95554">
      <w:r w:rsidRPr="00D93C0A">
        <w:t xml:space="preserve">Eagleton, Terry, </w:t>
      </w:r>
      <w:r w:rsidRPr="00D93C0A">
        <w:rPr>
          <w:i/>
        </w:rPr>
        <w:t>Literary Theory: An Introduction</w:t>
      </w:r>
      <w:r w:rsidRPr="00D93C0A">
        <w:t xml:space="preserve"> (Oxford: Blackwell, 1983; reprinted several times)</w:t>
      </w:r>
    </w:p>
    <w:p w14:paraId="5260CADE" w14:textId="665389A0" w:rsidR="00FB6728" w:rsidRPr="00FB6728" w:rsidRDefault="00FB6728">
      <w:r w:rsidRPr="00FB6728">
        <w:t xml:space="preserve">Hertz, Neil, ‘Freud and the Sandman’, in </w:t>
      </w:r>
      <w:r w:rsidRPr="00FB6728">
        <w:rPr>
          <w:i/>
        </w:rPr>
        <w:t>Textual Strategies: Perspectives in Post-Structuralist Criticism</w:t>
      </w:r>
      <w:r w:rsidRPr="00FB6728">
        <w:t>, ed. by Josué Harari (London: Methuen, 1980), pp. 296-321</w:t>
      </w:r>
    </w:p>
    <w:p w14:paraId="2DD3BD4E" w14:textId="7DB7974F" w:rsidR="00FB6728" w:rsidRPr="00FB6728" w:rsidRDefault="00FB6728" w:rsidP="00FB6728">
      <w:pPr>
        <w:autoSpaceDE w:val="0"/>
        <w:autoSpaceDN w:val="0"/>
        <w:adjustRightInd w:val="0"/>
        <w:rPr>
          <w:rFonts w:cs="Courier New"/>
        </w:rPr>
      </w:pPr>
      <w:r w:rsidRPr="00FB6728">
        <w:rPr>
          <w:rFonts w:cs="Courier New"/>
        </w:rPr>
        <w:t xml:space="preserve">Hoffman, E.T.A., </w:t>
      </w:r>
      <w:r w:rsidRPr="00FB6728">
        <w:rPr>
          <w:rFonts w:cs="Courier New"/>
          <w:i/>
        </w:rPr>
        <w:t>The Sandman, The Elementary Spirit (Two Mysterious Tales)</w:t>
      </w:r>
      <w:r w:rsidRPr="00FB6728">
        <w:rPr>
          <w:rFonts w:cs="Courier New"/>
        </w:rPr>
        <w:t>, translated by John Oxenford, German Classics series (New York: Mondial, 2008)</w:t>
      </w:r>
    </w:p>
    <w:p w14:paraId="67A798F8" w14:textId="77777777" w:rsidR="00D95554" w:rsidRPr="00D95554" w:rsidRDefault="00D95554" w:rsidP="00D95554">
      <w:r w:rsidRPr="00D95554">
        <w:t xml:space="preserve">Wright, Elizabeth, </w:t>
      </w:r>
      <w:r w:rsidRPr="00D95554">
        <w:rPr>
          <w:i/>
        </w:rPr>
        <w:t>E.T.A. Hoffman and the Rhetoric of Terror: Aspects of Language Used for the Evocation of Fear</w:t>
      </w:r>
      <w:r w:rsidRPr="00D95554">
        <w:t>, Bithell Series of Dissertations (London: University of London, Institute of Germanic Studies)</w:t>
      </w:r>
    </w:p>
    <w:p w14:paraId="70BE38EC" w14:textId="63D5A5DE" w:rsidR="00D95554" w:rsidRDefault="00D95554">
      <w:r w:rsidRPr="00D95554">
        <w:t xml:space="preserve">Wright, Elizabeth, </w:t>
      </w:r>
      <w:r w:rsidRPr="00D95554">
        <w:rPr>
          <w:i/>
        </w:rPr>
        <w:t>Psychoanalytic Criticism: Theory in Practice</w:t>
      </w:r>
      <w:r w:rsidRPr="00D95554">
        <w:t>, New Accents series (London; New York: Routledge, 1984; reprinted with a new appendix 1987, and several times thereafter)</w:t>
      </w:r>
    </w:p>
    <w:p w14:paraId="48F385FD" w14:textId="77777777" w:rsidR="00FB6728" w:rsidRPr="00D95554" w:rsidRDefault="00FB6728"/>
    <w:p w14:paraId="105847D3" w14:textId="7D1A6CB5" w:rsidR="00D95554" w:rsidRDefault="0071535F">
      <w:hyperlink r:id="rId8" w:history="1">
        <w:r w:rsidR="00D95554" w:rsidRPr="00AB33B1">
          <w:rPr>
            <w:rStyle w:val="Hyperlink"/>
          </w:rPr>
          <w:t>http://www.jstor.org.ezproxy.uwtsd.ac.uk/stable/pdf/468561.pdf</w:t>
        </w:r>
      </w:hyperlink>
      <w:r w:rsidR="00D95554">
        <w:t xml:space="preserve"> </w:t>
      </w:r>
    </w:p>
    <w:p w14:paraId="7A1675A1" w14:textId="263AB0E0" w:rsidR="00D95554" w:rsidRDefault="0071535F">
      <w:hyperlink r:id="rId9" w:history="1">
        <w:r w:rsidR="00D95554" w:rsidRPr="00AB33B1">
          <w:rPr>
            <w:rStyle w:val="Hyperlink"/>
          </w:rPr>
          <w:t>http://www.jstor.org.ezproxy.uwtsd.ac.uk/stable/pdf/377671.pdf</w:t>
        </w:r>
      </w:hyperlink>
    </w:p>
    <w:p w14:paraId="277F28DE" w14:textId="288E7B3C" w:rsidR="00D95554" w:rsidRDefault="0071535F">
      <w:hyperlink r:id="rId10" w:history="1">
        <w:r w:rsidR="00D95554" w:rsidRPr="00AB33B1">
          <w:rPr>
            <w:rStyle w:val="Hyperlink"/>
          </w:rPr>
          <w:t>http://www.jstor.org.ezproxy.uwtsd.ac.uk/stable/pdf/1146830.pdf</w:t>
        </w:r>
      </w:hyperlink>
    </w:p>
    <w:p w14:paraId="46E282E2" w14:textId="77777777" w:rsidR="00D95554" w:rsidRDefault="00D95554"/>
    <w:sectPr w:rsidR="00D95554" w:rsidSect="002D65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FCC09" w14:textId="77777777" w:rsidR="0071535F" w:rsidRDefault="0071535F" w:rsidP="00EC651A">
      <w:r>
        <w:separator/>
      </w:r>
    </w:p>
  </w:endnote>
  <w:endnote w:type="continuationSeparator" w:id="0">
    <w:p w14:paraId="68E8CB97" w14:textId="77777777" w:rsidR="0071535F" w:rsidRDefault="0071535F" w:rsidP="00EC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roma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6F698" w14:textId="77777777" w:rsidR="0071535F" w:rsidRDefault="0071535F" w:rsidP="00EC651A">
      <w:r>
        <w:separator/>
      </w:r>
    </w:p>
  </w:footnote>
  <w:footnote w:type="continuationSeparator" w:id="0">
    <w:p w14:paraId="14A06027" w14:textId="77777777" w:rsidR="0071535F" w:rsidRDefault="0071535F" w:rsidP="00EC651A">
      <w:r>
        <w:continuationSeparator/>
      </w:r>
    </w:p>
  </w:footnote>
  <w:footnote w:id="1">
    <w:p w14:paraId="7307ECC8" w14:textId="77777777" w:rsidR="00FE63DC" w:rsidRPr="00FE63DC" w:rsidRDefault="00FE63DC" w:rsidP="00FE63DC">
      <w:pPr>
        <w:pStyle w:val="FootnoteText"/>
      </w:pPr>
      <w:r w:rsidRPr="00FE63DC">
        <w:rPr>
          <w:rStyle w:val="FootnoteReference"/>
        </w:rPr>
        <w:footnoteRef/>
      </w:r>
      <w:r w:rsidRPr="00FE63DC">
        <w:t xml:space="preserve"> Culler, Jonathan, </w:t>
      </w:r>
      <w:r w:rsidRPr="00FE63DC">
        <w:rPr>
          <w:i/>
        </w:rPr>
        <w:t>The Pursuit of Signs: Semiotics, Literature, Deconstruction</w:t>
      </w:r>
      <w:r w:rsidRPr="00FE63DC">
        <w:t xml:space="preserve"> (London; New York: Routledge, 1981),</w:t>
      </w:r>
      <w:r>
        <w:t xml:space="preserve"> p 41</w:t>
      </w:r>
    </w:p>
  </w:footnote>
  <w:footnote w:id="2">
    <w:p w14:paraId="61016731" w14:textId="22E7D61C" w:rsidR="00A372BE" w:rsidRDefault="00A372BE">
      <w:pPr>
        <w:pStyle w:val="FootnoteText"/>
      </w:pPr>
      <w:r>
        <w:rPr>
          <w:rStyle w:val="FootnoteReference"/>
        </w:rPr>
        <w:footnoteRef/>
      </w:r>
      <w:r>
        <w:t xml:space="preserve"> </w:t>
      </w:r>
      <w:r w:rsidRPr="00D93C0A">
        <w:t xml:space="preserve">Eagleton, Terry, </w:t>
      </w:r>
      <w:r w:rsidRPr="00D93C0A">
        <w:rPr>
          <w:i/>
        </w:rPr>
        <w:t>Literary Theory: An Introduction</w:t>
      </w:r>
      <w:r w:rsidRPr="00D93C0A">
        <w:t xml:space="preserve"> (Oxford: Blackwell, 1983; reprinted several times)</w:t>
      </w:r>
      <w:r>
        <w:t xml:space="preserve"> p 112</w:t>
      </w:r>
    </w:p>
  </w:footnote>
  <w:footnote w:id="3">
    <w:p w14:paraId="26C2B426" w14:textId="330DAA9E" w:rsidR="00D93C0A" w:rsidRDefault="00D93C0A">
      <w:pPr>
        <w:pStyle w:val="FootnoteText"/>
      </w:pPr>
      <w:r>
        <w:rPr>
          <w:rStyle w:val="FootnoteReference"/>
        </w:rPr>
        <w:footnoteRef/>
      </w:r>
      <w:r>
        <w:t xml:space="preserve"> </w:t>
      </w:r>
      <w:r w:rsidR="00A372BE">
        <w:t xml:space="preserve">Eagleton </w:t>
      </w:r>
      <w:r>
        <w:t>p 120</w:t>
      </w:r>
    </w:p>
  </w:footnote>
  <w:footnote w:id="4">
    <w:p w14:paraId="74574815" w14:textId="02520250" w:rsidR="00EC651A" w:rsidRPr="00EC651A" w:rsidRDefault="00EC651A">
      <w:pPr>
        <w:pStyle w:val="FootnoteText"/>
      </w:pPr>
      <w:r>
        <w:rPr>
          <w:rStyle w:val="FootnoteReference"/>
        </w:rPr>
        <w:footnoteRef/>
      </w:r>
      <w:r>
        <w:t xml:space="preserve"> Bowie, Malcolm, </w:t>
      </w:r>
      <w:r>
        <w:rPr>
          <w:i/>
        </w:rPr>
        <w:t>Lacan,</w:t>
      </w:r>
      <w:r>
        <w:t xml:space="preserve"> Fontana Modern Masters series (London: Fontana, 1991)</w:t>
      </w:r>
      <w:r w:rsidR="00D93C0A">
        <w:t xml:space="preserve"> p 64</w:t>
      </w:r>
    </w:p>
  </w:footnote>
  <w:footnote w:id="5">
    <w:p w14:paraId="72559BAA" w14:textId="559DA70C" w:rsidR="00741DEB" w:rsidRDefault="00741DEB">
      <w:pPr>
        <w:pStyle w:val="FootnoteText"/>
      </w:pPr>
      <w:r>
        <w:rPr>
          <w:rStyle w:val="FootnoteReference"/>
        </w:rPr>
        <w:footnoteRef/>
      </w:r>
      <w:r>
        <w:t xml:space="preserve"> Eagleton, p 116</w:t>
      </w:r>
    </w:p>
  </w:footnote>
  <w:footnote w:id="6">
    <w:p w14:paraId="6C326669" w14:textId="727B001A" w:rsidR="00B35672" w:rsidRDefault="00B35672" w:rsidP="00B35672">
      <w:r>
        <w:rPr>
          <w:rStyle w:val="FootnoteReference"/>
        </w:rPr>
        <w:footnoteRef/>
      </w:r>
      <w:r>
        <w:t xml:space="preserve"> </w:t>
      </w:r>
      <w:r w:rsidRPr="00D95554">
        <w:t xml:space="preserve">Wright, Elizabeth, </w:t>
      </w:r>
      <w:r w:rsidRPr="00D95554">
        <w:rPr>
          <w:i/>
        </w:rPr>
        <w:t>Psychoanalytic Criticism: Theory in Practice</w:t>
      </w:r>
      <w:r w:rsidRPr="00D95554">
        <w:t>, New Accents series (London; New York: Routledge, 1984; reprinted with a new appendix 1987, and several times thereafter)</w:t>
      </w:r>
      <w:r>
        <w:t xml:space="preserve"> p 135</w:t>
      </w:r>
    </w:p>
  </w:footnote>
  <w:footnote w:id="7">
    <w:p w14:paraId="3F59F87B" w14:textId="4CC4C8BE" w:rsidR="00ED638D" w:rsidRDefault="00ED638D">
      <w:pPr>
        <w:pStyle w:val="FootnoteText"/>
      </w:pPr>
      <w:r>
        <w:rPr>
          <w:rStyle w:val="FootnoteReference"/>
        </w:rPr>
        <w:footnoteRef/>
      </w:r>
      <w:r>
        <w:t xml:space="preserve"> Wright p 144</w:t>
      </w:r>
    </w:p>
  </w:footnote>
  <w:footnote w:id="8">
    <w:p w14:paraId="05CD401C" w14:textId="2CA4259C" w:rsidR="00316435" w:rsidRDefault="00316435">
      <w:pPr>
        <w:pStyle w:val="FootnoteText"/>
      </w:pPr>
      <w:r>
        <w:rPr>
          <w:rStyle w:val="FootnoteReference"/>
        </w:rPr>
        <w:footnoteRef/>
      </w:r>
      <w:r>
        <w:t xml:space="preserve"> Wright p 146</w:t>
      </w:r>
    </w:p>
  </w:footnote>
  <w:footnote w:id="9">
    <w:p w14:paraId="5D8104AE" w14:textId="66AD5591" w:rsidR="006C5A79" w:rsidRDefault="006C5A79">
      <w:pPr>
        <w:pStyle w:val="FootnoteText"/>
      </w:pPr>
      <w:r>
        <w:rPr>
          <w:rStyle w:val="FootnoteReference"/>
        </w:rPr>
        <w:footnoteRef/>
      </w:r>
      <w:r>
        <w:t xml:space="preserve"> Wright, p 146</w:t>
      </w:r>
    </w:p>
  </w:footnote>
  <w:footnote w:id="10">
    <w:p w14:paraId="406B3D3D" w14:textId="6280399A" w:rsidR="00BF56CE" w:rsidRDefault="00BF56CE">
      <w:pPr>
        <w:pStyle w:val="FootnoteText"/>
      </w:pPr>
      <w:r>
        <w:rPr>
          <w:rStyle w:val="FootnoteReference"/>
        </w:rPr>
        <w:footnoteRef/>
      </w:r>
      <w:r>
        <w:t xml:space="preserve"> </w:t>
      </w:r>
      <w:r w:rsidRPr="00FB6728">
        <w:t xml:space="preserve">Hertz, Neil, ‘Freud and the Sandman’, in </w:t>
      </w:r>
      <w:r w:rsidRPr="00FB6728">
        <w:rPr>
          <w:i/>
        </w:rPr>
        <w:t>Textual Strategies: Perspectives in Post-Structuralist Criticism</w:t>
      </w:r>
      <w:r w:rsidRPr="00FB6728">
        <w:t>, ed. by Josué Har</w:t>
      </w:r>
      <w:r>
        <w:t>ari (London: Methuen, 1980), p 304</w:t>
      </w:r>
    </w:p>
  </w:footnote>
  <w:footnote w:id="11">
    <w:p w14:paraId="3E85A89B" w14:textId="7717F38D" w:rsidR="005B58BE" w:rsidRDefault="005B58BE">
      <w:pPr>
        <w:pStyle w:val="FootnoteText"/>
      </w:pPr>
      <w:r>
        <w:rPr>
          <w:rStyle w:val="FootnoteReference"/>
        </w:rPr>
        <w:footnoteRef/>
      </w:r>
      <w:r>
        <w:t xml:space="preserve"> Hertz, p 308</w:t>
      </w:r>
    </w:p>
  </w:footnote>
  <w:footnote w:id="12">
    <w:p w14:paraId="044BA28F" w14:textId="3ABB422F" w:rsidR="002B1E8C" w:rsidRDefault="002B1E8C">
      <w:pPr>
        <w:pStyle w:val="FootnoteText"/>
      </w:pPr>
      <w:r>
        <w:rPr>
          <w:rStyle w:val="FootnoteReference"/>
        </w:rPr>
        <w:footnoteRef/>
      </w:r>
      <w:r>
        <w:t xml:space="preserve"> Hertz, p 308</w:t>
      </w:r>
    </w:p>
  </w:footnote>
  <w:footnote w:id="13">
    <w:p w14:paraId="29E69755" w14:textId="00164E24" w:rsidR="002C160D" w:rsidRDefault="002C160D">
      <w:pPr>
        <w:pStyle w:val="FootnoteText"/>
      </w:pPr>
      <w:r>
        <w:rPr>
          <w:rStyle w:val="FootnoteReference"/>
        </w:rPr>
        <w:footnoteRef/>
      </w:r>
      <w:r>
        <w:t xml:space="preserve"> </w:t>
      </w:r>
      <w:r w:rsidR="0043349C">
        <w:t>Eagleton, p 119</w:t>
      </w:r>
    </w:p>
  </w:footnote>
  <w:footnote w:id="14">
    <w:p w14:paraId="0C8F2136" w14:textId="68BB20DF" w:rsidR="0086623F" w:rsidRDefault="0086623F">
      <w:pPr>
        <w:pStyle w:val="FootnoteText"/>
      </w:pPr>
      <w:r>
        <w:rPr>
          <w:rStyle w:val="FootnoteReference"/>
        </w:rPr>
        <w:footnoteRef/>
      </w:r>
      <w:r>
        <w:t xml:space="preserve"> Eagleton p 120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5F4"/>
    <w:rsid w:val="000026B8"/>
    <w:rsid w:val="000156E2"/>
    <w:rsid w:val="00033613"/>
    <w:rsid w:val="0005387A"/>
    <w:rsid w:val="0005557A"/>
    <w:rsid w:val="0006007C"/>
    <w:rsid w:val="00086BE0"/>
    <w:rsid w:val="000907DD"/>
    <w:rsid w:val="000A7E3F"/>
    <w:rsid w:val="000B43AD"/>
    <w:rsid w:val="000D33EE"/>
    <w:rsid w:val="000F6331"/>
    <w:rsid w:val="000F6B92"/>
    <w:rsid w:val="00100BF7"/>
    <w:rsid w:val="00116D21"/>
    <w:rsid w:val="00122E50"/>
    <w:rsid w:val="001245F4"/>
    <w:rsid w:val="00127BFD"/>
    <w:rsid w:val="00137F67"/>
    <w:rsid w:val="00165217"/>
    <w:rsid w:val="001823DC"/>
    <w:rsid w:val="00197398"/>
    <w:rsid w:val="001977B5"/>
    <w:rsid w:val="001B7FBF"/>
    <w:rsid w:val="001C59D3"/>
    <w:rsid w:val="001D2673"/>
    <w:rsid w:val="001D30EC"/>
    <w:rsid w:val="001D413C"/>
    <w:rsid w:val="001D45DD"/>
    <w:rsid w:val="001F6B30"/>
    <w:rsid w:val="0025616A"/>
    <w:rsid w:val="00257CCA"/>
    <w:rsid w:val="002651FC"/>
    <w:rsid w:val="0026704C"/>
    <w:rsid w:val="0027790F"/>
    <w:rsid w:val="00291260"/>
    <w:rsid w:val="002A49F0"/>
    <w:rsid w:val="002B1E8C"/>
    <w:rsid w:val="002B343C"/>
    <w:rsid w:val="002C0AD4"/>
    <w:rsid w:val="002C160D"/>
    <w:rsid w:val="002C5AD7"/>
    <w:rsid w:val="002D6592"/>
    <w:rsid w:val="002E27F0"/>
    <w:rsid w:val="002E3DB4"/>
    <w:rsid w:val="002F460E"/>
    <w:rsid w:val="002F6928"/>
    <w:rsid w:val="0031331B"/>
    <w:rsid w:val="00314EF3"/>
    <w:rsid w:val="00316435"/>
    <w:rsid w:val="0031746E"/>
    <w:rsid w:val="0036232B"/>
    <w:rsid w:val="00367049"/>
    <w:rsid w:val="003703ED"/>
    <w:rsid w:val="003772CC"/>
    <w:rsid w:val="0038451E"/>
    <w:rsid w:val="003862BD"/>
    <w:rsid w:val="00392BC2"/>
    <w:rsid w:val="003C1EE5"/>
    <w:rsid w:val="003D52E9"/>
    <w:rsid w:val="003E3696"/>
    <w:rsid w:val="0040543A"/>
    <w:rsid w:val="00412C11"/>
    <w:rsid w:val="00417F7E"/>
    <w:rsid w:val="004331FE"/>
    <w:rsid w:val="0043349C"/>
    <w:rsid w:val="00444DEC"/>
    <w:rsid w:val="00445964"/>
    <w:rsid w:val="00470466"/>
    <w:rsid w:val="00476803"/>
    <w:rsid w:val="00477824"/>
    <w:rsid w:val="0048088A"/>
    <w:rsid w:val="00497F05"/>
    <w:rsid w:val="004A219B"/>
    <w:rsid w:val="004A3BCE"/>
    <w:rsid w:val="004D3102"/>
    <w:rsid w:val="005010F1"/>
    <w:rsid w:val="00501FA5"/>
    <w:rsid w:val="00506F0C"/>
    <w:rsid w:val="00512717"/>
    <w:rsid w:val="00512EC4"/>
    <w:rsid w:val="00521121"/>
    <w:rsid w:val="00551C3A"/>
    <w:rsid w:val="00561660"/>
    <w:rsid w:val="005675F8"/>
    <w:rsid w:val="00571ACE"/>
    <w:rsid w:val="005807AE"/>
    <w:rsid w:val="0059074D"/>
    <w:rsid w:val="00591C90"/>
    <w:rsid w:val="005A0831"/>
    <w:rsid w:val="005A133B"/>
    <w:rsid w:val="005A5620"/>
    <w:rsid w:val="005B53F7"/>
    <w:rsid w:val="005B58BE"/>
    <w:rsid w:val="005B7E5A"/>
    <w:rsid w:val="005C2A83"/>
    <w:rsid w:val="005C5459"/>
    <w:rsid w:val="005D2C6C"/>
    <w:rsid w:val="005E5217"/>
    <w:rsid w:val="005F1E53"/>
    <w:rsid w:val="006112E0"/>
    <w:rsid w:val="0062420A"/>
    <w:rsid w:val="00632AC1"/>
    <w:rsid w:val="006353EC"/>
    <w:rsid w:val="006472C3"/>
    <w:rsid w:val="006629FB"/>
    <w:rsid w:val="0068374D"/>
    <w:rsid w:val="00693679"/>
    <w:rsid w:val="0069771E"/>
    <w:rsid w:val="006A6F96"/>
    <w:rsid w:val="006A70B2"/>
    <w:rsid w:val="006B14D1"/>
    <w:rsid w:val="006C3A1A"/>
    <w:rsid w:val="006C5832"/>
    <w:rsid w:val="006C5A79"/>
    <w:rsid w:val="006C6A7B"/>
    <w:rsid w:val="006E18C4"/>
    <w:rsid w:val="006E1B11"/>
    <w:rsid w:val="006E6534"/>
    <w:rsid w:val="006F1D8E"/>
    <w:rsid w:val="0070550A"/>
    <w:rsid w:val="00713C5C"/>
    <w:rsid w:val="0071535F"/>
    <w:rsid w:val="00721E42"/>
    <w:rsid w:val="00725880"/>
    <w:rsid w:val="00726EBB"/>
    <w:rsid w:val="00741DEB"/>
    <w:rsid w:val="00744211"/>
    <w:rsid w:val="00775A66"/>
    <w:rsid w:val="00785477"/>
    <w:rsid w:val="007874FC"/>
    <w:rsid w:val="007B20DE"/>
    <w:rsid w:val="007B2BB4"/>
    <w:rsid w:val="007B2DF4"/>
    <w:rsid w:val="007D30AD"/>
    <w:rsid w:val="007E0CB2"/>
    <w:rsid w:val="007F4846"/>
    <w:rsid w:val="007F6EF2"/>
    <w:rsid w:val="00804E78"/>
    <w:rsid w:val="00810FC3"/>
    <w:rsid w:val="008152D0"/>
    <w:rsid w:val="0082502E"/>
    <w:rsid w:val="00845B5C"/>
    <w:rsid w:val="0085218E"/>
    <w:rsid w:val="00860971"/>
    <w:rsid w:val="00861C0C"/>
    <w:rsid w:val="0086623F"/>
    <w:rsid w:val="008A102B"/>
    <w:rsid w:val="008A37A7"/>
    <w:rsid w:val="008A6754"/>
    <w:rsid w:val="008B2783"/>
    <w:rsid w:val="008B6784"/>
    <w:rsid w:val="008C0377"/>
    <w:rsid w:val="00903372"/>
    <w:rsid w:val="00935EC9"/>
    <w:rsid w:val="00951BEE"/>
    <w:rsid w:val="00953A4D"/>
    <w:rsid w:val="00953C98"/>
    <w:rsid w:val="00994202"/>
    <w:rsid w:val="009B3E99"/>
    <w:rsid w:val="009E52E1"/>
    <w:rsid w:val="00A07A5D"/>
    <w:rsid w:val="00A12FEC"/>
    <w:rsid w:val="00A133F0"/>
    <w:rsid w:val="00A23E35"/>
    <w:rsid w:val="00A308C1"/>
    <w:rsid w:val="00A372BE"/>
    <w:rsid w:val="00A437E9"/>
    <w:rsid w:val="00A47B4E"/>
    <w:rsid w:val="00A67C0C"/>
    <w:rsid w:val="00A706F6"/>
    <w:rsid w:val="00A70CFE"/>
    <w:rsid w:val="00A75FD1"/>
    <w:rsid w:val="00A8422D"/>
    <w:rsid w:val="00A93218"/>
    <w:rsid w:val="00AA6520"/>
    <w:rsid w:val="00AB58F2"/>
    <w:rsid w:val="00AF0A27"/>
    <w:rsid w:val="00AF5438"/>
    <w:rsid w:val="00B26798"/>
    <w:rsid w:val="00B26C1A"/>
    <w:rsid w:val="00B27176"/>
    <w:rsid w:val="00B3065F"/>
    <w:rsid w:val="00B33F87"/>
    <w:rsid w:val="00B35672"/>
    <w:rsid w:val="00BD5D24"/>
    <w:rsid w:val="00BF56CE"/>
    <w:rsid w:val="00BF5779"/>
    <w:rsid w:val="00C03813"/>
    <w:rsid w:val="00C13F76"/>
    <w:rsid w:val="00C2195E"/>
    <w:rsid w:val="00C35147"/>
    <w:rsid w:val="00C36681"/>
    <w:rsid w:val="00C43EB5"/>
    <w:rsid w:val="00C64E50"/>
    <w:rsid w:val="00C74190"/>
    <w:rsid w:val="00C77447"/>
    <w:rsid w:val="00C80C24"/>
    <w:rsid w:val="00C841AE"/>
    <w:rsid w:val="00CB0194"/>
    <w:rsid w:val="00CC305A"/>
    <w:rsid w:val="00CC492E"/>
    <w:rsid w:val="00CD1776"/>
    <w:rsid w:val="00CD74EA"/>
    <w:rsid w:val="00CF3748"/>
    <w:rsid w:val="00CF3D84"/>
    <w:rsid w:val="00D13DFF"/>
    <w:rsid w:val="00D25098"/>
    <w:rsid w:val="00D34292"/>
    <w:rsid w:val="00D440E3"/>
    <w:rsid w:val="00D50E7C"/>
    <w:rsid w:val="00D57206"/>
    <w:rsid w:val="00D6029D"/>
    <w:rsid w:val="00D660A9"/>
    <w:rsid w:val="00D80367"/>
    <w:rsid w:val="00D80C78"/>
    <w:rsid w:val="00D83C14"/>
    <w:rsid w:val="00D920FB"/>
    <w:rsid w:val="00D93948"/>
    <w:rsid w:val="00D93C0A"/>
    <w:rsid w:val="00D95554"/>
    <w:rsid w:val="00D95C1E"/>
    <w:rsid w:val="00DB6AB9"/>
    <w:rsid w:val="00DC6A31"/>
    <w:rsid w:val="00DC6C3C"/>
    <w:rsid w:val="00DD359C"/>
    <w:rsid w:val="00DE04AB"/>
    <w:rsid w:val="00DE42D2"/>
    <w:rsid w:val="00DE440E"/>
    <w:rsid w:val="00E226F2"/>
    <w:rsid w:val="00E3116A"/>
    <w:rsid w:val="00E55F53"/>
    <w:rsid w:val="00E81DE6"/>
    <w:rsid w:val="00E923C1"/>
    <w:rsid w:val="00E93D03"/>
    <w:rsid w:val="00EC651A"/>
    <w:rsid w:val="00ED3A52"/>
    <w:rsid w:val="00ED638D"/>
    <w:rsid w:val="00F06BE6"/>
    <w:rsid w:val="00F240A8"/>
    <w:rsid w:val="00F25BBF"/>
    <w:rsid w:val="00F32B24"/>
    <w:rsid w:val="00F36D26"/>
    <w:rsid w:val="00F463BF"/>
    <w:rsid w:val="00F47744"/>
    <w:rsid w:val="00F51A2C"/>
    <w:rsid w:val="00F65E1F"/>
    <w:rsid w:val="00F72ECD"/>
    <w:rsid w:val="00F8341A"/>
    <w:rsid w:val="00F86B5E"/>
    <w:rsid w:val="00FA46EF"/>
    <w:rsid w:val="00FB6728"/>
    <w:rsid w:val="00FE6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2FE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A133F0"/>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A133F0"/>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C651A"/>
  </w:style>
  <w:style w:type="character" w:customStyle="1" w:styleId="FootnoteTextChar">
    <w:name w:val="Footnote Text Char"/>
    <w:basedOn w:val="DefaultParagraphFont"/>
    <w:link w:val="FootnoteText"/>
    <w:uiPriority w:val="99"/>
    <w:rsid w:val="00EC651A"/>
  </w:style>
  <w:style w:type="character" w:styleId="FootnoteReference">
    <w:name w:val="footnote reference"/>
    <w:basedOn w:val="DefaultParagraphFont"/>
    <w:uiPriority w:val="99"/>
    <w:unhideWhenUsed/>
    <w:rsid w:val="00EC651A"/>
    <w:rPr>
      <w:vertAlign w:val="superscript"/>
    </w:rPr>
  </w:style>
  <w:style w:type="character" w:styleId="Hyperlink">
    <w:name w:val="Hyperlink"/>
    <w:basedOn w:val="DefaultParagraphFont"/>
    <w:uiPriority w:val="99"/>
    <w:unhideWhenUsed/>
    <w:rsid w:val="00D95554"/>
    <w:rPr>
      <w:color w:val="0563C1" w:themeColor="hyperlink"/>
      <w:u w:val="single"/>
    </w:rPr>
  </w:style>
  <w:style w:type="character" w:customStyle="1" w:styleId="Heading1Char">
    <w:name w:val="Heading 1 Char"/>
    <w:basedOn w:val="DefaultParagraphFont"/>
    <w:link w:val="Heading1"/>
    <w:rsid w:val="00A133F0"/>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133F0"/>
    <w:rPr>
      <w:rFonts w:ascii="Tahoma" w:eastAsia="SimSun" w:hAnsi="Tahoma" w:cs="Tahoma"/>
      <w:b/>
      <w:bCs/>
      <w:sz w:val="20"/>
      <w:szCs w:val="20"/>
      <w:lang w:eastAsia="zh-CN"/>
    </w:rPr>
  </w:style>
  <w:style w:type="paragraph" w:styleId="NormalWeb">
    <w:name w:val="Normal (Web)"/>
    <w:basedOn w:val="Normal"/>
    <w:rsid w:val="00A133F0"/>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jstor.org.ezproxy.uwtsd.ac.uk/stable/pdf/468561.pdf" TargetMode="External"/><Relationship Id="rId9" Type="http://schemas.openxmlformats.org/officeDocument/2006/relationships/hyperlink" Target="http://www.jstor.org.ezproxy.uwtsd.ac.uk/stable/pdf/377671.pdf" TargetMode="External"/><Relationship Id="rId10" Type="http://schemas.openxmlformats.org/officeDocument/2006/relationships/hyperlink" Target="http://www.jstor.org.ezproxy.uwtsd.ac.uk/stable/pdf/11468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D6D8909-FC9A-DB48-99E9-7DA53E40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Pages>
  <Words>2274</Words>
  <Characters>12193</Characters>
  <Application>Microsoft Macintosh Word</Application>
  <DocSecurity>0</DocSecurity>
  <Lines>187</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87</cp:revision>
  <dcterms:created xsi:type="dcterms:W3CDTF">2017-11-30T21:20:00Z</dcterms:created>
  <dcterms:modified xsi:type="dcterms:W3CDTF">2017-11-30T23:23:00Z</dcterms:modified>
</cp:coreProperties>
</file>