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F1117" w14:textId="77777777" w:rsidR="001A5831" w:rsidRDefault="001A5831" w:rsidP="00856F0D">
      <w:pPr>
        <w:spacing w:line="360" w:lineRule="auto"/>
        <w:rPr>
          <w:rFonts w:ascii="Times New Roman" w:hAnsi="Times New Roman" w:cs="Times New Roman"/>
          <w:b/>
          <w:sz w:val="32"/>
          <w:szCs w:val="32"/>
        </w:rPr>
      </w:pPr>
    </w:p>
    <w:p w14:paraId="21B65F11" w14:textId="2B968D20" w:rsidR="001A5831" w:rsidRDefault="001A5831" w:rsidP="00375D8D">
      <w:pPr>
        <w:spacing w:line="360" w:lineRule="auto"/>
        <w:rPr>
          <w:rFonts w:ascii="Times New Roman" w:hAnsi="Times New Roman" w:cs="Times New Roman"/>
          <w:b/>
          <w:sz w:val="32"/>
          <w:szCs w:val="32"/>
        </w:rPr>
      </w:pPr>
    </w:p>
    <w:p w14:paraId="49B0C85C" w14:textId="77777777" w:rsidR="005A0B37" w:rsidRDefault="005A0B37" w:rsidP="00375D8D">
      <w:pPr>
        <w:spacing w:line="360" w:lineRule="auto"/>
        <w:rPr>
          <w:rFonts w:ascii="Times New Roman" w:hAnsi="Times New Roman" w:cs="Times New Roman"/>
          <w:b/>
          <w:sz w:val="32"/>
          <w:szCs w:val="32"/>
        </w:rPr>
      </w:pPr>
    </w:p>
    <w:p w14:paraId="7515BFB6" w14:textId="709BD625" w:rsidR="00276C2B" w:rsidRDefault="00520BF3" w:rsidP="00375D8D">
      <w:pPr>
        <w:spacing w:line="360" w:lineRule="auto"/>
        <w:jc w:val="center"/>
        <w:rPr>
          <w:rFonts w:ascii="Times New Roman" w:hAnsi="Times New Roman" w:cs="Times New Roman"/>
          <w:b/>
          <w:sz w:val="32"/>
          <w:szCs w:val="32"/>
        </w:rPr>
      </w:pPr>
      <w:r>
        <w:rPr>
          <w:rFonts w:ascii="Times New Roman" w:hAnsi="Times New Roman" w:cs="Times New Roman"/>
          <w:b/>
          <w:noProof/>
          <w:sz w:val="32"/>
          <w:szCs w:val="32"/>
        </w:rPr>
        <w:drawing>
          <wp:inline distT="0" distB="0" distL="0" distR="0" wp14:anchorId="3CA04605" wp14:editId="6747A4A6">
            <wp:extent cx="2674800" cy="133920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74800" cy="1339200"/>
                    </a:xfrm>
                    <a:prstGeom prst="rect">
                      <a:avLst/>
                    </a:prstGeom>
                  </pic:spPr>
                </pic:pic>
              </a:graphicData>
            </a:graphic>
          </wp:inline>
        </w:drawing>
      </w:r>
    </w:p>
    <w:p w14:paraId="6D5CA7ED" w14:textId="653E8C3B" w:rsidR="00375D8D" w:rsidRPr="005A0B37" w:rsidRDefault="00375D8D" w:rsidP="00375D8D">
      <w:pPr>
        <w:spacing w:line="360" w:lineRule="auto"/>
        <w:jc w:val="center"/>
        <w:rPr>
          <w:rFonts w:ascii="Times New Roman" w:hAnsi="Times New Roman" w:cs="Times New Roman"/>
          <w:bCs/>
          <w:sz w:val="28"/>
          <w:szCs w:val="28"/>
        </w:rPr>
      </w:pPr>
      <w:r w:rsidRPr="005A0B37">
        <w:rPr>
          <w:rFonts w:ascii="Times New Roman" w:hAnsi="Times New Roman" w:cs="Times New Roman"/>
          <w:bCs/>
          <w:sz w:val="28"/>
          <w:szCs w:val="28"/>
        </w:rPr>
        <w:t>The Keys laws, regulations</w:t>
      </w:r>
      <w:r w:rsidR="00E17740" w:rsidRPr="005A0B37">
        <w:rPr>
          <w:rFonts w:ascii="Times New Roman" w:hAnsi="Times New Roman" w:cs="Times New Roman"/>
          <w:bCs/>
          <w:sz w:val="28"/>
          <w:szCs w:val="28"/>
        </w:rPr>
        <w:t>,</w:t>
      </w:r>
      <w:r w:rsidRPr="005A0B37">
        <w:rPr>
          <w:rFonts w:ascii="Times New Roman" w:hAnsi="Times New Roman" w:cs="Times New Roman"/>
          <w:bCs/>
          <w:sz w:val="28"/>
          <w:szCs w:val="28"/>
        </w:rPr>
        <w:t xml:space="preserve"> and </w:t>
      </w:r>
      <w:r w:rsidR="005A0B37" w:rsidRPr="005A0B37">
        <w:rPr>
          <w:rFonts w:ascii="Times New Roman" w:hAnsi="Times New Roman" w:cs="Times New Roman"/>
          <w:bCs/>
          <w:sz w:val="28"/>
          <w:szCs w:val="28"/>
        </w:rPr>
        <w:t>contracts</w:t>
      </w:r>
      <w:r w:rsidRPr="005A0B37">
        <w:rPr>
          <w:rFonts w:ascii="Times New Roman" w:hAnsi="Times New Roman" w:cs="Times New Roman"/>
          <w:bCs/>
          <w:sz w:val="28"/>
          <w:szCs w:val="28"/>
        </w:rPr>
        <w:t xml:space="preserve"> that were enacted post the 2008 financial crisis by the United Kingdom and </w:t>
      </w:r>
      <w:r w:rsidR="005A0B37" w:rsidRPr="005A0B37">
        <w:rPr>
          <w:rFonts w:ascii="Times New Roman" w:hAnsi="Times New Roman" w:cs="Times New Roman"/>
          <w:bCs/>
          <w:sz w:val="28"/>
          <w:szCs w:val="28"/>
        </w:rPr>
        <w:t xml:space="preserve">the </w:t>
      </w:r>
      <w:r w:rsidRPr="005A0B37">
        <w:rPr>
          <w:rFonts w:ascii="Times New Roman" w:hAnsi="Times New Roman" w:cs="Times New Roman"/>
          <w:bCs/>
          <w:sz w:val="28"/>
          <w:szCs w:val="28"/>
        </w:rPr>
        <w:t xml:space="preserve">extent to </w:t>
      </w:r>
      <w:r w:rsidR="005A0B37" w:rsidRPr="005A0B37">
        <w:rPr>
          <w:rFonts w:ascii="Times New Roman" w:hAnsi="Times New Roman" w:cs="Times New Roman"/>
          <w:bCs/>
          <w:sz w:val="28"/>
          <w:szCs w:val="28"/>
        </w:rPr>
        <w:t xml:space="preserve">which </w:t>
      </w:r>
      <w:r w:rsidRPr="005A0B37">
        <w:rPr>
          <w:rFonts w:ascii="Times New Roman" w:hAnsi="Times New Roman" w:cs="Times New Roman"/>
          <w:bCs/>
          <w:sz w:val="28"/>
          <w:szCs w:val="28"/>
        </w:rPr>
        <w:t>these reforms have had an impact on Lloyds Bank.</w:t>
      </w:r>
    </w:p>
    <w:p w14:paraId="3E217732" w14:textId="77777777" w:rsidR="00375D8D" w:rsidRDefault="00375D8D" w:rsidP="00375D8D">
      <w:pPr>
        <w:spacing w:line="360" w:lineRule="auto"/>
        <w:jc w:val="center"/>
        <w:rPr>
          <w:rFonts w:ascii="Times New Roman" w:hAnsi="Times New Roman" w:cs="Times New Roman"/>
          <w:b/>
          <w:sz w:val="32"/>
          <w:szCs w:val="32"/>
        </w:rPr>
      </w:pPr>
    </w:p>
    <w:p w14:paraId="0DA6381F" w14:textId="24E6A00B" w:rsidR="00254AA2" w:rsidRDefault="00254AA2" w:rsidP="00942986">
      <w:pPr>
        <w:spacing w:line="360" w:lineRule="auto"/>
        <w:jc w:val="center"/>
        <w:rPr>
          <w:rFonts w:ascii="Times New Roman" w:hAnsi="Times New Roman" w:cs="Times New Roman"/>
          <w:b/>
          <w:sz w:val="32"/>
          <w:szCs w:val="32"/>
        </w:rPr>
      </w:pPr>
      <w:r>
        <w:rPr>
          <w:rFonts w:ascii="Times New Roman" w:hAnsi="Times New Roman" w:cs="Times New Roman"/>
          <w:b/>
          <w:noProof/>
          <w:sz w:val="32"/>
          <w:szCs w:val="32"/>
        </w:rPr>
        <w:drawing>
          <wp:inline distT="0" distB="0" distL="0" distR="0" wp14:anchorId="6D7FACE0" wp14:editId="16CE642C">
            <wp:extent cx="3247200" cy="1706400"/>
            <wp:effectExtent l="0" t="0" r="0" b="0"/>
            <wp:docPr id="5" name="Picture 5" descr="A black horse with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ack horse with a white background&#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247200" cy="1706400"/>
                    </a:xfrm>
                    <a:prstGeom prst="rect">
                      <a:avLst/>
                    </a:prstGeom>
                  </pic:spPr>
                </pic:pic>
              </a:graphicData>
            </a:graphic>
          </wp:inline>
        </w:drawing>
      </w:r>
    </w:p>
    <w:p w14:paraId="3E968888" w14:textId="77777777" w:rsidR="00375D8D" w:rsidRDefault="00375D8D" w:rsidP="00942986">
      <w:pPr>
        <w:spacing w:line="360" w:lineRule="auto"/>
        <w:jc w:val="center"/>
        <w:rPr>
          <w:rFonts w:ascii="Times New Roman" w:hAnsi="Times New Roman" w:cs="Times New Roman"/>
          <w:b/>
          <w:sz w:val="32"/>
          <w:szCs w:val="32"/>
        </w:rPr>
      </w:pPr>
    </w:p>
    <w:p w14:paraId="6E009633" w14:textId="216D0F7C" w:rsidR="00520BF3" w:rsidRPr="005A0B37" w:rsidRDefault="00520BF3" w:rsidP="00942986">
      <w:pPr>
        <w:spacing w:line="360" w:lineRule="auto"/>
        <w:jc w:val="center"/>
        <w:rPr>
          <w:rFonts w:ascii="Times New Roman" w:hAnsi="Times New Roman" w:cs="Times New Roman"/>
          <w:bCs/>
          <w:sz w:val="28"/>
          <w:szCs w:val="28"/>
        </w:rPr>
      </w:pPr>
      <w:r w:rsidRPr="005A0B37">
        <w:rPr>
          <w:rFonts w:ascii="Times New Roman" w:hAnsi="Times New Roman" w:cs="Times New Roman"/>
          <w:bCs/>
          <w:sz w:val="28"/>
          <w:szCs w:val="28"/>
        </w:rPr>
        <w:t>Name</w:t>
      </w:r>
      <w:r w:rsidR="00375D8D" w:rsidRPr="005A0B37">
        <w:rPr>
          <w:rFonts w:ascii="Times New Roman" w:hAnsi="Times New Roman" w:cs="Times New Roman"/>
          <w:bCs/>
          <w:sz w:val="28"/>
          <w:szCs w:val="28"/>
        </w:rPr>
        <w:t xml:space="preserve">- </w:t>
      </w:r>
      <w:r w:rsidRPr="005A0B37">
        <w:rPr>
          <w:rFonts w:ascii="Times New Roman" w:hAnsi="Times New Roman" w:cs="Times New Roman"/>
          <w:bCs/>
          <w:sz w:val="28"/>
          <w:szCs w:val="28"/>
        </w:rPr>
        <w:t>Harsimran Kaur Hira</w:t>
      </w:r>
    </w:p>
    <w:p w14:paraId="6FDB2728" w14:textId="33D4A9C1" w:rsidR="00520BF3" w:rsidRPr="005A0B37" w:rsidRDefault="00520BF3" w:rsidP="00942986">
      <w:pPr>
        <w:spacing w:line="360" w:lineRule="auto"/>
        <w:jc w:val="center"/>
        <w:rPr>
          <w:rFonts w:ascii="Times New Roman" w:hAnsi="Times New Roman" w:cs="Times New Roman"/>
          <w:bCs/>
          <w:sz w:val="28"/>
          <w:szCs w:val="28"/>
        </w:rPr>
      </w:pPr>
      <w:r w:rsidRPr="005A0B37">
        <w:rPr>
          <w:rFonts w:ascii="Times New Roman" w:hAnsi="Times New Roman" w:cs="Times New Roman"/>
          <w:bCs/>
          <w:sz w:val="28"/>
          <w:szCs w:val="28"/>
        </w:rPr>
        <w:t xml:space="preserve">Student ID </w:t>
      </w:r>
      <w:r w:rsidR="00375D8D" w:rsidRPr="005A0B37">
        <w:rPr>
          <w:rFonts w:ascii="Times New Roman" w:hAnsi="Times New Roman" w:cs="Times New Roman"/>
          <w:bCs/>
          <w:sz w:val="28"/>
          <w:szCs w:val="28"/>
        </w:rPr>
        <w:t xml:space="preserve">- </w:t>
      </w:r>
      <w:r w:rsidRPr="005A0B37">
        <w:rPr>
          <w:rFonts w:ascii="Times New Roman" w:hAnsi="Times New Roman" w:cs="Times New Roman"/>
          <w:bCs/>
          <w:sz w:val="28"/>
          <w:szCs w:val="28"/>
        </w:rPr>
        <w:t>2218345</w:t>
      </w:r>
    </w:p>
    <w:p w14:paraId="356EA61C" w14:textId="431F9E04" w:rsidR="00520BF3" w:rsidRPr="005A0B37" w:rsidRDefault="00520BF3" w:rsidP="00942986">
      <w:pPr>
        <w:spacing w:line="360" w:lineRule="auto"/>
        <w:jc w:val="center"/>
        <w:rPr>
          <w:rFonts w:ascii="Times New Roman" w:hAnsi="Times New Roman" w:cs="Times New Roman"/>
          <w:bCs/>
          <w:sz w:val="28"/>
          <w:szCs w:val="28"/>
        </w:rPr>
      </w:pPr>
      <w:r w:rsidRPr="005A0B37">
        <w:rPr>
          <w:rFonts w:ascii="Times New Roman" w:hAnsi="Times New Roman" w:cs="Times New Roman"/>
          <w:bCs/>
          <w:sz w:val="28"/>
          <w:szCs w:val="28"/>
        </w:rPr>
        <w:t>Course</w:t>
      </w:r>
      <w:r w:rsidR="00375D8D" w:rsidRPr="005A0B37">
        <w:rPr>
          <w:rFonts w:ascii="Times New Roman" w:hAnsi="Times New Roman" w:cs="Times New Roman"/>
          <w:bCs/>
          <w:sz w:val="28"/>
          <w:szCs w:val="28"/>
        </w:rPr>
        <w:t xml:space="preserve"> -</w:t>
      </w:r>
      <w:r w:rsidRPr="005A0B37">
        <w:rPr>
          <w:rFonts w:ascii="Times New Roman" w:hAnsi="Times New Roman" w:cs="Times New Roman"/>
          <w:bCs/>
          <w:sz w:val="28"/>
          <w:szCs w:val="28"/>
        </w:rPr>
        <w:t xml:space="preserve"> MBA Banking and Finance</w:t>
      </w:r>
    </w:p>
    <w:p w14:paraId="2D768857" w14:textId="598155F7" w:rsidR="00520BF3" w:rsidRPr="005A0B37" w:rsidRDefault="00520BF3" w:rsidP="00942986">
      <w:pPr>
        <w:spacing w:line="360" w:lineRule="auto"/>
        <w:jc w:val="center"/>
        <w:rPr>
          <w:rFonts w:ascii="Times New Roman" w:hAnsi="Times New Roman" w:cs="Times New Roman"/>
          <w:bCs/>
          <w:sz w:val="28"/>
          <w:szCs w:val="28"/>
        </w:rPr>
      </w:pPr>
      <w:r w:rsidRPr="005A0B37">
        <w:rPr>
          <w:rFonts w:ascii="Times New Roman" w:hAnsi="Times New Roman" w:cs="Times New Roman"/>
          <w:bCs/>
          <w:sz w:val="28"/>
          <w:szCs w:val="28"/>
        </w:rPr>
        <w:t xml:space="preserve">Module Name </w:t>
      </w:r>
      <w:r w:rsidR="00375D8D" w:rsidRPr="005A0B37">
        <w:rPr>
          <w:rFonts w:ascii="Times New Roman" w:hAnsi="Times New Roman" w:cs="Times New Roman"/>
          <w:bCs/>
          <w:sz w:val="28"/>
          <w:szCs w:val="28"/>
        </w:rPr>
        <w:t>-</w:t>
      </w:r>
      <w:r w:rsidRPr="005A0B37">
        <w:rPr>
          <w:rFonts w:ascii="Times New Roman" w:hAnsi="Times New Roman" w:cs="Times New Roman"/>
          <w:bCs/>
          <w:sz w:val="28"/>
          <w:szCs w:val="28"/>
        </w:rPr>
        <w:t xml:space="preserve"> Banking Financial Management</w:t>
      </w:r>
      <w:r w:rsidR="00375D8D" w:rsidRPr="005A0B37">
        <w:rPr>
          <w:rFonts w:ascii="Times New Roman" w:hAnsi="Times New Roman" w:cs="Times New Roman"/>
          <w:bCs/>
          <w:sz w:val="28"/>
          <w:szCs w:val="28"/>
        </w:rPr>
        <w:t xml:space="preserve"> and Financial Markets</w:t>
      </w:r>
    </w:p>
    <w:p w14:paraId="1914219F" w14:textId="407D3849" w:rsidR="00520BF3" w:rsidRPr="005A0B37" w:rsidRDefault="00520BF3" w:rsidP="00942986">
      <w:pPr>
        <w:spacing w:line="360" w:lineRule="auto"/>
        <w:jc w:val="center"/>
        <w:rPr>
          <w:rFonts w:ascii="Times New Roman" w:hAnsi="Times New Roman" w:cs="Times New Roman"/>
          <w:bCs/>
          <w:sz w:val="28"/>
          <w:szCs w:val="28"/>
        </w:rPr>
      </w:pPr>
      <w:r w:rsidRPr="005A0B37">
        <w:rPr>
          <w:rFonts w:ascii="Times New Roman" w:hAnsi="Times New Roman" w:cs="Times New Roman"/>
          <w:bCs/>
          <w:sz w:val="28"/>
          <w:szCs w:val="28"/>
        </w:rPr>
        <w:t xml:space="preserve">Module Code </w:t>
      </w:r>
      <w:r w:rsidR="00375D8D" w:rsidRPr="005A0B37">
        <w:rPr>
          <w:rFonts w:ascii="Times New Roman" w:hAnsi="Times New Roman" w:cs="Times New Roman"/>
          <w:bCs/>
          <w:sz w:val="28"/>
          <w:szCs w:val="28"/>
        </w:rPr>
        <w:t>- LCMB7012</w:t>
      </w:r>
    </w:p>
    <w:p w14:paraId="24B73E0E" w14:textId="32ABACA2" w:rsidR="00520BF3" w:rsidRPr="005A0B37" w:rsidRDefault="00520BF3" w:rsidP="00942986">
      <w:pPr>
        <w:spacing w:line="360" w:lineRule="auto"/>
        <w:jc w:val="center"/>
        <w:rPr>
          <w:rFonts w:ascii="Times New Roman" w:hAnsi="Times New Roman" w:cs="Times New Roman"/>
          <w:b/>
          <w:sz w:val="28"/>
          <w:szCs w:val="28"/>
        </w:rPr>
      </w:pPr>
      <w:r w:rsidRPr="005A0B37">
        <w:rPr>
          <w:rFonts w:ascii="Times New Roman" w:hAnsi="Times New Roman" w:cs="Times New Roman"/>
          <w:bCs/>
          <w:sz w:val="28"/>
          <w:szCs w:val="28"/>
        </w:rPr>
        <w:t xml:space="preserve">Lecturer Name </w:t>
      </w:r>
      <w:r w:rsidR="00375D8D" w:rsidRPr="005A0B37">
        <w:rPr>
          <w:rFonts w:ascii="Times New Roman" w:hAnsi="Times New Roman" w:cs="Times New Roman"/>
          <w:bCs/>
          <w:sz w:val="28"/>
          <w:szCs w:val="28"/>
        </w:rPr>
        <w:t xml:space="preserve">- </w:t>
      </w:r>
      <w:r w:rsidRPr="005A0B37">
        <w:rPr>
          <w:rFonts w:ascii="Times New Roman" w:hAnsi="Times New Roman" w:cs="Times New Roman"/>
          <w:bCs/>
          <w:sz w:val="28"/>
          <w:szCs w:val="28"/>
        </w:rPr>
        <w:t>David Co</w:t>
      </w:r>
      <w:r w:rsidR="00A10DD8">
        <w:rPr>
          <w:rFonts w:ascii="Times New Roman" w:hAnsi="Times New Roman" w:cs="Times New Roman"/>
          <w:bCs/>
          <w:sz w:val="28"/>
          <w:szCs w:val="28"/>
        </w:rPr>
        <w:t>ker</w:t>
      </w:r>
    </w:p>
    <w:p w14:paraId="65CC9A72" w14:textId="1AB89137" w:rsidR="00856F0D" w:rsidRDefault="00856F0D">
      <w:pPr>
        <w:rPr>
          <w:rFonts w:ascii="Times New Roman" w:hAnsi="Times New Roman" w:cs="Times New Roman"/>
          <w:b/>
          <w:sz w:val="32"/>
          <w:szCs w:val="32"/>
        </w:rPr>
      </w:pPr>
      <w:r>
        <w:rPr>
          <w:rFonts w:ascii="Times New Roman" w:hAnsi="Times New Roman" w:cs="Times New Roman"/>
          <w:b/>
          <w:sz w:val="32"/>
          <w:szCs w:val="32"/>
        </w:rPr>
        <w:br w:type="page"/>
      </w:r>
    </w:p>
    <w:p w14:paraId="0FA3676C" w14:textId="12317C80" w:rsidR="00A2461F" w:rsidRPr="00EB56E8" w:rsidRDefault="00316B22" w:rsidP="00EB56E8">
      <w:pPr>
        <w:jc w:val="center"/>
      </w:pPr>
      <w:r>
        <w:rPr>
          <w:rFonts w:ascii="Times New Roman" w:eastAsia="Times New Roman" w:hAnsi="Times New Roman" w:cs="Times New Roman"/>
          <w:b/>
          <w:sz w:val="24"/>
          <w:szCs w:val="24"/>
        </w:rPr>
        <w:lastRenderedPageBreak/>
        <w:t>Executive summary</w:t>
      </w:r>
    </w:p>
    <w:p w14:paraId="0AC35B80" w14:textId="6517B2CA" w:rsidR="00942986" w:rsidRDefault="00316B22" w:rsidP="0094298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crisis of 2008 impacted the business of the major financial </w:t>
      </w:r>
      <w:r w:rsidR="001A5831">
        <w:rPr>
          <w:rFonts w:ascii="Times New Roman" w:eastAsia="Times New Roman" w:hAnsi="Times New Roman" w:cs="Times New Roman"/>
          <w:sz w:val="24"/>
          <w:szCs w:val="24"/>
        </w:rPr>
        <w:t>institution. The</w:t>
      </w:r>
      <w:r>
        <w:rPr>
          <w:rFonts w:ascii="Times New Roman" w:eastAsia="Times New Roman" w:hAnsi="Times New Roman" w:cs="Times New Roman"/>
          <w:sz w:val="24"/>
          <w:szCs w:val="24"/>
        </w:rPr>
        <w:t xml:space="preserve"> impact of the regulations upon the business performance of Lloyds Bank has been </w:t>
      </w:r>
      <w:r w:rsidR="001A5831">
        <w:rPr>
          <w:rFonts w:ascii="Times New Roman" w:eastAsia="Times New Roman" w:hAnsi="Times New Roman" w:cs="Times New Roman"/>
          <w:sz w:val="24"/>
          <w:szCs w:val="24"/>
        </w:rPr>
        <w:t>analyzed</w:t>
      </w:r>
      <w:r>
        <w:rPr>
          <w:rFonts w:ascii="Times New Roman" w:eastAsia="Times New Roman" w:hAnsi="Times New Roman" w:cs="Times New Roman"/>
          <w:sz w:val="24"/>
          <w:szCs w:val="24"/>
        </w:rPr>
        <w:t xml:space="preserve"> in the study based on their approaches towards business performance and sustainability within the </w:t>
      </w:r>
      <w:r w:rsidR="005726CE">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Compliance with the improved reforms and regulations has also been identified in the study. </w:t>
      </w:r>
      <w:r w:rsidR="001A5831">
        <w:rPr>
          <w:rFonts w:ascii="Times New Roman" w:eastAsia="Times New Roman" w:hAnsi="Times New Roman" w:cs="Times New Roman"/>
          <w:sz w:val="24"/>
          <w:szCs w:val="24"/>
        </w:rPr>
        <w:t>The report has also included the laws, regulations</w:t>
      </w:r>
      <w:r w:rsidR="00E17740">
        <w:rPr>
          <w:rFonts w:ascii="Times New Roman" w:eastAsia="Times New Roman" w:hAnsi="Times New Roman" w:cs="Times New Roman"/>
          <w:sz w:val="24"/>
          <w:szCs w:val="24"/>
        </w:rPr>
        <w:t>,</w:t>
      </w:r>
      <w:r w:rsidR="001A5831">
        <w:rPr>
          <w:rFonts w:ascii="Times New Roman" w:eastAsia="Times New Roman" w:hAnsi="Times New Roman" w:cs="Times New Roman"/>
          <w:sz w:val="24"/>
          <w:szCs w:val="24"/>
        </w:rPr>
        <w:t xml:space="preserve"> and contracts in the </w:t>
      </w:r>
      <w:r w:rsidR="00E17740">
        <w:rPr>
          <w:rFonts w:ascii="Times New Roman" w:eastAsia="Times New Roman" w:hAnsi="Times New Roman" w:cs="Times New Roman"/>
          <w:sz w:val="24"/>
          <w:szCs w:val="24"/>
        </w:rPr>
        <w:t>post-2008</w:t>
      </w:r>
      <w:r w:rsidR="001A5831">
        <w:rPr>
          <w:rFonts w:ascii="Times New Roman" w:eastAsia="Times New Roman" w:hAnsi="Times New Roman" w:cs="Times New Roman"/>
          <w:sz w:val="24"/>
          <w:szCs w:val="24"/>
        </w:rPr>
        <w:t xml:space="preserve"> by UK, US</w:t>
      </w:r>
      <w:r w:rsidR="00E17740">
        <w:rPr>
          <w:rFonts w:ascii="Times New Roman" w:eastAsia="Times New Roman" w:hAnsi="Times New Roman" w:cs="Times New Roman"/>
          <w:sz w:val="24"/>
          <w:szCs w:val="24"/>
        </w:rPr>
        <w:t>,</w:t>
      </w:r>
      <w:r w:rsidR="001A5831">
        <w:rPr>
          <w:rFonts w:ascii="Times New Roman" w:eastAsia="Times New Roman" w:hAnsi="Times New Roman" w:cs="Times New Roman"/>
          <w:sz w:val="24"/>
          <w:szCs w:val="24"/>
        </w:rPr>
        <w:t xml:space="preserve"> and EU. The contribution of the reformation has helped in increasing stability in the financial system. </w:t>
      </w:r>
    </w:p>
    <w:p w14:paraId="0399F8FF" w14:textId="77777777" w:rsidR="00942986" w:rsidRDefault="00942986" w:rsidP="00942986">
      <w:r>
        <w:br w:type="page"/>
      </w:r>
    </w:p>
    <w:sdt>
      <w:sdtPr>
        <w:rPr>
          <w:rFonts w:ascii="Arial" w:eastAsia="Arial" w:hAnsi="Arial" w:cs="Arial"/>
          <w:color w:val="auto"/>
          <w:sz w:val="22"/>
          <w:szCs w:val="22"/>
        </w:rPr>
        <w:id w:val="463853861"/>
        <w:docPartObj>
          <w:docPartGallery w:val="Table of Contents"/>
          <w:docPartUnique/>
        </w:docPartObj>
      </w:sdtPr>
      <w:sdtEndPr>
        <w:rPr>
          <w:b/>
          <w:bCs/>
          <w:noProof/>
        </w:rPr>
      </w:sdtEndPr>
      <w:sdtContent>
        <w:p w14:paraId="44F20AA8" w14:textId="77777777" w:rsidR="00942986" w:rsidRPr="00942986" w:rsidRDefault="00942986" w:rsidP="00942986">
          <w:pPr>
            <w:pStyle w:val="TOCHeading"/>
            <w:jc w:val="center"/>
            <w:rPr>
              <w:rFonts w:ascii="Times New Roman" w:hAnsi="Times New Roman" w:cs="Times New Roman"/>
              <w:b/>
              <w:color w:val="000000" w:themeColor="text1"/>
              <w:sz w:val="24"/>
              <w:szCs w:val="24"/>
            </w:rPr>
          </w:pPr>
          <w:r w:rsidRPr="00942986">
            <w:rPr>
              <w:rFonts w:ascii="Times New Roman" w:hAnsi="Times New Roman" w:cs="Times New Roman"/>
              <w:b/>
              <w:color w:val="000000" w:themeColor="text1"/>
              <w:sz w:val="24"/>
              <w:szCs w:val="24"/>
            </w:rPr>
            <w:t>Table of Contents</w:t>
          </w:r>
        </w:p>
        <w:p w14:paraId="148F9578" w14:textId="00960D91" w:rsidR="00E56226" w:rsidRPr="00E56226" w:rsidRDefault="000D2E5C" w:rsidP="00053157">
          <w:pPr>
            <w:pStyle w:val="TOC1"/>
            <w:spacing w:line="360" w:lineRule="auto"/>
            <w:jc w:val="both"/>
            <w:rPr>
              <w:rFonts w:eastAsiaTheme="minorEastAsia"/>
            </w:rPr>
          </w:pPr>
          <w:r w:rsidRPr="00942986">
            <w:rPr>
              <w:noProof w:val="0"/>
            </w:rPr>
            <w:fldChar w:fldCharType="begin"/>
          </w:r>
          <w:r w:rsidR="00942986" w:rsidRPr="00942986">
            <w:instrText xml:space="preserve"> TOC \o "1-3" \h \z \u </w:instrText>
          </w:r>
          <w:r w:rsidRPr="00942986">
            <w:rPr>
              <w:noProof w:val="0"/>
            </w:rPr>
            <w:fldChar w:fldCharType="separate"/>
          </w:r>
          <w:hyperlink w:anchor="_Toc133253308" w:history="1">
            <w:r w:rsidR="00E56226" w:rsidRPr="00E56226">
              <w:rPr>
                <w:rStyle w:val="Hyperlink"/>
              </w:rPr>
              <w:t>Introduction</w:t>
            </w:r>
            <w:r w:rsidR="00E56226" w:rsidRPr="00E56226">
              <w:rPr>
                <w:webHidden/>
              </w:rPr>
              <w:tab/>
            </w:r>
            <w:r w:rsidRPr="00E56226">
              <w:rPr>
                <w:webHidden/>
              </w:rPr>
              <w:fldChar w:fldCharType="begin"/>
            </w:r>
            <w:r w:rsidR="00E56226" w:rsidRPr="00E56226">
              <w:rPr>
                <w:webHidden/>
              </w:rPr>
              <w:instrText xml:space="preserve"> PAGEREF _Toc133253308 \h </w:instrText>
            </w:r>
            <w:r w:rsidRPr="00E56226">
              <w:rPr>
                <w:webHidden/>
              </w:rPr>
            </w:r>
            <w:r w:rsidRPr="00E56226">
              <w:rPr>
                <w:webHidden/>
              </w:rPr>
              <w:fldChar w:fldCharType="separate"/>
            </w:r>
            <w:r w:rsidR="005A0B37">
              <w:rPr>
                <w:webHidden/>
              </w:rPr>
              <w:t>4</w:t>
            </w:r>
            <w:r w:rsidRPr="00E56226">
              <w:rPr>
                <w:webHidden/>
              </w:rPr>
              <w:fldChar w:fldCharType="end"/>
            </w:r>
          </w:hyperlink>
        </w:p>
        <w:p w14:paraId="6365C62D" w14:textId="6D062621" w:rsidR="00E56226" w:rsidRPr="00E56226" w:rsidRDefault="00000000" w:rsidP="00053157">
          <w:pPr>
            <w:pStyle w:val="TOC1"/>
            <w:spacing w:line="360" w:lineRule="auto"/>
            <w:jc w:val="both"/>
            <w:rPr>
              <w:rFonts w:eastAsiaTheme="minorEastAsia"/>
            </w:rPr>
          </w:pPr>
          <w:hyperlink w:anchor="_Toc133253309" w:history="1">
            <w:r w:rsidR="00E56226" w:rsidRPr="00E56226">
              <w:rPr>
                <w:rStyle w:val="Hyperlink"/>
              </w:rPr>
              <w:t>Identification of the laws, regulations</w:t>
            </w:r>
            <w:r w:rsidR="00E17740">
              <w:rPr>
                <w:rStyle w:val="Hyperlink"/>
              </w:rPr>
              <w:t>,</w:t>
            </w:r>
            <w:r w:rsidR="00E56226" w:rsidRPr="00E56226">
              <w:rPr>
                <w:rStyle w:val="Hyperlink"/>
              </w:rPr>
              <w:t xml:space="preserve"> and contracts enacted for post-2008 financial crisis by UK, US</w:t>
            </w:r>
            <w:r w:rsidR="00E17740">
              <w:rPr>
                <w:rStyle w:val="Hyperlink"/>
              </w:rPr>
              <w:t>,</w:t>
            </w:r>
            <w:r w:rsidR="00E56226" w:rsidRPr="00E56226">
              <w:rPr>
                <w:rStyle w:val="Hyperlink"/>
              </w:rPr>
              <w:t xml:space="preserve"> and EU authorities</w:t>
            </w:r>
            <w:r w:rsidR="00E56226" w:rsidRPr="00E56226">
              <w:rPr>
                <w:webHidden/>
              </w:rPr>
              <w:tab/>
            </w:r>
            <w:r w:rsidR="000D2E5C" w:rsidRPr="00E56226">
              <w:rPr>
                <w:webHidden/>
              </w:rPr>
              <w:fldChar w:fldCharType="begin"/>
            </w:r>
            <w:r w:rsidR="00E56226" w:rsidRPr="00E56226">
              <w:rPr>
                <w:webHidden/>
              </w:rPr>
              <w:instrText xml:space="preserve"> PAGEREF _Toc133253309 \h </w:instrText>
            </w:r>
            <w:r w:rsidR="000D2E5C" w:rsidRPr="00E56226">
              <w:rPr>
                <w:webHidden/>
              </w:rPr>
            </w:r>
            <w:r w:rsidR="000D2E5C" w:rsidRPr="00E56226">
              <w:rPr>
                <w:webHidden/>
              </w:rPr>
              <w:fldChar w:fldCharType="separate"/>
            </w:r>
            <w:r w:rsidR="005A0B37">
              <w:rPr>
                <w:webHidden/>
              </w:rPr>
              <w:t>4</w:t>
            </w:r>
            <w:r w:rsidR="000D2E5C" w:rsidRPr="00E56226">
              <w:rPr>
                <w:webHidden/>
              </w:rPr>
              <w:fldChar w:fldCharType="end"/>
            </w:r>
          </w:hyperlink>
        </w:p>
        <w:p w14:paraId="5270A548" w14:textId="179DB29A" w:rsidR="00E56226" w:rsidRPr="00E56226" w:rsidRDefault="00000000" w:rsidP="00053157">
          <w:pPr>
            <w:pStyle w:val="TOC2"/>
            <w:tabs>
              <w:tab w:val="right" w:leader="dot" w:pos="9019"/>
            </w:tabs>
            <w:spacing w:line="360" w:lineRule="auto"/>
            <w:jc w:val="both"/>
            <w:rPr>
              <w:rFonts w:ascii="Times New Roman" w:eastAsiaTheme="minorEastAsia" w:hAnsi="Times New Roman" w:cs="Times New Roman"/>
              <w:noProof/>
              <w:sz w:val="24"/>
            </w:rPr>
          </w:pPr>
          <w:hyperlink w:anchor="_Toc133253310" w:history="1">
            <w:r w:rsidR="00E56226" w:rsidRPr="00E56226">
              <w:rPr>
                <w:rStyle w:val="Hyperlink"/>
                <w:rFonts w:ascii="Times New Roman" w:hAnsi="Times New Roman" w:cs="Times New Roman"/>
                <w:noProof/>
                <w:sz w:val="24"/>
              </w:rPr>
              <w:t>2008 financial crises by the UK, US</w:t>
            </w:r>
            <w:r w:rsidR="00E17740">
              <w:rPr>
                <w:rStyle w:val="Hyperlink"/>
                <w:rFonts w:ascii="Times New Roman" w:hAnsi="Times New Roman" w:cs="Times New Roman"/>
                <w:noProof/>
                <w:sz w:val="24"/>
              </w:rPr>
              <w:t>,</w:t>
            </w:r>
            <w:r w:rsidR="00E56226" w:rsidRPr="00E56226">
              <w:rPr>
                <w:rStyle w:val="Hyperlink"/>
                <w:rFonts w:ascii="Times New Roman" w:hAnsi="Times New Roman" w:cs="Times New Roman"/>
                <w:noProof/>
                <w:sz w:val="24"/>
              </w:rPr>
              <w:t xml:space="preserve"> or EU authorities</w:t>
            </w:r>
            <w:r w:rsidR="00E56226" w:rsidRPr="00E56226">
              <w:rPr>
                <w:rFonts w:ascii="Times New Roman" w:hAnsi="Times New Roman" w:cs="Times New Roman"/>
                <w:noProof/>
                <w:webHidden/>
                <w:sz w:val="24"/>
              </w:rPr>
              <w:tab/>
            </w:r>
            <w:r w:rsidR="000D2E5C" w:rsidRPr="00E56226">
              <w:rPr>
                <w:rFonts w:ascii="Times New Roman" w:hAnsi="Times New Roman" w:cs="Times New Roman"/>
                <w:noProof/>
                <w:webHidden/>
                <w:sz w:val="24"/>
              </w:rPr>
              <w:fldChar w:fldCharType="begin"/>
            </w:r>
            <w:r w:rsidR="00E56226" w:rsidRPr="00E56226">
              <w:rPr>
                <w:rFonts w:ascii="Times New Roman" w:hAnsi="Times New Roman" w:cs="Times New Roman"/>
                <w:noProof/>
                <w:webHidden/>
                <w:sz w:val="24"/>
              </w:rPr>
              <w:instrText xml:space="preserve"> PAGEREF _Toc133253310 \h </w:instrText>
            </w:r>
            <w:r w:rsidR="000D2E5C" w:rsidRPr="00E56226">
              <w:rPr>
                <w:rFonts w:ascii="Times New Roman" w:hAnsi="Times New Roman" w:cs="Times New Roman"/>
                <w:noProof/>
                <w:webHidden/>
                <w:sz w:val="24"/>
              </w:rPr>
            </w:r>
            <w:r w:rsidR="000D2E5C" w:rsidRPr="00E56226">
              <w:rPr>
                <w:rFonts w:ascii="Times New Roman" w:hAnsi="Times New Roman" w:cs="Times New Roman"/>
                <w:noProof/>
                <w:webHidden/>
                <w:sz w:val="24"/>
              </w:rPr>
              <w:fldChar w:fldCharType="separate"/>
            </w:r>
            <w:r w:rsidR="005A0B37">
              <w:rPr>
                <w:rFonts w:ascii="Times New Roman" w:hAnsi="Times New Roman" w:cs="Times New Roman"/>
                <w:noProof/>
                <w:webHidden/>
                <w:sz w:val="24"/>
              </w:rPr>
              <w:t>4</w:t>
            </w:r>
            <w:r w:rsidR="000D2E5C" w:rsidRPr="00E56226">
              <w:rPr>
                <w:rFonts w:ascii="Times New Roman" w:hAnsi="Times New Roman" w:cs="Times New Roman"/>
                <w:noProof/>
                <w:webHidden/>
                <w:sz w:val="24"/>
              </w:rPr>
              <w:fldChar w:fldCharType="end"/>
            </w:r>
          </w:hyperlink>
        </w:p>
        <w:p w14:paraId="46819B70" w14:textId="0FD7C042" w:rsidR="00E56226" w:rsidRPr="00E56226" w:rsidRDefault="00000000" w:rsidP="00053157">
          <w:pPr>
            <w:pStyle w:val="TOC2"/>
            <w:tabs>
              <w:tab w:val="right" w:leader="dot" w:pos="9019"/>
            </w:tabs>
            <w:spacing w:line="360" w:lineRule="auto"/>
            <w:jc w:val="both"/>
            <w:rPr>
              <w:rFonts w:ascii="Times New Roman" w:eastAsiaTheme="minorEastAsia" w:hAnsi="Times New Roman" w:cs="Times New Roman"/>
              <w:noProof/>
              <w:sz w:val="24"/>
            </w:rPr>
          </w:pPr>
          <w:hyperlink w:anchor="_Toc133253311" w:history="1">
            <w:r w:rsidR="00E56226" w:rsidRPr="00E56226">
              <w:rPr>
                <w:rStyle w:val="Hyperlink"/>
                <w:rFonts w:ascii="Times New Roman" w:hAnsi="Times New Roman" w:cs="Times New Roman"/>
                <w:noProof/>
                <w:sz w:val="24"/>
              </w:rPr>
              <w:t>Laws, rules</w:t>
            </w:r>
            <w:r w:rsidR="00E17740">
              <w:rPr>
                <w:rStyle w:val="Hyperlink"/>
                <w:rFonts w:ascii="Times New Roman" w:hAnsi="Times New Roman" w:cs="Times New Roman"/>
                <w:noProof/>
                <w:sz w:val="24"/>
              </w:rPr>
              <w:t>,</w:t>
            </w:r>
            <w:r w:rsidR="00E56226" w:rsidRPr="00E56226">
              <w:rPr>
                <w:rStyle w:val="Hyperlink"/>
                <w:rFonts w:ascii="Times New Roman" w:hAnsi="Times New Roman" w:cs="Times New Roman"/>
                <w:noProof/>
                <w:sz w:val="24"/>
              </w:rPr>
              <w:t xml:space="preserve"> and agreements enacted post the 2008 financial crisis</w:t>
            </w:r>
            <w:r w:rsidR="00E56226" w:rsidRPr="00E56226">
              <w:rPr>
                <w:rFonts w:ascii="Times New Roman" w:hAnsi="Times New Roman" w:cs="Times New Roman"/>
                <w:noProof/>
                <w:webHidden/>
                <w:sz w:val="24"/>
              </w:rPr>
              <w:tab/>
            </w:r>
            <w:r w:rsidR="000D2E5C" w:rsidRPr="00E56226">
              <w:rPr>
                <w:rFonts w:ascii="Times New Roman" w:hAnsi="Times New Roman" w:cs="Times New Roman"/>
                <w:noProof/>
                <w:webHidden/>
                <w:sz w:val="24"/>
              </w:rPr>
              <w:fldChar w:fldCharType="begin"/>
            </w:r>
            <w:r w:rsidR="00E56226" w:rsidRPr="00E56226">
              <w:rPr>
                <w:rFonts w:ascii="Times New Roman" w:hAnsi="Times New Roman" w:cs="Times New Roman"/>
                <w:noProof/>
                <w:webHidden/>
                <w:sz w:val="24"/>
              </w:rPr>
              <w:instrText xml:space="preserve"> PAGEREF _Toc133253311 \h </w:instrText>
            </w:r>
            <w:r w:rsidR="000D2E5C" w:rsidRPr="00E56226">
              <w:rPr>
                <w:rFonts w:ascii="Times New Roman" w:hAnsi="Times New Roman" w:cs="Times New Roman"/>
                <w:noProof/>
                <w:webHidden/>
                <w:sz w:val="24"/>
              </w:rPr>
            </w:r>
            <w:r w:rsidR="000D2E5C" w:rsidRPr="00E56226">
              <w:rPr>
                <w:rFonts w:ascii="Times New Roman" w:hAnsi="Times New Roman" w:cs="Times New Roman"/>
                <w:noProof/>
                <w:webHidden/>
                <w:sz w:val="24"/>
              </w:rPr>
              <w:fldChar w:fldCharType="separate"/>
            </w:r>
            <w:r w:rsidR="005A0B37">
              <w:rPr>
                <w:rFonts w:ascii="Times New Roman" w:hAnsi="Times New Roman" w:cs="Times New Roman"/>
                <w:noProof/>
                <w:webHidden/>
                <w:sz w:val="24"/>
              </w:rPr>
              <w:t>5</w:t>
            </w:r>
            <w:r w:rsidR="000D2E5C" w:rsidRPr="00E56226">
              <w:rPr>
                <w:rFonts w:ascii="Times New Roman" w:hAnsi="Times New Roman" w:cs="Times New Roman"/>
                <w:noProof/>
                <w:webHidden/>
                <w:sz w:val="24"/>
              </w:rPr>
              <w:fldChar w:fldCharType="end"/>
            </w:r>
          </w:hyperlink>
        </w:p>
        <w:p w14:paraId="7535012F" w14:textId="46476A49" w:rsidR="00E56226" w:rsidRPr="00E56226" w:rsidRDefault="00000000" w:rsidP="00053157">
          <w:pPr>
            <w:pStyle w:val="TOC2"/>
            <w:tabs>
              <w:tab w:val="right" w:leader="dot" w:pos="9019"/>
            </w:tabs>
            <w:spacing w:line="360" w:lineRule="auto"/>
            <w:jc w:val="both"/>
            <w:rPr>
              <w:rFonts w:ascii="Times New Roman" w:eastAsiaTheme="minorEastAsia" w:hAnsi="Times New Roman" w:cs="Times New Roman"/>
              <w:noProof/>
              <w:sz w:val="24"/>
            </w:rPr>
          </w:pPr>
          <w:hyperlink w:anchor="_Toc133253312" w:history="1">
            <w:r w:rsidR="00E56226" w:rsidRPr="00E56226">
              <w:rPr>
                <w:rStyle w:val="Hyperlink"/>
                <w:rFonts w:ascii="Times New Roman" w:hAnsi="Times New Roman" w:cs="Times New Roman"/>
                <w:noProof/>
                <w:sz w:val="24"/>
              </w:rPr>
              <w:t xml:space="preserve">Role of the other key players in the Financial System in </w:t>
            </w:r>
            <w:r w:rsidR="00E17740">
              <w:rPr>
                <w:rStyle w:val="Hyperlink"/>
                <w:rFonts w:ascii="Times New Roman" w:hAnsi="Times New Roman" w:cs="Times New Roman"/>
                <w:noProof/>
                <w:sz w:val="24"/>
              </w:rPr>
              <w:t>Mitigating</w:t>
            </w:r>
            <w:r w:rsidR="00E56226" w:rsidRPr="00E56226">
              <w:rPr>
                <w:rStyle w:val="Hyperlink"/>
                <w:rFonts w:ascii="Times New Roman" w:hAnsi="Times New Roman" w:cs="Times New Roman"/>
                <w:noProof/>
                <w:sz w:val="24"/>
              </w:rPr>
              <w:t xml:space="preserve"> the financial crisis</w:t>
            </w:r>
            <w:r w:rsidR="00E56226" w:rsidRPr="00E56226">
              <w:rPr>
                <w:rFonts w:ascii="Times New Roman" w:hAnsi="Times New Roman" w:cs="Times New Roman"/>
                <w:noProof/>
                <w:webHidden/>
                <w:sz w:val="24"/>
              </w:rPr>
              <w:tab/>
            </w:r>
            <w:r w:rsidR="000D2E5C" w:rsidRPr="00E56226">
              <w:rPr>
                <w:rFonts w:ascii="Times New Roman" w:hAnsi="Times New Roman" w:cs="Times New Roman"/>
                <w:noProof/>
                <w:webHidden/>
                <w:sz w:val="24"/>
              </w:rPr>
              <w:fldChar w:fldCharType="begin"/>
            </w:r>
            <w:r w:rsidR="00E56226" w:rsidRPr="00E56226">
              <w:rPr>
                <w:rFonts w:ascii="Times New Roman" w:hAnsi="Times New Roman" w:cs="Times New Roman"/>
                <w:noProof/>
                <w:webHidden/>
                <w:sz w:val="24"/>
              </w:rPr>
              <w:instrText xml:space="preserve"> PAGEREF _Toc133253312 \h </w:instrText>
            </w:r>
            <w:r w:rsidR="000D2E5C" w:rsidRPr="00E56226">
              <w:rPr>
                <w:rFonts w:ascii="Times New Roman" w:hAnsi="Times New Roman" w:cs="Times New Roman"/>
                <w:noProof/>
                <w:webHidden/>
                <w:sz w:val="24"/>
              </w:rPr>
            </w:r>
            <w:r w:rsidR="000D2E5C" w:rsidRPr="00E56226">
              <w:rPr>
                <w:rFonts w:ascii="Times New Roman" w:hAnsi="Times New Roman" w:cs="Times New Roman"/>
                <w:noProof/>
                <w:webHidden/>
                <w:sz w:val="24"/>
              </w:rPr>
              <w:fldChar w:fldCharType="separate"/>
            </w:r>
            <w:r w:rsidR="005A0B37">
              <w:rPr>
                <w:rFonts w:ascii="Times New Roman" w:hAnsi="Times New Roman" w:cs="Times New Roman"/>
                <w:noProof/>
                <w:webHidden/>
                <w:sz w:val="24"/>
              </w:rPr>
              <w:t>6</w:t>
            </w:r>
            <w:r w:rsidR="000D2E5C" w:rsidRPr="00E56226">
              <w:rPr>
                <w:rFonts w:ascii="Times New Roman" w:hAnsi="Times New Roman" w:cs="Times New Roman"/>
                <w:noProof/>
                <w:webHidden/>
                <w:sz w:val="24"/>
              </w:rPr>
              <w:fldChar w:fldCharType="end"/>
            </w:r>
          </w:hyperlink>
        </w:p>
        <w:p w14:paraId="0D7B5EB0" w14:textId="795F87F6" w:rsidR="00E56226" w:rsidRPr="00E56226" w:rsidRDefault="00000000" w:rsidP="00053157">
          <w:pPr>
            <w:pStyle w:val="TOC1"/>
            <w:spacing w:line="360" w:lineRule="auto"/>
            <w:jc w:val="both"/>
            <w:rPr>
              <w:rFonts w:eastAsiaTheme="minorEastAsia"/>
            </w:rPr>
          </w:pPr>
          <w:hyperlink w:anchor="_Toc133253313" w:history="1">
            <w:r w:rsidR="00E56226" w:rsidRPr="00E56226">
              <w:rPr>
                <w:rStyle w:val="Hyperlink"/>
              </w:rPr>
              <w:t>Reviewing the contribution of the reformation to get a stable financial system</w:t>
            </w:r>
            <w:r w:rsidR="00E56226" w:rsidRPr="00E56226">
              <w:rPr>
                <w:webHidden/>
              </w:rPr>
              <w:tab/>
            </w:r>
            <w:r w:rsidR="000D2E5C" w:rsidRPr="00E56226">
              <w:rPr>
                <w:webHidden/>
              </w:rPr>
              <w:fldChar w:fldCharType="begin"/>
            </w:r>
            <w:r w:rsidR="00E56226" w:rsidRPr="00E56226">
              <w:rPr>
                <w:webHidden/>
              </w:rPr>
              <w:instrText xml:space="preserve"> PAGEREF _Toc133253313 \h </w:instrText>
            </w:r>
            <w:r w:rsidR="000D2E5C" w:rsidRPr="00E56226">
              <w:rPr>
                <w:webHidden/>
              </w:rPr>
            </w:r>
            <w:r w:rsidR="000D2E5C" w:rsidRPr="00E56226">
              <w:rPr>
                <w:webHidden/>
              </w:rPr>
              <w:fldChar w:fldCharType="separate"/>
            </w:r>
            <w:r w:rsidR="005A0B37">
              <w:rPr>
                <w:webHidden/>
              </w:rPr>
              <w:t>8</w:t>
            </w:r>
            <w:r w:rsidR="000D2E5C" w:rsidRPr="00E56226">
              <w:rPr>
                <w:webHidden/>
              </w:rPr>
              <w:fldChar w:fldCharType="end"/>
            </w:r>
          </w:hyperlink>
        </w:p>
        <w:p w14:paraId="50EC4E18" w14:textId="6B644145" w:rsidR="00E56226" w:rsidRPr="00E56226" w:rsidRDefault="00000000" w:rsidP="00053157">
          <w:pPr>
            <w:pStyle w:val="TOC2"/>
            <w:tabs>
              <w:tab w:val="right" w:leader="dot" w:pos="9019"/>
            </w:tabs>
            <w:spacing w:line="360" w:lineRule="auto"/>
            <w:jc w:val="both"/>
            <w:rPr>
              <w:rFonts w:ascii="Times New Roman" w:eastAsiaTheme="minorEastAsia" w:hAnsi="Times New Roman" w:cs="Times New Roman"/>
              <w:noProof/>
              <w:sz w:val="24"/>
            </w:rPr>
          </w:pPr>
          <w:hyperlink w:anchor="_Toc133253314" w:history="1">
            <w:r w:rsidR="00E56226" w:rsidRPr="00E56226">
              <w:rPr>
                <w:rStyle w:val="Hyperlink"/>
                <w:rFonts w:ascii="Times New Roman" w:hAnsi="Times New Roman" w:cs="Times New Roman"/>
                <w:noProof/>
                <w:sz w:val="24"/>
              </w:rPr>
              <w:t>Contribution of the Reformation</w:t>
            </w:r>
            <w:r w:rsidR="00E56226" w:rsidRPr="00E56226">
              <w:rPr>
                <w:rFonts w:ascii="Times New Roman" w:hAnsi="Times New Roman" w:cs="Times New Roman"/>
                <w:noProof/>
                <w:webHidden/>
                <w:sz w:val="24"/>
              </w:rPr>
              <w:tab/>
            </w:r>
            <w:r w:rsidR="000D2E5C" w:rsidRPr="00E56226">
              <w:rPr>
                <w:rFonts w:ascii="Times New Roman" w:hAnsi="Times New Roman" w:cs="Times New Roman"/>
                <w:noProof/>
                <w:webHidden/>
                <w:sz w:val="24"/>
              </w:rPr>
              <w:fldChar w:fldCharType="begin"/>
            </w:r>
            <w:r w:rsidR="00E56226" w:rsidRPr="00E56226">
              <w:rPr>
                <w:rFonts w:ascii="Times New Roman" w:hAnsi="Times New Roman" w:cs="Times New Roman"/>
                <w:noProof/>
                <w:webHidden/>
                <w:sz w:val="24"/>
              </w:rPr>
              <w:instrText xml:space="preserve"> PAGEREF _Toc133253314 \h </w:instrText>
            </w:r>
            <w:r w:rsidR="000D2E5C" w:rsidRPr="00E56226">
              <w:rPr>
                <w:rFonts w:ascii="Times New Roman" w:hAnsi="Times New Roman" w:cs="Times New Roman"/>
                <w:noProof/>
                <w:webHidden/>
                <w:sz w:val="24"/>
              </w:rPr>
            </w:r>
            <w:r w:rsidR="000D2E5C" w:rsidRPr="00E56226">
              <w:rPr>
                <w:rFonts w:ascii="Times New Roman" w:hAnsi="Times New Roman" w:cs="Times New Roman"/>
                <w:noProof/>
                <w:webHidden/>
                <w:sz w:val="24"/>
              </w:rPr>
              <w:fldChar w:fldCharType="separate"/>
            </w:r>
            <w:r w:rsidR="005A0B37">
              <w:rPr>
                <w:rFonts w:ascii="Times New Roman" w:hAnsi="Times New Roman" w:cs="Times New Roman"/>
                <w:noProof/>
                <w:webHidden/>
                <w:sz w:val="24"/>
              </w:rPr>
              <w:t>8</w:t>
            </w:r>
            <w:r w:rsidR="000D2E5C" w:rsidRPr="00E56226">
              <w:rPr>
                <w:rFonts w:ascii="Times New Roman" w:hAnsi="Times New Roman" w:cs="Times New Roman"/>
                <w:noProof/>
                <w:webHidden/>
                <w:sz w:val="24"/>
              </w:rPr>
              <w:fldChar w:fldCharType="end"/>
            </w:r>
          </w:hyperlink>
        </w:p>
        <w:p w14:paraId="147CC57D" w14:textId="39E89E29" w:rsidR="00E56226" w:rsidRPr="00E56226" w:rsidRDefault="00000000" w:rsidP="00053157">
          <w:pPr>
            <w:pStyle w:val="TOC2"/>
            <w:tabs>
              <w:tab w:val="right" w:leader="dot" w:pos="9019"/>
            </w:tabs>
            <w:spacing w:line="360" w:lineRule="auto"/>
            <w:jc w:val="both"/>
            <w:rPr>
              <w:rFonts w:ascii="Times New Roman" w:eastAsiaTheme="minorEastAsia" w:hAnsi="Times New Roman" w:cs="Times New Roman"/>
              <w:noProof/>
              <w:sz w:val="24"/>
            </w:rPr>
          </w:pPr>
          <w:hyperlink w:anchor="_Toc133253315" w:history="1">
            <w:r w:rsidR="00E56226" w:rsidRPr="00E56226">
              <w:rPr>
                <w:rStyle w:val="Hyperlink"/>
                <w:rFonts w:ascii="Times New Roman" w:hAnsi="Times New Roman" w:cs="Times New Roman"/>
                <w:noProof/>
                <w:sz w:val="24"/>
              </w:rPr>
              <w:t>Stable financial system in the post-2008 Crisis</w:t>
            </w:r>
            <w:r w:rsidR="00E56226" w:rsidRPr="00E56226">
              <w:rPr>
                <w:rFonts w:ascii="Times New Roman" w:hAnsi="Times New Roman" w:cs="Times New Roman"/>
                <w:noProof/>
                <w:webHidden/>
                <w:sz w:val="24"/>
              </w:rPr>
              <w:tab/>
            </w:r>
            <w:r w:rsidR="000D2E5C" w:rsidRPr="00E56226">
              <w:rPr>
                <w:rFonts w:ascii="Times New Roman" w:hAnsi="Times New Roman" w:cs="Times New Roman"/>
                <w:noProof/>
                <w:webHidden/>
                <w:sz w:val="24"/>
              </w:rPr>
              <w:fldChar w:fldCharType="begin"/>
            </w:r>
            <w:r w:rsidR="00E56226" w:rsidRPr="00E56226">
              <w:rPr>
                <w:rFonts w:ascii="Times New Roman" w:hAnsi="Times New Roman" w:cs="Times New Roman"/>
                <w:noProof/>
                <w:webHidden/>
                <w:sz w:val="24"/>
              </w:rPr>
              <w:instrText xml:space="preserve"> PAGEREF _Toc133253315 \h </w:instrText>
            </w:r>
            <w:r w:rsidR="000D2E5C" w:rsidRPr="00E56226">
              <w:rPr>
                <w:rFonts w:ascii="Times New Roman" w:hAnsi="Times New Roman" w:cs="Times New Roman"/>
                <w:noProof/>
                <w:webHidden/>
                <w:sz w:val="24"/>
              </w:rPr>
            </w:r>
            <w:r w:rsidR="000D2E5C" w:rsidRPr="00E56226">
              <w:rPr>
                <w:rFonts w:ascii="Times New Roman" w:hAnsi="Times New Roman" w:cs="Times New Roman"/>
                <w:noProof/>
                <w:webHidden/>
                <w:sz w:val="24"/>
              </w:rPr>
              <w:fldChar w:fldCharType="separate"/>
            </w:r>
            <w:r w:rsidR="005A0B37">
              <w:rPr>
                <w:rFonts w:ascii="Times New Roman" w:hAnsi="Times New Roman" w:cs="Times New Roman"/>
                <w:noProof/>
                <w:webHidden/>
                <w:sz w:val="24"/>
              </w:rPr>
              <w:t>10</w:t>
            </w:r>
            <w:r w:rsidR="000D2E5C" w:rsidRPr="00E56226">
              <w:rPr>
                <w:rFonts w:ascii="Times New Roman" w:hAnsi="Times New Roman" w:cs="Times New Roman"/>
                <w:noProof/>
                <w:webHidden/>
                <w:sz w:val="24"/>
              </w:rPr>
              <w:fldChar w:fldCharType="end"/>
            </w:r>
          </w:hyperlink>
        </w:p>
        <w:p w14:paraId="11B10CED" w14:textId="5AA86DDC" w:rsidR="00E56226" w:rsidRPr="00E56226" w:rsidRDefault="00000000" w:rsidP="00053157">
          <w:pPr>
            <w:pStyle w:val="TOC1"/>
            <w:spacing w:line="360" w:lineRule="auto"/>
            <w:jc w:val="both"/>
            <w:rPr>
              <w:rFonts w:eastAsiaTheme="minorEastAsia"/>
            </w:rPr>
          </w:pPr>
          <w:hyperlink w:anchor="_Toc133253316" w:history="1">
            <w:r w:rsidR="00E17740">
              <w:rPr>
                <w:rStyle w:val="Hyperlink"/>
              </w:rPr>
              <w:t>Analyzing</w:t>
            </w:r>
            <w:r w:rsidR="00E56226" w:rsidRPr="00E56226">
              <w:rPr>
                <w:rStyle w:val="Hyperlink"/>
              </w:rPr>
              <w:t xml:space="preserve"> the impact of the reformation on the business model and level of compliance of Lloyds Bank</w:t>
            </w:r>
            <w:r w:rsidR="00E56226" w:rsidRPr="00E56226">
              <w:rPr>
                <w:webHidden/>
              </w:rPr>
              <w:tab/>
            </w:r>
            <w:r w:rsidR="000D2E5C" w:rsidRPr="00E56226">
              <w:rPr>
                <w:webHidden/>
              </w:rPr>
              <w:fldChar w:fldCharType="begin"/>
            </w:r>
            <w:r w:rsidR="00E56226" w:rsidRPr="00E56226">
              <w:rPr>
                <w:webHidden/>
              </w:rPr>
              <w:instrText xml:space="preserve"> PAGEREF _Toc133253316 \h </w:instrText>
            </w:r>
            <w:r w:rsidR="000D2E5C" w:rsidRPr="00E56226">
              <w:rPr>
                <w:webHidden/>
              </w:rPr>
            </w:r>
            <w:r w:rsidR="000D2E5C" w:rsidRPr="00E56226">
              <w:rPr>
                <w:webHidden/>
              </w:rPr>
              <w:fldChar w:fldCharType="separate"/>
            </w:r>
            <w:r w:rsidR="005A0B37">
              <w:rPr>
                <w:webHidden/>
              </w:rPr>
              <w:t>12</w:t>
            </w:r>
            <w:r w:rsidR="000D2E5C" w:rsidRPr="00E56226">
              <w:rPr>
                <w:webHidden/>
              </w:rPr>
              <w:fldChar w:fldCharType="end"/>
            </w:r>
          </w:hyperlink>
        </w:p>
        <w:p w14:paraId="5049A2A2" w14:textId="246E4B47" w:rsidR="00E56226" w:rsidRDefault="00000000" w:rsidP="00053157">
          <w:pPr>
            <w:pStyle w:val="TOC1"/>
            <w:spacing w:line="360" w:lineRule="auto"/>
            <w:jc w:val="both"/>
            <w:rPr>
              <w:rFonts w:asciiTheme="minorHAnsi" w:eastAsiaTheme="minorEastAsia" w:hAnsiTheme="minorHAnsi" w:cstheme="minorBidi"/>
            </w:rPr>
          </w:pPr>
          <w:hyperlink w:anchor="_Toc133253317" w:history="1">
            <w:r w:rsidR="00E56226" w:rsidRPr="00E56226">
              <w:rPr>
                <w:rStyle w:val="Hyperlink"/>
              </w:rPr>
              <w:t>Conclusion</w:t>
            </w:r>
            <w:r w:rsidR="00E56226" w:rsidRPr="00E56226">
              <w:rPr>
                <w:webHidden/>
              </w:rPr>
              <w:tab/>
            </w:r>
            <w:r w:rsidR="000D2E5C" w:rsidRPr="00E56226">
              <w:rPr>
                <w:webHidden/>
              </w:rPr>
              <w:fldChar w:fldCharType="begin"/>
            </w:r>
            <w:r w:rsidR="00E56226" w:rsidRPr="00E56226">
              <w:rPr>
                <w:webHidden/>
              </w:rPr>
              <w:instrText xml:space="preserve"> PAGEREF _Toc133253317 \h </w:instrText>
            </w:r>
            <w:r w:rsidR="000D2E5C" w:rsidRPr="00E56226">
              <w:rPr>
                <w:webHidden/>
              </w:rPr>
            </w:r>
            <w:r w:rsidR="000D2E5C" w:rsidRPr="00E56226">
              <w:rPr>
                <w:webHidden/>
              </w:rPr>
              <w:fldChar w:fldCharType="separate"/>
            </w:r>
            <w:r w:rsidR="005A0B37">
              <w:rPr>
                <w:webHidden/>
              </w:rPr>
              <w:t>16</w:t>
            </w:r>
            <w:r w:rsidR="000D2E5C" w:rsidRPr="00E56226">
              <w:rPr>
                <w:webHidden/>
              </w:rPr>
              <w:fldChar w:fldCharType="end"/>
            </w:r>
          </w:hyperlink>
        </w:p>
        <w:p w14:paraId="33F10615" w14:textId="68A42D84" w:rsidR="00E56226" w:rsidRPr="00053157" w:rsidRDefault="00000000" w:rsidP="00053157">
          <w:pPr>
            <w:pStyle w:val="TOC1"/>
            <w:spacing w:line="360" w:lineRule="auto"/>
            <w:jc w:val="both"/>
            <w:rPr>
              <w:rFonts w:eastAsiaTheme="minorEastAsia"/>
            </w:rPr>
          </w:pPr>
          <w:hyperlink w:anchor="_Toc133253318" w:history="1">
            <w:r w:rsidR="00E56226" w:rsidRPr="00053157">
              <w:rPr>
                <w:rStyle w:val="Hyperlink"/>
              </w:rPr>
              <w:t>References</w:t>
            </w:r>
            <w:r w:rsidR="00E56226" w:rsidRPr="00053157">
              <w:rPr>
                <w:webHidden/>
              </w:rPr>
              <w:tab/>
            </w:r>
            <w:r w:rsidR="000D2E5C" w:rsidRPr="00053157">
              <w:rPr>
                <w:webHidden/>
              </w:rPr>
              <w:fldChar w:fldCharType="begin"/>
            </w:r>
            <w:r w:rsidR="00E56226" w:rsidRPr="00053157">
              <w:rPr>
                <w:webHidden/>
              </w:rPr>
              <w:instrText xml:space="preserve"> PAGEREF _Toc133253318 \h </w:instrText>
            </w:r>
            <w:r w:rsidR="000D2E5C" w:rsidRPr="00053157">
              <w:rPr>
                <w:webHidden/>
              </w:rPr>
            </w:r>
            <w:r w:rsidR="000D2E5C" w:rsidRPr="00053157">
              <w:rPr>
                <w:webHidden/>
              </w:rPr>
              <w:fldChar w:fldCharType="separate"/>
            </w:r>
            <w:r w:rsidR="005A0B37">
              <w:rPr>
                <w:webHidden/>
              </w:rPr>
              <w:t>18</w:t>
            </w:r>
            <w:r w:rsidR="000D2E5C" w:rsidRPr="00053157">
              <w:rPr>
                <w:webHidden/>
              </w:rPr>
              <w:fldChar w:fldCharType="end"/>
            </w:r>
          </w:hyperlink>
        </w:p>
        <w:p w14:paraId="40831651" w14:textId="77777777" w:rsidR="00942986" w:rsidRDefault="000D2E5C" w:rsidP="00053157">
          <w:pPr>
            <w:spacing w:line="360" w:lineRule="auto"/>
            <w:jc w:val="both"/>
          </w:pPr>
          <w:r w:rsidRPr="00942986">
            <w:rPr>
              <w:rFonts w:ascii="Times New Roman" w:hAnsi="Times New Roman" w:cs="Times New Roman"/>
              <w:b/>
              <w:bCs/>
              <w:noProof/>
              <w:sz w:val="24"/>
              <w:szCs w:val="24"/>
            </w:rPr>
            <w:fldChar w:fldCharType="end"/>
          </w:r>
        </w:p>
      </w:sdtContent>
    </w:sdt>
    <w:p w14:paraId="7FFBEE39" w14:textId="77777777" w:rsidR="00276C2B" w:rsidRDefault="00276C2B" w:rsidP="00942986">
      <w:pPr>
        <w:spacing w:line="360" w:lineRule="auto"/>
        <w:jc w:val="both"/>
      </w:pPr>
      <w:r>
        <w:br w:type="page"/>
      </w:r>
    </w:p>
    <w:p w14:paraId="7EEF07E0" w14:textId="77777777" w:rsidR="00A2461F" w:rsidRDefault="00316B22" w:rsidP="00942986">
      <w:pPr>
        <w:pStyle w:val="Heading1"/>
      </w:pPr>
      <w:bookmarkStart w:id="0" w:name="_Toc133253308"/>
      <w:r>
        <w:lastRenderedPageBreak/>
        <w:t>Introduction</w:t>
      </w:r>
      <w:bookmarkEnd w:id="0"/>
    </w:p>
    <w:p w14:paraId="330E104A" w14:textId="0F82031C" w:rsidR="00A2461F" w:rsidRDefault="00316B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critical events of the financial crisis have </w:t>
      </w:r>
      <w:r>
        <w:rPr>
          <w:rFonts w:ascii="Times New Roman" w:eastAsia="Times New Roman" w:hAnsi="Times New Roman" w:cs="Times New Roman"/>
          <w:b/>
          <w:i/>
          <w:sz w:val="24"/>
          <w:szCs w:val="24"/>
        </w:rPr>
        <w:t>weighed down investments in subprime loans</w:t>
      </w:r>
      <w:r>
        <w:rPr>
          <w:rFonts w:ascii="Times New Roman" w:eastAsia="Times New Roman" w:hAnsi="Times New Roman" w:cs="Times New Roman"/>
          <w:sz w:val="24"/>
          <w:szCs w:val="24"/>
        </w:rPr>
        <w:t xml:space="preserve">, resulting in excessive risk-taking in a </w:t>
      </w:r>
      <w:r w:rsidR="005726CE">
        <w:rPr>
          <w:rFonts w:ascii="Times New Roman" w:eastAsia="Times New Roman" w:hAnsi="Times New Roman" w:cs="Times New Roman"/>
          <w:sz w:val="24"/>
          <w:szCs w:val="24"/>
        </w:rPr>
        <w:t>favorable</w:t>
      </w:r>
      <w:r>
        <w:rPr>
          <w:rFonts w:ascii="Times New Roman" w:eastAsia="Times New Roman" w:hAnsi="Times New Roman" w:cs="Times New Roman"/>
          <w:sz w:val="24"/>
          <w:szCs w:val="24"/>
        </w:rPr>
        <w:t xml:space="preserve"> macro environment. Regulations and policy errors stress the financial systems. The study focuses on </w:t>
      </w:r>
      <w:r w:rsidR="005726CE">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 different laws, regulations</w:t>
      </w:r>
      <w:r w:rsidR="00E177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contracts enacted during the post-2008 financial crisis. The impact of the regulations upon the business performance of Lloyds Bank has been </w:t>
      </w:r>
      <w:r w:rsidR="005726CE">
        <w:rPr>
          <w:rFonts w:ascii="Times New Roman" w:eastAsia="Times New Roman" w:hAnsi="Times New Roman" w:cs="Times New Roman"/>
          <w:sz w:val="24"/>
          <w:szCs w:val="24"/>
        </w:rPr>
        <w:t>analyzed</w:t>
      </w:r>
      <w:r>
        <w:rPr>
          <w:rFonts w:ascii="Times New Roman" w:eastAsia="Times New Roman" w:hAnsi="Times New Roman" w:cs="Times New Roman"/>
          <w:sz w:val="24"/>
          <w:szCs w:val="24"/>
        </w:rPr>
        <w:t xml:space="preserve"> to enhance the regulations and supervision of various large and interconnected institutions. The real estate market was deeply impacted by the crisis where </w:t>
      </w:r>
      <w:r>
        <w:rPr>
          <w:rFonts w:ascii="Times New Roman" w:eastAsia="Times New Roman" w:hAnsi="Times New Roman" w:cs="Times New Roman"/>
          <w:b/>
          <w:i/>
          <w:sz w:val="24"/>
          <w:szCs w:val="24"/>
        </w:rPr>
        <w:t>major businesses worldwide began to fail and lose millions</w:t>
      </w:r>
      <w:r>
        <w:rPr>
          <w:rFonts w:ascii="Times New Roman" w:eastAsia="Times New Roman" w:hAnsi="Times New Roman" w:cs="Times New Roman"/>
          <w:sz w:val="24"/>
          <w:szCs w:val="24"/>
        </w:rPr>
        <w:t xml:space="preserve"> for an extended </w:t>
      </w:r>
      <w:r w:rsidR="005A0B37">
        <w:rPr>
          <w:rFonts w:ascii="Times New Roman" w:eastAsia="Times New Roman" w:hAnsi="Times New Roman" w:cs="Times New Roman"/>
          <w:sz w:val="24"/>
          <w:szCs w:val="24"/>
        </w:rPr>
        <w:t>period</w:t>
      </w:r>
      <w:r>
        <w:rPr>
          <w:rFonts w:ascii="Times New Roman" w:eastAsia="Times New Roman" w:hAnsi="Times New Roman" w:cs="Times New Roman"/>
          <w:sz w:val="24"/>
          <w:szCs w:val="24"/>
        </w:rPr>
        <w:t xml:space="preserve">. The study has also evaluated the contribution of the policy to stable financial systems and economic growth in emerging and developing economies. The rapid spread of global economic shock and bank failures shows a period of foreclosure for many businesses. </w:t>
      </w:r>
    </w:p>
    <w:p w14:paraId="09BDFD07" w14:textId="77777777" w:rsidR="00EB56E8" w:rsidRDefault="00EB56E8">
      <w:pPr>
        <w:spacing w:line="360" w:lineRule="auto"/>
        <w:jc w:val="both"/>
        <w:rPr>
          <w:rFonts w:ascii="Times New Roman" w:eastAsia="Times New Roman" w:hAnsi="Times New Roman" w:cs="Times New Roman"/>
          <w:sz w:val="24"/>
          <w:szCs w:val="24"/>
        </w:rPr>
      </w:pPr>
    </w:p>
    <w:p w14:paraId="3D93C0B9" w14:textId="0EE21E9E" w:rsidR="001A5831" w:rsidRDefault="001A5831" w:rsidP="001A5831">
      <w:pPr>
        <w:pStyle w:val="Heading1"/>
      </w:pPr>
      <w:bookmarkStart w:id="1" w:name="_9oets6997r6f" w:colFirst="0" w:colLast="0"/>
      <w:bookmarkStart w:id="2" w:name="_Toc133253309"/>
      <w:bookmarkEnd w:id="1"/>
      <w:r>
        <w:t xml:space="preserve">Identification of the </w:t>
      </w:r>
      <w:r w:rsidR="005F030C">
        <w:t>“</w:t>
      </w:r>
      <w:r>
        <w:t xml:space="preserve">laws, regulations and </w:t>
      </w:r>
      <w:r w:rsidRPr="001A5831">
        <w:t>contracts</w:t>
      </w:r>
      <w:r>
        <w:t xml:space="preserve"> enacted for post-2008 financial </w:t>
      </w:r>
      <w:r w:rsidRPr="001A5831">
        <w:t xml:space="preserve">crisis by UK, US and EU </w:t>
      </w:r>
      <w:bookmarkEnd w:id="2"/>
      <w:r w:rsidR="005726CE" w:rsidRPr="001A5831">
        <w:t>authorities.</w:t>
      </w:r>
      <w:r w:rsidR="005F030C">
        <w:t>”</w:t>
      </w:r>
    </w:p>
    <w:p w14:paraId="68554AE0" w14:textId="5CE0EEA6" w:rsidR="001A5831" w:rsidRPr="001A5831" w:rsidRDefault="001A5831" w:rsidP="001A5831">
      <w:pPr>
        <w:pStyle w:val="Heading2"/>
      </w:pPr>
      <w:bookmarkStart w:id="3" w:name="_Toc133253310"/>
      <w:r>
        <w:t>2008 financial crises by the UK, US</w:t>
      </w:r>
      <w:r w:rsidR="00E17740">
        <w:t>,</w:t>
      </w:r>
      <w:r>
        <w:t xml:space="preserve"> or EU authorities</w:t>
      </w:r>
      <w:bookmarkEnd w:id="3"/>
      <w:r>
        <w:t> </w:t>
      </w:r>
    </w:p>
    <w:p w14:paraId="2B267321" w14:textId="3FBFBEAA"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crisis of 2008 is known as the subprime of the mortgage crisis, which has increased due to the liquidity contraction in the global financial market. The issue of liquidity contraction has been started in the U.S. with the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collapse of the U.S. housing market</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The case has also created a significant problem and increased the risk in the international financial system (bis.org, 2019). There are different types of investment and commercial banks with mortgage lenders, insurance companies</w:t>
      </w:r>
      <w:r w:rsidR="00E177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others, which have created a great impact on the savings and loan association and also helped in precipitating the great recession. The financial crisis has divided the world into three different groups. The countries like the UK, the U.S., the EU, Spain</w:t>
      </w:r>
      <w:r w:rsidR="00E177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Ireland have experienced significant issues with their housing (</w:t>
      </w:r>
      <w:r w:rsidRPr="004A08CD">
        <w:rPr>
          <w:rFonts w:ascii="Times New Roman" w:hAnsi="Times New Roman" w:cs="Times New Roman"/>
          <w:color w:val="222222"/>
          <w:sz w:val="24"/>
          <w:szCs w:val="24"/>
          <w:shd w:val="clear" w:color="auto" w:fill="FFFFFF"/>
        </w:rPr>
        <w:t xml:space="preserve">Fernandes, </w:t>
      </w:r>
      <w:r>
        <w:rPr>
          <w:rFonts w:ascii="Times New Roman" w:hAnsi="Times New Roman" w:cs="Times New Roman"/>
          <w:color w:val="222222"/>
          <w:sz w:val="24"/>
          <w:szCs w:val="24"/>
          <w:shd w:val="clear" w:color="auto" w:fill="FFFFFF"/>
        </w:rPr>
        <w:t>2022).</w:t>
      </w:r>
      <w:r>
        <w:rPr>
          <w:rFonts w:ascii="Times New Roman" w:eastAsia="Times New Roman" w:hAnsi="Times New Roman" w:cs="Times New Roman"/>
          <w:sz w:val="24"/>
          <w:szCs w:val="24"/>
        </w:rPr>
        <w:t xml:space="preserve"> The banks in other countries like </w:t>
      </w:r>
      <w:r>
        <w:rPr>
          <w:rFonts w:ascii="Times New Roman" w:eastAsia="Times New Roman" w:hAnsi="Times New Roman" w:cs="Times New Roman"/>
          <w:b/>
          <w:i/>
          <w:sz w:val="24"/>
          <w:szCs w:val="24"/>
        </w:rPr>
        <w:t>Germany, Belgium</w:t>
      </w:r>
      <w:r w:rsidR="00E17740">
        <w:rPr>
          <w:rFonts w:ascii="Times New Roman" w:eastAsia="Times New Roman" w:hAnsi="Times New Roman" w:cs="Times New Roman"/>
          <w:b/>
          <w:i/>
          <w:sz w:val="24"/>
          <w:szCs w:val="24"/>
        </w:rPr>
        <w:t>,</w:t>
      </w:r>
      <w:r>
        <w:rPr>
          <w:rFonts w:ascii="Times New Roman" w:eastAsia="Times New Roman" w:hAnsi="Times New Roman" w:cs="Times New Roman"/>
          <w:b/>
          <w:i/>
          <w:sz w:val="24"/>
          <w:szCs w:val="24"/>
        </w:rPr>
        <w:t xml:space="preserve"> and the Netherlands</w:t>
      </w:r>
      <w:r>
        <w:rPr>
          <w:rFonts w:ascii="Times New Roman" w:eastAsia="Times New Roman" w:hAnsi="Times New Roman" w:cs="Times New Roman"/>
          <w:sz w:val="24"/>
          <w:szCs w:val="24"/>
        </w:rPr>
        <w:t xml:space="preserve"> have exposed themselves to the issue and suffered from the bank crisis. </w:t>
      </w:r>
    </w:p>
    <w:p w14:paraId="7D1B8736" w14:textId="0D6F2C02"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rest of the world played a significant role in the spectators, which have been hit by the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US dollar-based banking system</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also by the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subsequent downward trend</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world trade. The financial crisis of 2008 also created a huge impact on Lloyd's Bank in the UK. The Lloyd Bank has faced the issue of a credit crisis with $585 million. This issue has created a major impact on the credit crunch by $865 million (theguardian.com, 2023). As per the news, it is </w:t>
      </w:r>
      <w:r w:rsidR="002C1779">
        <w:rPr>
          <w:rFonts w:ascii="Times New Roman" w:eastAsia="Times New Roman" w:hAnsi="Times New Roman" w:cs="Times New Roman"/>
          <w:sz w:val="24"/>
          <w:szCs w:val="24"/>
        </w:rPr>
        <w:t>identified;</w:t>
      </w:r>
      <w:r>
        <w:rPr>
          <w:rFonts w:ascii="Times New Roman" w:eastAsia="Times New Roman" w:hAnsi="Times New Roman" w:cs="Times New Roman"/>
          <w:sz w:val="24"/>
          <w:szCs w:val="24"/>
        </w:rPr>
        <w:t xml:space="preserve"> the government has started to sell </w:t>
      </w:r>
      <w:r w:rsidR="00E17740">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share in Lloyds Banking Group. In the first </w:t>
      </w:r>
      <w:r>
        <w:rPr>
          <w:rFonts w:ascii="Times New Roman" w:eastAsia="Times New Roman" w:hAnsi="Times New Roman" w:cs="Times New Roman"/>
          <w:sz w:val="24"/>
          <w:szCs w:val="24"/>
        </w:rPr>
        <w:lastRenderedPageBreak/>
        <w:t xml:space="preserve">half of 2008, the profit plunged by 70%, and the government minister and the top bankers also spent the weekend thrashing out the plans to bail out </w:t>
      </w:r>
      <w:r w:rsidR="005726CE">
        <w:rPr>
          <w:rFonts w:ascii="Times New Roman" w:eastAsia="Times New Roman" w:hAnsi="Times New Roman" w:cs="Times New Roman"/>
          <w:sz w:val="24"/>
          <w:szCs w:val="24"/>
        </w:rPr>
        <w:t>Lloyds</w:t>
      </w:r>
      <w:r>
        <w:rPr>
          <w:rFonts w:ascii="Times New Roman" w:eastAsia="Times New Roman" w:hAnsi="Times New Roman" w:cs="Times New Roman"/>
          <w:sz w:val="24"/>
          <w:szCs w:val="24"/>
        </w:rPr>
        <w:t>, RBS</w:t>
      </w:r>
      <w:r w:rsidR="00E177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HBOS (theguardian.com, 2023).  They have also paid the tax of the </w:t>
      </w:r>
      <w:r w:rsidR="005726CE">
        <w:rPr>
          <w:rFonts w:ascii="Times New Roman" w:eastAsia="Times New Roman" w:hAnsi="Times New Roman" w:cs="Times New Roman"/>
          <w:sz w:val="24"/>
          <w:szCs w:val="24"/>
        </w:rPr>
        <w:t>bailout,</w:t>
      </w:r>
      <w:r>
        <w:rPr>
          <w:rFonts w:ascii="Times New Roman" w:eastAsia="Times New Roman" w:hAnsi="Times New Roman" w:cs="Times New Roman"/>
          <w:sz w:val="24"/>
          <w:szCs w:val="24"/>
        </w:rPr>
        <w:t xml:space="preserve"> which has developed and increased their financial crisis in the banking sectors.</w:t>
      </w:r>
    </w:p>
    <w:p w14:paraId="241F14BC" w14:textId="3C6152B5"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Before the crisis, others started to implicate the issue on the set of the countries., which is currently running in the U.S. During the financial crisis, there were some commodity exporters, who had created a strong bid for maintaining safety in the US bonds. The one-way investment has also put pressure on the US bond, which has become highly useful for the stimulation of US investment. The access of Asians has saved the investment by the access of US investment in over saving. The spending of the U.S. has also become high for the US </w:t>
      </w:r>
      <w:r w:rsidR="005726CE">
        <w:rPr>
          <w:rFonts w:ascii="Times New Roman" w:eastAsia="Times New Roman" w:hAnsi="Times New Roman" w:cs="Times New Roman"/>
          <w:sz w:val="24"/>
          <w:szCs w:val="24"/>
        </w:rPr>
        <w:t>output,</w:t>
      </w:r>
      <w:r>
        <w:rPr>
          <w:rFonts w:ascii="Times New Roman" w:eastAsia="Times New Roman" w:hAnsi="Times New Roman" w:cs="Times New Roman"/>
          <w:sz w:val="24"/>
          <w:szCs w:val="24"/>
        </w:rPr>
        <w:t xml:space="preserve"> and it also widened the US current deficit account (</w:t>
      </w:r>
      <w:r>
        <w:rPr>
          <w:rFonts w:ascii="Times New Roman" w:eastAsia="Times New Roman" w:hAnsi="Times New Roman" w:cs="Times New Roman"/>
          <w:color w:val="222222"/>
          <w:sz w:val="24"/>
          <w:szCs w:val="24"/>
          <w:highlight w:val="white"/>
        </w:rPr>
        <w:t>Bavoso, 2020).</w:t>
      </w:r>
      <w:r>
        <w:rPr>
          <w:rFonts w:ascii="Times New Roman" w:eastAsia="Times New Roman" w:hAnsi="Times New Roman" w:cs="Times New Roman"/>
          <w:sz w:val="24"/>
          <w:szCs w:val="24"/>
        </w:rPr>
        <w:t xml:space="preserve"> In the year 2000, the European banks leveraged the </w:t>
      </w:r>
      <w:r w:rsidR="005726CE">
        <w:rPr>
          <w:rFonts w:ascii="Times New Roman" w:eastAsia="Times New Roman" w:hAnsi="Times New Roman" w:cs="Times New Roman"/>
          <w:sz w:val="24"/>
          <w:szCs w:val="24"/>
        </w:rPr>
        <w:t>equity,</w:t>
      </w:r>
      <w:r>
        <w:rPr>
          <w:rFonts w:ascii="Times New Roman" w:eastAsia="Times New Roman" w:hAnsi="Times New Roman" w:cs="Times New Roman"/>
          <w:sz w:val="24"/>
          <w:szCs w:val="24"/>
        </w:rPr>
        <w:t xml:space="preserve"> and it was also borrowed from the US and other investors. The US and the other investors have </w:t>
      </w:r>
      <w:r w:rsidR="00D67501">
        <w:rPr>
          <w:rFonts w:ascii="Times New Roman" w:eastAsia="Times New Roman" w:hAnsi="Times New Roman" w:cs="Times New Roman"/>
          <w:sz w:val="24"/>
          <w:szCs w:val="24"/>
        </w:rPr>
        <w:t>plowed</w:t>
      </w:r>
      <w:r>
        <w:rPr>
          <w:rFonts w:ascii="Times New Roman" w:eastAsia="Times New Roman" w:hAnsi="Times New Roman" w:cs="Times New Roman"/>
          <w:sz w:val="24"/>
          <w:szCs w:val="24"/>
        </w:rPr>
        <w:t xml:space="preserve"> them into the private debt of the US. The US has bought a private label of a mortgage by backing up the securities. There are some securities or complex bonds, which are also based on them. </w:t>
      </w:r>
    </w:p>
    <w:p w14:paraId="576B3C59" w14:textId="059B009E" w:rsidR="001A5831" w:rsidRDefault="001A5831" w:rsidP="001A5831">
      <w:pPr>
        <w:pStyle w:val="Heading2"/>
      </w:pPr>
      <w:r>
        <w:t xml:space="preserve"> </w:t>
      </w:r>
      <w:bookmarkStart w:id="4" w:name="_Toc133253311"/>
      <w:r>
        <w:t>Laws, rules</w:t>
      </w:r>
      <w:r w:rsidR="00D67501">
        <w:t>,</w:t>
      </w:r>
      <w:r>
        <w:t xml:space="preserve"> and agreements </w:t>
      </w:r>
      <w:r w:rsidR="005A0B37">
        <w:t xml:space="preserve">were </w:t>
      </w:r>
      <w:r>
        <w:t xml:space="preserve">enacted post the </w:t>
      </w:r>
      <w:r w:rsidR="005F030C">
        <w:t>“</w:t>
      </w:r>
      <w:r>
        <w:t xml:space="preserve">2008 financial </w:t>
      </w:r>
      <w:bookmarkEnd w:id="4"/>
      <w:r w:rsidR="005726CE">
        <w:t>crisis.</w:t>
      </w:r>
      <w:r w:rsidR="005F030C">
        <w:t>”</w:t>
      </w:r>
    </w:p>
    <w:p w14:paraId="47F70A2F" w14:textId="58CEA1AA"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financial crisis of 2008, Dodd-Frank enhanced existing regulations in the US, which are included in the </w:t>
      </w:r>
      <w:r>
        <w:rPr>
          <w:rFonts w:ascii="Times New Roman" w:eastAsia="Times New Roman" w:hAnsi="Times New Roman" w:cs="Times New Roman"/>
          <w:b/>
          <w:i/>
          <w:sz w:val="24"/>
          <w:szCs w:val="24"/>
        </w:rPr>
        <w:t xml:space="preserve">“Securities Act of </w:t>
      </w:r>
      <w:r w:rsidR="006449FA">
        <w:rPr>
          <w:rFonts w:ascii="Times New Roman" w:eastAsia="Times New Roman" w:hAnsi="Times New Roman" w:cs="Times New Roman"/>
          <w:b/>
          <w:i/>
          <w:sz w:val="24"/>
          <w:szCs w:val="24"/>
        </w:rPr>
        <w:t>1933”</w:t>
      </w:r>
      <w:r>
        <w:rPr>
          <w:rFonts w:ascii="Times New Roman" w:eastAsia="Times New Roman" w:hAnsi="Times New Roman" w:cs="Times New Roman"/>
          <w:sz w:val="24"/>
          <w:szCs w:val="24"/>
        </w:rPr>
        <w:t xml:space="preserve"> and the </w:t>
      </w:r>
      <w:r>
        <w:rPr>
          <w:rFonts w:ascii="Times New Roman" w:eastAsia="Times New Roman" w:hAnsi="Times New Roman" w:cs="Times New Roman"/>
          <w:b/>
          <w:i/>
          <w:sz w:val="24"/>
          <w:szCs w:val="24"/>
        </w:rPr>
        <w:t>“Securities Exchange Act of 1934</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The Security Act has been amended by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Regulation D</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to exempt the securities from registration and also to revise the definition of accredited investors (</w:t>
      </w:r>
      <w:r>
        <w:rPr>
          <w:rFonts w:ascii="Times New Roman" w:eastAsia="Times New Roman" w:hAnsi="Times New Roman" w:cs="Times New Roman"/>
          <w:color w:val="222222"/>
          <w:sz w:val="24"/>
          <w:szCs w:val="24"/>
          <w:highlight w:val="white"/>
        </w:rPr>
        <w:t>Vučinić, 2020).</w:t>
      </w:r>
      <w:r>
        <w:rPr>
          <w:rFonts w:ascii="Times New Roman" w:eastAsia="Times New Roman" w:hAnsi="Times New Roman" w:cs="Times New Roman"/>
          <w:sz w:val="24"/>
          <w:szCs w:val="24"/>
        </w:rPr>
        <w:t xml:space="preserve"> The security act has also helped in removing inclusion in the primary </w:t>
      </w:r>
      <w:r w:rsidR="006449FA">
        <w:rPr>
          <w:rFonts w:ascii="Times New Roman" w:eastAsia="Times New Roman" w:hAnsi="Times New Roman" w:cs="Times New Roman"/>
          <w:sz w:val="24"/>
          <w:szCs w:val="24"/>
        </w:rPr>
        <w:t>residence,</w:t>
      </w:r>
      <w:r>
        <w:rPr>
          <w:rFonts w:ascii="Times New Roman" w:eastAsia="Times New Roman" w:hAnsi="Times New Roman" w:cs="Times New Roman"/>
          <w:sz w:val="24"/>
          <w:szCs w:val="24"/>
        </w:rPr>
        <w:t xml:space="preserve"> which is a major part of the net worth of the investors. As per the </w:t>
      </w:r>
      <w:r>
        <w:rPr>
          <w:rFonts w:ascii="Times New Roman" w:eastAsia="Times New Roman" w:hAnsi="Times New Roman" w:cs="Times New Roman"/>
          <w:b/>
          <w:i/>
          <w:sz w:val="24"/>
          <w:szCs w:val="24"/>
        </w:rPr>
        <w:t>“Security Exchange Act”</w:t>
      </w:r>
      <w:r>
        <w:rPr>
          <w:rFonts w:ascii="Times New Roman" w:eastAsia="Times New Roman" w:hAnsi="Times New Roman" w:cs="Times New Roman"/>
          <w:sz w:val="24"/>
          <w:szCs w:val="24"/>
        </w:rPr>
        <w:t xml:space="preserve">, Dodd-Frank has required the creation of the </w:t>
      </w:r>
      <w:r>
        <w:rPr>
          <w:rFonts w:ascii="Times New Roman" w:eastAsia="Times New Roman" w:hAnsi="Times New Roman" w:cs="Times New Roman"/>
          <w:b/>
          <w:i/>
          <w:sz w:val="24"/>
          <w:szCs w:val="24"/>
        </w:rPr>
        <w:t>“Investor Advisory Committee (IAC)”</w:t>
      </w:r>
      <w:r>
        <w:rPr>
          <w:rFonts w:ascii="Times New Roman" w:eastAsia="Times New Roman" w:hAnsi="Times New Roman" w:cs="Times New Roman"/>
          <w:sz w:val="24"/>
          <w:szCs w:val="24"/>
        </w:rPr>
        <w:t xml:space="preserve"> and the Office of the Advocate investor has helped in appointing the OIA for the target conflict of interest within the firm investment on the mutual fund advertisement (</w:t>
      </w:r>
      <w:r>
        <w:rPr>
          <w:rFonts w:ascii="Times New Roman" w:eastAsia="Times New Roman" w:hAnsi="Times New Roman" w:cs="Times New Roman"/>
          <w:color w:val="222222"/>
          <w:sz w:val="24"/>
          <w:szCs w:val="24"/>
          <w:highlight w:val="white"/>
        </w:rPr>
        <w:t>Fernandes, 2022).</w:t>
      </w:r>
      <w:r>
        <w:rPr>
          <w:rFonts w:ascii="Times New Roman" w:eastAsia="Times New Roman" w:hAnsi="Times New Roman" w:cs="Times New Roman"/>
          <w:sz w:val="24"/>
          <w:szCs w:val="24"/>
        </w:rPr>
        <w:t xml:space="preserve"> The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issues of accountability, executive compensation</w:t>
      </w:r>
      <w:r w:rsidR="00D6750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corporate governance</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have been removed by the fund advertisement. </w:t>
      </w:r>
    </w:p>
    <w:p w14:paraId="6B4E7D78" w14:textId="2673654C"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Title IX has included the development of the </w:t>
      </w:r>
      <w:r>
        <w:rPr>
          <w:rFonts w:ascii="Times New Roman" w:eastAsia="Times New Roman" w:hAnsi="Times New Roman" w:cs="Times New Roman"/>
          <w:b/>
          <w:i/>
          <w:sz w:val="24"/>
          <w:szCs w:val="24"/>
        </w:rPr>
        <w:t>“Security Exchange Commission”</w:t>
      </w:r>
      <w:r>
        <w:rPr>
          <w:rFonts w:ascii="Times New Roman" w:eastAsia="Times New Roman" w:hAnsi="Times New Roman" w:cs="Times New Roman"/>
          <w:sz w:val="24"/>
          <w:szCs w:val="24"/>
        </w:rPr>
        <w:t xml:space="preserve">, office, which </w:t>
      </w:r>
      <w:r w:rsidR="00D67501">
        <w:rPr>
          <w:rFonts w:ascii="Times New Roman" w:eastAsia="Times New Roman" w:hAnsi="Times New Roman" w:cs="Times New Roman"/>
          <w:sz w:val="24"/>
          <w:szCs w:val="24"/>
        </w:rPr>
        <w:t>helps maintain and increase</w:t>
      </w:r>
      <w:r>
        <w:rPr>
          <w:rFonts w:ascii="Times New Roman" w:eastAsia="Times New Roman" w:hAnsi="Times New Roman" w:cs="Times New Roman"/>
          <w:sz w:val="24"/>
          <w:szCs w:val="24"/>
        </w:rPr>
        <w:t xml:space="preserve"> the rating of the credit and backed securitization. According to the </w:t>
      </w:r>
      <w:r>
        <w:rPr>
          <w:rFonts w:ascii="Times New Roman" w:eastAsia="Times New Roman" w:hAnsi="Times New Roman" w:cs="Times New Roman"/>
          <w:b/>
          <w:i/>
          <w:sz w:val="24"/>
          <w:szCs w:val="24"/>
        </w:rPr>
        <w:t>“Investment Company Act of 1940</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Dodd-Frank Act</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created new committees with tight restrictions (blog.ipleaders.in, 2021). The act is highly helpful and beneficial for maintaining consumer protection and also it helps in maintaining the disclosure policy. The </w:t>
      </w:r>
      <w:r>
        <w:rPr>
          <w:rFonts w:ascii="Times New Roman" w:eastAsia="Times New Roman" w:hAnsi="Times New Roman" w:cs="Times New Roman"/>
          <w:b/>
          <w:i/>
          <w:sz w:val="24"/>
          <w:szCs w:val="24"/>
        </w:rPr>
        <w:t>“Investment Advisers Act of 1940</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has also seen major changes in fulfilling the requirements of the registration for investment advisors and also it affects hedge funds. The new protection of </w:t>
      </w:r>
      <w:r>
        <w:rPr>
          <w:rFonts w:ascii="Times New Roman" w:eastAsia="Times New Roman" w:hAnsi="Times New Roman" w:cs="Times New Roman"/>
          <w:sz w:val="24"/>
          <w:szCs w:val="24"/>
        </w:rPr>
        <w:lastRenderedPageBreak/>
        <w:t>whistleblowers and financial incentives has also been maintained by the</w:t>
      </w:r>
      <w:r>
        <w:rPr>
          <w:rFonts w:ascii="Times New Roman" w:eastAsia="Times New Roman" w:hAnsi="Times New Roman" w:cs="Times New Roman"/>
          <w:b/>
          <w:i/>
          <w:sz w:val="24"/>
          <w:szCs w:val="24"/>
        </w:rPr>
        <w:t xml:space="preserve"> “Sarbanes Oxley Act of 2002”</w:t>
      </w:r>
      <w:r>
        <w:rPr>
          <w:rFonts w:ascii="Times New Roman" w:eastAsia="Times New Roman" w:hAnsi="Times New Roman" w:cs="Times New Roman"/>
          <w:sz w:val="24"/>
          <w:szCs w:val="24"/>
        </w:rPr>
        <w:t xml:space="preserve"> (blog.ipleaders.in, 2021). Federal law has been established for auditing and monitoring financial regulation for public companies. </w:t>
      </w:r>
    </w:p>
    <w:p w14:paraId="3D3060FA" w14:textId="7DB66508"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sign of the financial panic, the impending financial crisis, appeared in the U.S. in 2007. The crisis began at the time of the US real estate collapse and the early delinquencies in the subprime mortgages. The financial panic increased in 2008, which was followed by the recession and the great depression in 1930. The other organs of the US government and the Federal Reserve have responded by flooding the market with money and also with other liquidity (</w:t>
      </w:r>
      <w:r>
        <w:rPr>
          <w:rFonts w:ascii="Times New Roman" w:eastAsia="Times New Roman" w:hAnsi="Times New Roman" w:cs="Times New Roman"/>
          <w:color w:val="222222"/>
          <w:sz w:val="24"/>
          <w:szCs w:val="24"/>
          <w:highlight w:val="white"/>
        </w:rPr>
        <w:t>Bulfone and Tassinari, 2021</w:t>
      </w:r>
      <w:r>
        <w:rPr>
          <w:rFonts w:ascii="Times New Roman" w:eastAsia="Times New Roman" w:hAnsi="Times New Roman" w:cs="Times New Roman"/>
          <w:sz w:val="24"/>
          <w:szCs w:val="24"/>
        </w:rPr>
        <w:t xml:space="preserve">). The interest rate has been reduced and it has helped in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providing extraordinary assistance to major financial institutions</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5F030C">
        <w:rPr>
          <w:rFonts w:ascii="Times New Roman" w:eastAsia="Times New Roman" w:hAnsi="Times New Roman" w:cs="Times New Roman"/>
          <w:sz w:val="24"/>
          <w:szCs w:val="24"/>
        </w:rPr>
        <w:t>The spending of the government</w:t>
      </w:r>
      <w:r>
        <w:rPr>
          <w:rFonts w:ascii="Times New Roman" w:eastAsia="Times New Roman" w:hAnsi="Times New Roman" w:cs="Times New Roman"/>
          <w:sz w:val="24"/>
          <w:szCs w:val="24"/>
        </w:rPr>
        <w:t xml:space="preserve"> has also increased by taking other steps and also it has provided financial assistance to the market. Real estate prices have begun to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collapse in the second half of 2007</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by which the investors started the shorting real estate market. The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leveraged credit market</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has dried up with the billions of dollars, which has been pending by the collapse of the deals. There are billions in mortgage-backed securities, also “</w:t>
      </w:r>
      <w:r>
        <w:rPr>
          <w:rFonts w:ascii="Times New Roman" w:eastAsia="Times New Roman" w:hAnsi="Times New Roman" w:cs="Times New Roman"/>
          <w:b/>
          <w:i/>
          <w:sz w:val="24"/>
          <w:szCs w:val="24"/>
        </w:rPr>
        <w:t>collateralized debt obligations</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have been mentioned in this security issue. The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collapse and rescue of Bear Stearns and the extraordinary measures</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have helped to make the emergence of liquidity in the commercial banks by the Federal Reserve. The Federal Reserve has responded to the crisis of other countries. Additionally, it has helped in reducing the interest rate by flooding the market with money (</w:t>
      </w:r>
      <w:r>
        <w:rPr>
          <w:rFonts w:ascii="Times New Roman" w:eastAsia="Times New Roman" w:hAnsi="Times New Roman" w:cs="Times New Roman"/>
          <w:color w:val="222222"/>
          <w:sz w:val="24"/>
          <w:szCs w:val="24"/>
          <w:highlight w:val="white"/>
        </w:rPr>
        <w:t>Tutu, 2020).</w:t>
      </w:r>
      <w:r>
        <w:rPr>
          <w:rFonts w:ascii="Times New Roman" w:eastAsia="Times New Roman" w:hAnsi="Times New Roman" w:cs="Times New Roman"/>
          <w:sz w:val="24"/>
          <w:szCs w:val="24"/>
        </w:rPr>
        <w:t xml:space="preserve"> The other currencies have also helped in increasing the value of the dollar, which is related to the other currencies. In the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summer of 2008, the price of oil</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other commodities</w:t>
      </w:r>
      <w:r w:rsidR="00D6750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agricultural products helped in reversing the proportion by declining in the dollar. </w:t>
      </w:r>
    </w:p>
    <w:p w14:paraId="04051E61" w14:textId="09946BDC" w:rsidR="001A5831" w:rsidRDefault="001A5831" w:rsidP="001A5831">
      <w:pPr>
        <w:pStyle w:val="Heading2"/>
      </w:pPr>
      <w:bookmarkStart w:id="5" w:name="_Toc133253312"/>
      <w:r>
        <w:t xml:space="preserve">Role of the </w:t>
      </w:r>
      <w:r w:rsidR="005F030C">
        <w:t>“</w:t>
      </w:r>
      <w:r>
        <w:t xml:space="preserve">other key players in the Financial System in mitigating the financial </w:t>
      </w:r>
      <w:bookmarkEnd w:id="5"/>
      <w:r w:rsidR="00EB56E8">
        <w:t>crisis.</w:t>
      </w:r>
      <w:r w:rsidR="005F030C">
        <w:t>”</w:t>
      </w:r>
      <w:r>
        <w:t xml:space="preserve"> </w:t>
      </w:r>
    </w:p>
    <w:p w14:paraId="536B349F" w14:textId="3401DB6B"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2008, the financial crisis exposed the issue of weakness in the current regulatory and also in supervisory frameworks. The recent developments in the financial crisis issue have helped in maintaining a clear action, which is required in the four areas for reducing risk and also helps in increasing </w:t>
      </w:r>
      <w:r w:rsidR="00D67501">
        <w:rPr>
          <w:rFonts w:ascii="Times New Roman" w:eastAsia="Times New Roman" w:hAnsi="Times New Roman" w:cs="Times New Roman"/>
          <w:sz w:val="24"/>
          <w:szCs w:val="24"/>
        </w:rPr>
        <w:t>crises</w:t>
      </w:r>
      <w:r>
        <w:rPr>
          <w:rFonts w:ascii="Times New Roman" w:eastAsia="Times New Roman" w:hAnsi="Times New Roman" w:cs="Times New Roman"/>
          <w:sz w:val="24"/>
          <w:szCs w:val="24"/>
        </w:rPr>
        <w:t xml:space="preserve">. In the financial crisis issue, it was necessary to find a better way, which </w:t>
      </w:r>
      <w:r w:rsidR="00D67501">
        <w:rPr>
          <w:rFonts w:ascii="Times New Roman" w:eastAsia="Times New Roman" w:hAnsi="Times New Roman" w:cs="Times New Roman"/>
          <w:sz w:val="24"/>
          <w:szCs w:val="24"/>
        </w:rPr>
        <w:t>helps assess</w:t>
      </w:r>
      <w:r>
        <w:rPr>
          <w:rFonts w:ascii="Times New Roman" w:eastAsia="Times New Roman" w:hAnsi="Times New Roman" w:cs="Times New Roman"/>
          <w:sz w:val="24"/>
          <w:szCs w:val="24"/>
        </w:rPr>
        <w:t xml:space="preserve"> systemic risk and also it helps in preventing the build-up with the good time (</w:t>
      </w:r>
      <w:r>
        <w:rPr>
          <w:rFonts w:ascii="Times New Roman" w:eastAsia="Times New Roman" w:hAnsi="Times New Roman" w:cs="Times New Roman"/>
          <w:color w:val="222222"/>
          <w:sz w:val="24"/>
          <w:szCs w:val="24"/>
          <w:highlight w:val="white"/>
        </w:rPr>
        <w:t>Van Gent and Hochstenbach, 2020).</w:t>
      </w:r>
      <w:r>
        <w:rPr>
          <w:rFonts w:ascii="Times New Roman" w:eastAsia="Times New Roman" w:hAnsi="Times New Roman" w:cs="Times New Roman"/>
          <w:sz w:val="24"/>
          <w:szCs w:val="24"/>
        </w:rPr>
        <w:t xml:space="preserve"> The crisis or issue also has been mitigated by improving transparency and also by the disclosure of the risks with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different market participants</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expansion of the cross-institutional and cross-border scope</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of the regulations has helped in </w:t>
      </w:r>
      <w:r>
        <w:rPr>
          <w:rFonts w:ascii="Times New Roman" w:eastAsia="Times New Roman" w:hAnsi="Times New Roman" w:cs="Times New Roman"/>
          <w:sz w:val="24"/>
          <w:szCs w:val="24"/>
        </w:rPr>
        <w:lastRenderedPageBreak/>
        <w:t xml:space="preserve">maintaining the safeguarding of constructive diversity, and also it helped in placing the mechanisms for more coordinated and effective actions. </w:t>
      </w:r>
    </w:p>
    <w:p w14:paraId="52CE993E" w14:textId="16486FDD"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future crisis can be mitigated by effective financial regulations, which are required for </w:t>
      </w:r>
      <w:r w:rsidR="00D67501">
        <w:rPr>
          <w:rFonts w:ascii="Times New Roman" w:eastAsia="Times New Roman" w:hAnsi="Times New Roman" w:cs="Times New Roman"/>
          <w:sz w:val="24"/>
          <w:szCs w:val="24"/>
        </w:rPr>
        <w:t>realizing</w:t>
      </w:r>
      <w:r>
        <w:rPr>
          <w:rFonts w:ascii="Times New Roman" w:eastAsia="Times New Roman" w:hAnsi="Times New Roman" w:cs="Times New Roman"/>
          <w:sz w:val="24"/>
          <w:szCs w:val="24"/>
        </w:rPr>
        <w:t xml:space="preserve"> the potential of the open financial market. The improvement of the regulation was the central point, which helps in the financial </w:t>
      </w:r>
      <w:r w:rsidR="00856F0D">
        <w:rPr>
          <w:rFonts w:ascii="Times New Roman" w:eastAsia="Times New Roman" w:hAnsi="Times New Roman" w:cs="Times New Roman"/>
          <w:sz w:val="24"/>
          <w:szCs w:val="24"/>
        </w:rPr>
        <w:t>market,</w:t>
      </w:r>
      <w:r>
        <w:rPr>
          <w:rFonts w:ascii="Times New Roman" w:eastAsia="Times New Roman" w:hAnsi="Times New Roman" w:cs="Times New Roman"/>
          <w:sz w:val="24"/>
          <w:szCs w:val="24"/>
        </w:rPr>
        <w:t xml:space="preserve"> </w:t>
      </w:r>
      <w:r w:rsidR="00856F0D">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it is useful for financial innovation and integration in the World Economy. Financial intermediation like the </w:t>
      </w:r>
      <w:r>
        <w:rPr>
          <w:rFonts w:ascii="Times New Roman" w:eastAsia="Times New Roman" w:hAnsi="Times New Roman" w:cs="Times New Roman"/>
          <w:b/>
          <w:i/>
          <w:sz w:val="24"/>
          <w:szCs w:val="24"/>
        </w:rPr>
        <w:t>Lloyd Bank, consumers, multinational corporations</w:t>
      </w:r>
      <w:r w:rsidR="00D67501">
        <w:rPr>
          <w:rFonts w:ascii="Times New Roman" w:eastAsia="Times New Roman" w:hAnsi="Times New Roman" w:cs="Times New Roman"/>
          <w:b/>
          <w:i/>
          <w:sz w:val="24"/>
          <w:szCs w:val="24"/>
        </w:rPr>
        <w:t>,</w:t>
      </w:r>
      <w:r>
        <w:rPr>
          <w:rFonts w:ascii="Times New Roman" w:eastAsia="Times New Roman" w:hAnsi="Times New Roman" w:cs="Times New Roman"/>
          <w:b/>
          <w:i/>
          <w:sz w:val="24"/>
          <w:szCs w:val="24"/>
        </w:rPr>
        <w:t xml:space="preserve"> and institutional investors</w:t>
      </w:r>
      <w:r>
        <w:rPr>
          <w:rFonts w:ascii="Times New Roman" w:eastAsia="Times New Roman" w:hAnsi="Times New Roman" w:cs="Times New Roman"/>
          <w:sz w:val="24"/>
          <w:szCs w:val="24"/>
        </w:rPr>
        <w:t xml:space="preserve"> </w:t>
      </w:r>
      <w:r w:rsidR="00D67501">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played the role of the key players. Consumers can remove the financial crisis by increasing their transactions and also by increasing their interest in business activities in the banking sector (</w:t>
      </w:r>
      <w:r>
        <w:rPr>
          <w:rFonts w:ascii="Times New Roman" w:eastAsia="Times New Roman" w:hAnsi="Times New Roman" w:cs="Times New Roman"/>
          <w:color w:val="222222"/>
          <w:sz w:val="24"/>
          <w:szCs w:val="24"/>
          <w:highlight w:val="white"/>
        </w:rPr>
        <w:t>Engel, 2020).</w:t>
      </w:r>
      <w:r>
        <w:rPr>
          <w:rFonts w:ascii="Times New Roman" w:eastAsia="Times New Roman" w:hAnsi="Times New Roman" w:cs="Times New Roman"/>
          <w:sz w:val="24"/>
          <w:szCs w:val="24"/>
        </w:rPr>
        <w:t xml:space="preserve">  The MNCs also can reduce the financial threat by increasing competitiveness and also by increasing business innovation. Institutional investors can increase their investment for eliminating the financial issue and threats in the banking sector and also in the financial field. Additionally, the Lloyd Bank had created a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significant impact on financial assistance</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from the Bank of England. The macro and micro economic factors have also helped in mitigating the financial crisis of 2008 (</w:t>
      </w:r>
      <w:r>
        <w:rPr>
          <w:rFonts w:ascii="Times New Roman" w:eastAsia="Times New Roman" w:hAnsi="Times New Roman" w:cs="Times New Roman"/>
          <w:color w:val="222222"/>
          <w:sz w:val="24"/>
          <w:szCs w:val="24"/>
          <w:highlight w:val="white"/>
        </w:rPr>
        <w:t>Sahasrabuddhe, 2019).</w:t>
      </w:r>
      <w:r>
        <w:rPr>
          <w:rFonts w:ascii="Times New Roman" w:eastAsia="Times New Roman" w:hAnsi="Times New Roman" w:cs="Times New Roman"/>
          <w:sz w:val="24"/>
          <w:szCs w:val="24"/>
        </w:rPr>
        <w:t xml:space="preserve"> The other key players like the regulators and the central banks have failed to acknowledge the deal with the systematic risks issue, also it has attached to the credit growth and pricing of the products. </w:t>
      </w:r>
    </w:p>
    <w:p w14:paraId="5AD9C56D" w14:textId="73F84188"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economies ran </w:t>
      </w:r>
      <w:r w:rsidR="00856F0D">
        <w:rPr>
          <w:rFonts w:ascii="Times New Roman" w:eastAsia="Times New Roman" w:hAnsi="Times New Roman" w:cs="Times New Roman"/>
          <w:sz w:val="24"/>
          <w:szCs w:val="24"/>
        </w:rPr>
        <w:t>persistently,</w:t>
      </w:r>
      <w:r>
        <w:rPr>
          <w:rFonts w:ascii="Times New Roman" w:eastAsia="Times New Roman" w:hAnsi="Times New Roman" w:cs="Times New Roman"/>
          <w:sz w:val="24"/>
          <w:szCs w:val="24"/>
        </w:rPr>
        <w:t xml:space="preserve"> and the large account surpluses have helped to generate a huge demand for financial assets in the deficit countries. The U.S. monetary policy has contributed to the low real interest rate worldwide, which has been helpful for fast credit growth and also it helped in the risk-taking issues. In the U.S</w:t>
      </w:r>
      <w:r w:rsidR="00856F0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dent in the credit market of the households and the non-financial business has also played an impactful role in growing the GDP by 118% to 173% between the years 1994 and 2007 (Statista, 2023). The </w:t>
      </w:r>
      <w:r>
        <w:rPr>
          <w:rFonts w:ascii="Times New Roman" w:eastAsia="Times New Roman" w:hAnsi="Times New Roman" w:cs="Times New Roman"/>
          <w:b/>
          <w:i/>
          <w:sz w:val="24"/>
          <w:szCs w:val="24"/>
        </w:rPr>
        <w:t xml:space="preserve">financial stability forum </w:t>
      </w:r>
      <w:r>
        <w:rPr>
          <w:rFonts w:ascii="Times New Roman" w:eastAsia="Times New Roman" w:hAnsi="Times New Roman" w:cs="Times New Roman"/>
          <w:sz w:val="24"/>
          <w:szCs w:val="24"/>
        </w:rPr>
        <w:t xml:space="preserve">has been helpful for risk management practices and also helped in risk management, which is associated with the risk of </w:t>
      </w:r>
      <w:r>
        <w:rPr>
          <w:rFonts w:ascii="Times New Roman" w:eastAsia="Times New Roman" w:hAnsi="Times New Roman" w:cs="Times New Roman"/>
          <w:b/>
          <w:i/>
          <w:sz w:val="24"/>
          <w:szCs w:val="24"/>
        </w:rPr>
        <w:t>disorderly unwinnings</w:t>
      </w:r>
      <w:r>
        <w:rPr>
          <w:rFonts w:ascii="Times New Roman" w:eastAsia="Times New Roman" w:hAnsi="Times New Roman" w:cs="Times New Roman"/>
          <w:sz w:val="24"/>
          <w:szCs w:val="24"/>
        </w:rPr>
        <w:t xml:space="preserve">. The non-standard measures have helped in increasing credit support in the crisis. The measures of the European Union also have helped to increase credit support. Additionally, the focus on the primary commercial bank like </w:t>
      </w:r>
      <w:r w:rsidR="00856F0D">
        <w:rPr>
          <w:rFonts w:ascii="Times New Roman" w:eastAsia="Times New Roman" w:hAnsi="Times New Roman" w:cs="Times New Roman"/>
          <w:sz w:val="24"/>
          <w:szCs w:val="24"/>
        </w:rPr>
        <w:t>Lloyd</w:t>
      </w:r>
      <w:r>
        <w:rPr>
          <w:rFonts w:ascii="Times New Roman" w:eastAsia="Times New Roman" w:hAnsi="Times New Roman" w:cs="Times New Roman"/>
          <w:sz w:val="24"/>
          <w:szCs w:val="24"/>
        </w:rPr>
        <w:t xml:space="preserve"> has also become the main source of funding for household and business areas in Europe (</w:t>
      </w:r>
      <w:r>
        <w:rPr>
          <w:rFonts w:ascii="Times New Roman" w:eastAsia="Times New Roman" w:hAnsi="Times New Roman" w:cs="Times New Roman"/>
          <w:color w:val="222222"/>
          <w:sz w:val="24"/>
          <w:szCs w:val="24"/>
          <w:highlight w:val="white"/>
        </w:rPr>
        <w:t>Theodore, 2020).</w:t>
      </w:r>
      <w:r>
        <w:rPr>
          <w:rFonts w:ascii="Times New Roman" w:eastAsia="Times New Roman" w:hAnsi="Times New Roman" w:cs="Times New Roman"/>
          <w:sz w:val="24"/>
          <w:szCs w:val="24"/>
        </w:rPr>
        <w:t xml:space="preserve"> A comparison to the US has helped in the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Euro area</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is about 70% of the funding of the corporation and household incomes. The equivalent share for the U.S. in the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well-functioning market is essential for the commercial banks</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of Europe. </w:t>
      </w:r>
    </w:p>
    <w:p w14:paraId="6F77C1A2" w14:textId="77777777" w:rsidR="001A5831" w:rsidRDefault="001A5831" w:rsidP="001A583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607779E" wp14:editId="1784F0D8">
            <wp:extent cx="4264025" cy="4040945"/>
            <wp:effectExtent l="38100" t="57150" r="117475" b="92905"/>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261550" cy="4038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4C584A" w14:textId="77777777" w:rsidR="001A5831" w:rsidRDefault="001A5831" w:rsidP="001A583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Soaring Debt </w:t>
      </w:r>
    </w:p>
    <w:p w14:paraId="6BE3F336" w14:textId="77777777" w:rsidR="001A5831" w:rsidRDefault="001A5831" w:rsidP="001A583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2023)</w:t>
      </w:r>
    </w:p>
    <w:p w14:paraId="22F640C6" w14:textId="77777777" w:rsidR="001A5831" w:rsidRDefault="001A5831" w:rsidP="001A5831">
      <w:pPr>
        <w:pStyle w:val="Heading1"/>
      </w:pPr>
      <w:bookmarkStart w:id="6" w:name="_6chcjaw1qv2o" w:colFirst="0" w:colLast="0"/>
      <w:bookmarkStart w:id="7" w:name="_Toc133253313"/>
      <w:bookmarkEnd w:id="6"/>
      <w:r>
        <w:t xml:space="preserve">Reviewing the contribution of the </w:t>
      </w:r>
      <w:r w:rsidRPr="001A5831">
        <w:t>reformation</w:t>
      </w:r>
      <w:r>
        <w:t xml:space="preserve"> to get a stable financial system</w:t>
      </w:r>
      <w:bookmarkEnd w:id="7"/>
    </w:p>
    <w:p w14:paraId="5C1FC3F8" w14:textId="77777777" w:rsidR="001A5831" w:rsidRDefault="001A5831" w:rsidP="00E56226">
      <w:pPr>
        <w:pStyle w:val="Heading2"/>
      </w:pPr>
      <w:bookmarkStart w:id="8" w:name="_Toc133253314"/>
      <w:r>
        <w:t>Contribution of the Reformation</w:t>
      </w:r>
      <w:bookmarkEnd w:id="8"/>
    </w:p>
    <w:p w14:paraId="49ADEB58" w14:textId="6E4D553A"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prevention of the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financial crisis of 2008</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main effort should be to increase the strength in preventing the crisis and mechanisms. Additionally, it is also necessary to recognize the best solution for mitigating crises with the debt management policies like </w:t>
      </w:r>
      <w:r>
        <w:rPr>
          <w:rFonts w:ascii="Times New Roman" w:eastAsia="Times New Roman" w:hAnsi="Times New Roman" w:cs="Times New Roman"/>
          <w:b/>
          <w:i/>
          <w:sz w:val="24"/>
          <w:szCs w:val="24"/>
        </w:rPr>
        <w:t>fiscal, exchange rate</w:t>
      </w:r>
      <w:r w:rsidR="00D67501">
        <w:rPr>
          <w:rFonts w:ascii="Times New Roman" w:eastAsia="Times New Roman" w:hAnsi="Times New Roman" w:cs="Times New Roman"/>
          <w:b/>
          <w:i/>
          <w:sz w:val="24"/>
          <w:szCs w:val="24"/>
        </w:rPr>
        <w:t>,</w:t>
      </w:r>
      <w:r>
        <w:rPr>
          <w:rFonts w:ascii="Times New Roman" w:eastAsia="Times New Roman" w:hAnsi="Times New Roman" w:cs="Times New Roman"/>
          <w:b/>
          <w:i/>
          <w:sz w:val="24"/>
          <w:szCs w:val="24"/>
        </w:rPr>
        <w:t xml:space="preserve"> and monetary</w:t>
      </w:r>
      <w:r>
        <w:rPr>
          <w:rFonts w:ascii="Times New Roman" w:eastAsia="Times New Roman" w:hAnsi="Times New Roman" w:cs="Times New Roman"/>
          <w:sz w:val="24"/>
          <w:szCs w:val="24"/>
        </w:rPr>
        <w:t xml:space="preserve">. In crisis prevention, the reformation has also helped in establishing effective financial regulation; </w:t>
      </w:r>
      <w:r w:rsidR="00EB56E8">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it helped in supervising and monitoring the acts in the economy and systemic risks. The maintenance of sustainable current accounts and capital account positions is also helpful for increasing financial stability (</w:t>
      </w:r>
      <w:r>
        <w:rPr>
          <w:rFonts w:ascii="Times New Roman" w:eastAsia="Times New Roman" w:hAnsi="Times New Roman" w:cs="Times New Roman"/>
          <w:color w:val="222222"/>
          <w:sz w:val="24"/>
          <w:szCs w:val="24"/>
          <w:highlight w:val="white"/>
        </w:rPr>
        <w:t>Manolova, 2022).</w:t>
      </w:r>
      <w:r>
        <w:rPr>
          <w:rFonts w:ascii="Times New Roman" w:eastAsia="Times New Roman" w:hAnsi="Times New Roman" w:cs="Times New Roman"/>
          <w:sz w:val="24"/>
          <w:szCs w:val="24"/>
        </w:rPr>
        <w:t xml:space="preserve"> Macroeconomic policies need to be implemented to fulfill the requirement of crisis prevention. The fiscal and monetary policies need to be used for achieving low inflation and also </w:t>
      </w:r>
      <w:r w:rsidR="00D67501">
        <w:rPr>
          <w:rFonts w:ascii="Times New Roman" w:eastAsia="Times New Roman" w:hAnsi="Times New Roman" w:cs="Times New Roman"/>
          <w:sz w:val="24"/>
          <w:szCs w:val="24"/>
        </w:rPr>
        <w:t>increase</w:t>
      </w:r>
      <w:r>
        <w:rPr>
          <w:rFonts w:ascii="Times New Roman" w:eastAsia="Times New Roman" w:hAnsi="Times New Roman" w:cs="Times New Roman"/>
          <w:sz w:val="24"/>
          <w:szCs w:val="24"/>
        </w:rPr>
        <w:t xml:space="preserve"> sustainable growth. The national policymakers also need to strengthen their </w:t>
      </w:r>
      <w:r>
        <w:rPr>
          <w:rFonts w:ascii="Times New Roman" w:eastAsia="Times New Roman" w:hAnsi="Times New Roman" w:cs="Times New Roman"/>
          <w:b/>
          <w:i/>
          <w:sz w:val="24"/>
          <w:szCs w:val="24"/>
        </w:rPr>
        <w:t>macro-financial surveillance and prudential policy coordination</w:t>
      </w:r>
      <w:r>
        <w:rPr>
          <w:rFonts w:ascii="Times New Roman" w:eastAsia="Times New Roman" w:hAnsi="Times New Roman" w:cs="Times New Roman"/>
          <w:sz w:val="24"/>
          <w:szCs w:val="24"/>
        </w:rPr>
        <w:t xml:space="preserve">, which is required to maintain pricing stability and financial growth. </w:t>
      </w:r>
    </w:p>
    <w:p w14:paraId="302A582D" w14:textId="6679DCB9"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the future, it will be required to get a long-term investment by the grooming demand in emerging and advanced countries. In the finance infrastructure, mature countries need to increase innovation and environmental </w:t>
      </w:r>
      <w:r w:rsidR="00856F0D">
        <w:rPr>
          <w:rFonts w:ascii="Times New Roman" w:eastAsia="Times New Roman" w:hAnsi="Times New Roman" w:cs="Times New Roman"/>
          <w:sz w:val="24"/>
          <w:szCs w:val="24"/>
        </w:rPr>
        <w:t>programs</w:t>
      </w:r>
      <w:r>
        <w:rPr>
          <w:rFonts w:ascii="Times New Roman" w:eastAsia="Times New Roman" w:hAnsi="Times New Roman" w:cs="Times New Roman"/>
          <w:sz w:val="24"/>
          <w:szCs w:val="24"/>
        </w:rPr>
        <w:t xml:space="preserve"> for the </w:t>
      </w:r>
      <w:r w:rsidR="00D67501">
        <w:rPr>
          <w:rFonts w:ascii="Times New Roman" w:eastAsia="Times New Roman" w:hAnsi="Times New Roman" w:cs="Times New Roman"/>
          <w:sz w:val="24"/>
          <w:szCs w:val="24"/>
        </w:rPr>
        <w:t>aging</w:t>
      </w:r>
      <w:r>
        <w:rPr>
          <w:rFonts w:ascii="Times New Roman" w:eastAsia="Times New Roman" w:hAnsi="Times New Roman" w:cs="Times New Roman"/>
          <w:sz w:val="24"/>
          <w:szCs w:val="24"/>
        </w:rPr>
        <w:t xml:space="preserve"> population. In developing countries, the per capita income also needs to be increased through </w:t>
      </w:r>
      <w:r>
        <w:rPr>
          <w:rFonts w:ascii="Times New Roman" w:eastAsia="Times New Roman" w:hAnsi="Times New Roman" w:cs="Times New Roman"/>
          <w:b/>
          <w:i/>
          <w:sz w:val="24"/>
          <w:szCs w:val="24"/>
        </w:rPr>
        <w:t>transportation, energy</w:t>
      </w:r>
      <w:r w:rsidR="00D67501">
        <w:rPr>
          <w:rFonts w:ascii="Times New Roman" w:eastAsia="Times New Roman" w:hAnsi="Times New Roman" w:cs="Times New Roman"/>
          <w:b/>
          <w:i/>
          <w:sz w:val="24"/>
          <w:szCs w:val="24"/>
        </w:rPr>
        <w:t>,</w:t>
      </w:r>
      <w:r>
        <w:rPr>
          <w:rFonts w:ascii="Times New Roman" w:eastAsia="Times New Roman" w:hAnsi="Times New Roman" w:cs="Times New Roman"/>
          <w:b/>
          <w:i/>
          <w:sz w:val="24"/>
          <w:szCs w:val="24"/>
        </w:rPr>
        <w:t xml:space="preserve"> and telecommunications</w:t>
      </w:r>
      <w:r>
        <w:rPr>
          <w:rFonts w:ascii="Times New Roman" w:eastAsia="Times New Roman" w:hAnsi="Times New Roman" w:cs="Times New Roman"/>
          <w:sz w:val="24"/>
          <w:szCs w:val="24"/>
        </w:rPr>
        <w:t>. Long-term capital investment is necessary for the expense of short-termism and also it is required for speculation (</w:t>
      </w:r>
      <w:r>
        <w:rPr>
          <w:rFonts w:ascii="Times New Roman" w:eastAsia="Times New Roman" w:hAnsi="Times New Roman" w:cs="Times New Roman"/>
          <w:color w:val="222222"/>
          <w:sz w:val="24"/>
          <w:szCs w:val="24"/>
          <w:highlight w:val="white"/>
        </w:rPr>
        <w:t xml:space="preserve">Zetzsche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In the global financial standards, financial </w:t>
      </w:r>
      <w:r w:rsidR="00856F0D">
        <w:rPr>
          <w:rFonts w:ascii="Times New Roman" w:eastAsia="Times New Roman" w:hAnsi="Times New Roman" w:cs="Times New Roman"/>
          <w:sz w:val="24"/>
          <w:szCs w:val="24"/>
        </w:rPr>
        <w:t>globalization</w:t>
      </w:r>
      <w:r>
        <w:rPr>
          <w:rFonts w:ascii="Times New Roman" w:eastAsia="Times New Roman" w:hAnsi="Times New Roman" w:cs="Times New Roman"/>
          <w:sz w:val="24"/>
          <w:szCs w:val="24"/>
        </w:rPr>
        <w:t xml:space="preserve"> has helped in reducing the financial crisis. </w:t>
      </w:r>
      <w:r w:rsidR="00D67501">
        <w:rPr>
          <w:rFonts w:ascii="Times New Roman" w:eastAsia="Times New Roman" w:hAnsi="Times New Roman" w:cs="Times New Roman"/>
          <w:sz w:val="24"/>
          <w:szCs w:val="24"/>
        </w:rPr>
        <w:t>Cross-border</w:t>
      </w:r>
      <w:r>
        <w:rPr>
          <w:rFonts w:ascii="Times New Roman" w:eastAsia="Times New Roman" w:hAnsi="Times New Roman" w:cs="Times New Roman"/>
          <w:sz w:val="24"/>
          <w:szCs w:val="24"/>
        </w:rPr>
        <w:t xml:space="preserve"> banks like Lloyd also became a major source of </w:t>
      </w:r>
      <w:r w:rsidR="005F030C">
        <w:rPr>
          <w:rFonts w:ascii="Times New Roman" w:eastAsia="Times New Roman" w:hAnsi="Times New Roman" w:cs="Times New Roman"/>
          <w:sz w:val="24"/>
          <w:szCs w:val="24"/>
        </w:rPr>
        <w:t>“</w:t>
      </w:r>
      <w:r>
        <w:rPr>
          <w:rFonts w:ascii="Times New Roman" w:eastAsia="Times New Roman" w:hAnsi="Times New Roman" w:cs="Times New Roman"/>
          <w:b/>
          <w:i/>
          <w:sz w:val="24"/>
          <w:szCs w:val="24"/>
        </w:rPr>
        <w:t xml:space="preserve">financial </w:t>
      </w:r>
      <w:r w:rsidR="005F030C">
        <w:rPr>
          <w:rFonts w:ascii="Times New Roman" w:eastAsia="Times New Roman" w:hAnsi="Times New Roman" w:cs="Times New Roman"/>
          <w:b/>
          <w:i/>
          <w:sz w:val="24"/>
          <w:szCs w:val="24"/>
        </w:rPr>
        <w:t>globalization”</w:t>
      </w:r>
      <w:r>
        <w:rPr>
          <w:rFonts w:ascii="Times New Roman" w:eastAsia="Times New Roman" w:hAnsi="Times New Roman" w:cs="Times New Roman"/>
          <w:sz w:val="24"/>
          <w:szCs w:val="24"/>
        </w:rPr>
        <w:t>. In developing countries, financial innovations and integration have helped in increasing the speed, and also have helped in transmitting the asset in the countries and classes. The financial crisis of 2008 has become a powerful reminder of the inadequate supervision and regulation of the countries (</w:t>
      </w:r>
      <w:r>
        <w:rPr>
          <w:rFonts w:ascii="Times New Roman" w:eastAsia="Times New Roman" w:hAnsi="Times New Roman" w:cs="Times New Roman"/>
          <w:color w:val="222222"/>
          <w:sz w:val="24"/>
          <w:szCs w:val="24"/>
          <w:highlight w:val="white"/>
        </w:rPr>
        <w:t xml:space="preserve">McKillop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Supervision in the countries is at the core of the financial system</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also it has global repercussions. The issue has proved that it is necessary to strengthen the regulatory corporation, which helps in international banking and also helps in improving the </w:t>
      </w:r>
      <w:r>
        <w:rPr>
          <w:rFonts w:ascii="Times New Roman" w:eastAsia="Times New Roman" w:hAnsi="Times New Roman" w:cs="Times New Roman"/>
          <w:b/>
          <w:i/>
          <w:sz w:val="24"/>
          <w:szCs w:val="24"/>
        </w:rPr>
        <w:t>liquidity and solvency</w:t>
      </w:r>
      <w:r>
        <w:rPr>
          <w:rFonts w:ascii="Times New Roman" w:eastAsia="Times New Roman" w:hAnsi="Times New Roman" w:cs="Times New Roman"/>
          <w:sz w:val="24"/>
          <w:szCs w:val="24"/>
        </w:rPr>
        <w:t xml:space="preserve"> of systemic banks. </w:t>
      </w:r>
    </w:p>
    <w:p w14:paraId="63857B94" w14:textId="6BDFD6C4"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recent governance reforms have set a particular standard, which is set by regulatory bodies. The core-periphery logic persist has also </w:t>
      </w:r>
      <w:r w:rsidR="00D67501">
        <w:rPr>
          <w:rFonts w:ascii="Times New Roman" w:eastAsia="Times New Roman" w:hAnsi="Times New Roman" w:cs="Times New Roman"/>
          <w:sz w:val="24"/>
          <w:szCs w:val="24"/>
        </w:rPr>
        <w:t>helped</w:t>
      </w:r>
      <w:r>
        <w:rPr>
          <w:rFonts w:ascii="Times New Roman" w:eastAsia="Times New Roman" w:hAnsi="Times New Roman" w:cs="Times New Roman"/>
          <w:sz w:val="24"/>
          <w:szCs w:val="24"/>
        </w:rPr>
        <w:t xml:space="preserve"> in generating a strong focus on maintaining financial stability in the global economy. The focus needs to be given to the </w:t>
      </w:r>
      <w:r w:rsidR="00856F0D">
        <w:rPr>
          <w:rFonts w:ascii="Times New Roman" w:eastAsia="Times New Roman" w:hAnsi="Times New Roman" w:cs="Times New Roman"/>
          <w:sz w:val="24"/>
          <w:szCs w:val="24"/>
        </w:rPr>
        <w:t>marginalization</w:t>
      </w:r>
      <w:r>
        <w:rPr>
          <w:rFonts w:ascii="Times New Roman" w:eastAsia="Times New Roman" w:hAnsi="Times New Roman" w:cs="Times New Roman"/>
          <w:sz w:val="24"/>
          <w:szCs w:val="24"/>
        </w:rPr>
        <w:t xml:space="preserve"> of the issues and also it is relevant for emerging and developing countries. The two-tier structure helps in dominating the decision-making factors in financial regulation. Additionally, membership in standard-setting bodies helps in restructuring the rule-making power for selecting the number in the developed economies. The </w:t>
      </w:r>
      <w:r>
        <w:rPr>
          <w:rFonts w:ascii="Times New Roman" w:eastAsia="Times New Roman" w:hAnsi="Times New Roman" w:cs="Times New Roman"/>
          <w:b/>
          <w:i/>
          <w:sz w:val="24"/>
          <w:szCs w:val="24"/>
        </w:rPr>
        <w:t xml:space="preserve">“financial stability Board”, </w:t>
      </w:r>
      <w:r>
        <w:rPr>
          <w:rFonts w:ascii="Times New Roman" w:eastAsia="Times New Roman" w:hAnsi="Times New Roman" w:cs="Times New Roman"/>
          <w:sz w:val="24"/>
          <w:szCs w:val="24"/>
        </w:rPr>
        <w:t xml:space="preserve">in the “international regulatory cooperation is included with 25 jurisdictions, which is based on the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Basel Committee on Banking Supervision</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w:t>
      </w:r>
      <w:r>
        <w:rPr>
          <w:rFonts w:ascii="Times New Roman" w:eastAsia="Times New Roman" w:hAnsi="Times New Roman" w:cs="Times New Roman"/>
          <w:b/>
          <w:i/>
          <w:sz w:val="24"/>
          <w:szCs w:val="24"/>
        </w:rPr>
        <w:t>RBI Securities and Exchange Board of India</w:t>
      </w:r>
      <w:r>
        <w:rPr>
          <w:rFonts w:ascii="Times New Roman" w:eastAsia="Times New Roman" w:hAnsi="Times New Roman" w:cs="Times New Roman"/>
          <w:sz w:val="24"/>
          <w:szCs w:val="24"/>
        </w:rPr>
        <w:t xml:space="preserve"> helped to reduce bankruptcy and insolvency.</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 All the other jurisdictions have access to specific channels of consultation. After intensifying financial </w:t>
      </w:r>
      <w:r w:rsidR="00856F0D">
        <w:rPr>
          <w:rFonts w:ascii="Times New Roman" w:eastAsia="Times New Roman" w:hAnsi="Times New Roman" w:cs="Times New Roman"/>
          <w:sz w:val="24"/>
          <w:szCs w:val="24"/>
        </w:rPr>
        <w:t>globalization</w:t>
      </w:r>
      <w:r>
        <w:rPr>
          <w:rFonts w:ascii="Times New Roman" w:eastAsia="Times New Roman" w:hAnsi="Times New Roman" w:cs="Times New Roman"/>
          <w:sz w:val="24"/>
          <w:szCs w:val="24"/>
        </w:rPr>
        <w:t>, a step change level has been increased by the integration of the countries, which is highly impactful for global finance. Strong competitive and reputational incentives are also necessary for regulation in developed countries, it is also helpful for adopting international standards (</w:t>
      </w:r>
      <w:r>
        <w:rPr>
          <w:rFonts w:ascii="Times New Roman" w:eastAsia="Times New Roman" w:hAnsi="Times New Roman" w:cs="Times New Roman"/>
          <w:color w:val="222222"/>
          <w:sz w:val="24"/>
          <w:szCs w:val="24"/>
          <w:highlight w:val="white"/>
        </w:rPr>
        <w:t xml:space="preserve">Lamperti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The international banking standard has implemented an international challenge for developed countries. The international standards need to be adopted more with a wide range of jurisdictions, and also it has made proper recommendations to increase the strength of the input in the peripheral countries. </w:t>
      </w:r>
    </w:p>
    <w:p w14:paraId="12E2D6AD" w14:textId="03EE6452"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Financial stability can be increased by standard-setting bodies, which also helps in international financial regulation. In developed countries, the standard-setting bodies help in reducing the threat of money laundering by implementing international standards. Financial inclusion is important for reducing negative repercussions and it also helps in regulating </w:t>
      </w:r>
      <w:r>
        <w:rPr>
          <w:rFonts w:ascii="Times New Roman" w:eastAsia="Times New Roman" w:hAnsi="Times New Roman" w:cs="Times New Roman"/>
          <w:b/>
          <w:i/>
          <w:sz w:val="24"/>
          <w:szCs w:val="24"/>
        </w:rPr>
        <w:t>non-bank credit intermediation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Ali and Puah, 2019).</w:t>
      </w:r>
      <w:r>
        <w:rPr>
          <w:rFonts w:ascii="Times New Roman" w:eastAsia="Times New Roman" w:hAnsi="Times New Roman" w:cs="Times New Roman"/>
          <w:sz w:val="24"/>
          <w:szCs w:val="24"/>
        </w:rPr>
        <w:t xml:space="preserve"> The tension between financial inclusion objectives and financial stability highly helps in emerging the debate about non-bank credit intermediation as </w:t>
      </w:r>
      <w:r>
        <w:rPr>
          <w:rFonts w:ascii="Times New Roman" w:eastAsia="Times New Roman" w:hAnsi="Times New Roman" w:cs="Times New Roman"/>
          <w:b/>
          <w:i/>
          <w:sz w:val="24"/>
          <w:szCs w:val="24"/>
        </w:rPr>
        <w:t xml:space="preserve">shadow banking </w:t>
      </w:r>
      <w:r>
        <w:rPr>
          <w:rFonts w:ascii="Times New Roman" w:eastAsia="Times New Roman" w:hAnsi="Times New Roman" w:cs="Times New Roman"/>
          <w:sz w:val="24"/>
          <w:szCs w:val="24"/>
        </w:rPr>
        <w:t xml:space="preserve">like private equity funds and mortgage lenders. The international policy community by G20 has been </w:t>
      </w:r>
      <w:r w:rsidR="00856F0D">
        <w:rPr>
          <w:rFonts w:ascii="Times New Roman" w:eastAsia="Times New Roman" w:hAnsi="Times New Roman" w:cs="Times New Roman"/>
          <w:sz w:val="24"/>
          <w:szCs w:val="24"/>
        </w:rPr>
        <w:t>recognized</w:t>
      </w:r>
      <w:r>
        <w:rPr>
          <w:rFonts w:ascii="Times New Roman" w:eastAsia="Times New Roman" w:hAnsi="Times New Roman" w:cs="Times New Roman"/>
          <w:sz w:val="24"/>
          <w:szCs w:val="24"/>
        </w:rPr>
        <w:t xml:space="preserve"> </w:t>
      </w:r>
      <w:r w:rsidR="00D67501">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the “international financial standard” (</w:t>
      </w:r>
      <w:r>
        <w:rPr>
          <w:rFonts w:ascii="Times New Roman" w:eastAsia="Times New Roman" w:hAnsi="Times New Roman" w:cs="Times New Roman"/>
          <w:color w:val="222222"/>
          <w:sz w:val="24"/>
          <w:szCs w:val="24"/>
          <w:highlight w:val="white"/>
        </w:rPr>
        <w:t>Tambunan, 2019).</w:t>
      </w:r>
      <w:r>
        <w:rPr>
          <w:rFonts w:ascii="Times New Roman" w:eastAsia="Times New Roman" w:hAnsi="Times New Roman" w:cs="Times New Roman"/>
          <w:sz w:val="24"/>
          <w:szCs w:val="24"/>
        </w:rPr>
        <w:t xml:space="preserve"> Additionally, it helps in anticipating the adverse implication of economic development and financial inclusion. Formulating the international standard is also helpful for reducing the challenges in the peripheral countries, and also it helps in mitigating financial crises through regulatory changes and jurisdictions. </w:t>
      </w:r>
    </w:p>
    <w:p w14:paraId="235272A2" w14:textId="453935E3" w:rsidR="001A5831" w:rsidRDefault="001A5831" w:rsidP="00E56226">
      <w:pPr>
        <w:pStyle w:val="Heading2"/>
      </w:pPr>
      <w:bookmarkStart w:id="9" w:name="_Toc133253315"/>
      <w:r>
        <w:t>Stable financial system in the post-2008 Crisis</w:t>
      </w:r>
      <w:bookmarkEnd w:id="9"/>
      <w:r w:rsidR="00EB56E8">
        <w:t>.</w:t>
      </w:r>
    </w:p>
    <w:p w14:paraId="2D0464C7" w14:textId="464B644C"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post-2008 crisis, the global debt of the government's non-financial corporations and the growth of the household increased by $72 trillion. The types of debt outstanding and the sources helped in the important difference. Additionally, the governments in the advanced economy have helped in borrowing in the entire world. In this context, China has become one-third of the global debt, which has increased by more than five times in the last decade. In developing countries, the growth of GDP was 145% in 2007, which increased by 256% in 2017 (mckinsey.com, 2023). In the advanced economy, the debt of China has also increased </w:t>
      </w:r>
      <w:r w:rsidR="00D67501">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contribution to transforming economic changes. </w:t>
      </w:r>
    </w:p>
    <w:p w14:paraId="1C9AFB6A" w14:textId="77777777"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Before the year 2008, public debt was mounting in the advanced economy, it also swelled as the </w:t>
      </w:r>
      <w:r w:rsidR="005F030C">
        <w:rPr>
          <w:rFonts w:ascii="Times New Roman" w:eastAsia="Times New Roman" w:hAnsi="Times New Roman" w:cs="Times New Roman"/>
          <w:sz w:val="24"/>
          <w:szCs w:val="24"/>
        </w:rPr>
        <w:t>“</w:t>
      </w:r>
      <w:r>
        <w:rPr>
          <w:rFonts w:ascii="Times New Roman" w:eastAsia="Times New Roman" w:hAnsi="Times New Roman" w:cs="Times New Roman"/>
          <w:b/>
          <w:i/>
          <w:sz w:val="24"/>
          <w:szCs w:val="24"/>
        </w:rPr>
        <w:t>Great Recession</w:t>
      </w:r>
      <w:r>
        <w:rPr>
          <w:rFonts w:ascii="Times New Roman" w:eastAsia="Times New Roman" w:hAnsi="Times New Roman" w:cs="Times New Roman"/>
          <w:sz w:val="24"/>
          <w:szCs w:val="24"/>
        </w:rPr>
        <w:t xml:space="preserve"> caused by the tax revenue</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the rise of “social welfare payments”. There are some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countries like China and the U.S</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have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enacted fiscal stimulus packages</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There are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some recapitalized banks</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critical industries, which have helped in reducing the debt crisis. The global government debt has doubled by $60 trillion (mckinsey.com, 2023). The issue of the debt crisis in the private sector has shifted to the government in the aftermath. </w:t>
      </w:r>
    </w:p>
    <w:p w14:paraId="00ABD22D" w14:textId="77777777" w:rsidR="001A5831" w:rsidRDefault="001A5831" w:rsidP="001A583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2185F77" wp14:editId="5C133FA1">
            <wp:extent cx="4233624" cy="3413125"/>
            <wp:effectExtent l="38100" t="57150" r="109776" b="92075"/>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237562" cy="3416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AAB275" w14:textId="77777777" w:rsidR="001A5831" w:rsidRDefault="001A5831" w:rsidP="001A583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Debt in advanced economies by sector </w:t>
      </w:r>
    </w:p>
    <w:p w14:paraId="618D0F7D" w14:textId="77777777" w:rsidR="001A5831" w:rsidRDefault="001A5831" w:rsidP="001A583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mckinsey.com, 2023)</w:t>
      </w:r>
    </w:p>
    <w:p w14:paraId="7B9823AB" w14:textId="575CC9F7"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developed countries, economic cooperation and government debt have exceeded the annual GDP in Italy, Japan, Greece, </w:t>
      </w:r>
      <w:r w:rsidR="006449FA">
        <w:rPr>
          <w:rFonts w:ascii="Times New Roman" w:eastAsia="Times New Roman" w:hAnsi="Times New Roman" w:cs="Times New Roman"/>
          <w:sz w:val="24"/>
          <w:szCs w:val="24"/>
        </w:rPr>
        <w:t>Belgium</w:t>
      </w:r>
      <w:r w:rsidR="00C319E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the UK. The anti-EU political movement has helped to strain the eurozone by the potential sovereign. The high levels of government debt have set a standard for pitched </w:t>
      </w:r>
      <w:r w:rsidR="00856F0D">
        <w:rPr>
          <w:rFonts w:ascii="Times New Roman" w:eastAsia="Times New Roman" w:hAnsi="Times New Roman" w:cs="Times New Roman"/>
          <w:sz w:val="24"/>
          <w:szCs w:val="24"/>
        </w:rPr>
        <w:t>battles,</w:t>
      </w:r>
      <w:r>
        <w:rPr>
          <w:rFonts w:ascii="Times New Roman" w:eastAsia="Times New Roman" w:hAnsi="Times New Roman" w:cs="Times New Roman"/>
          <w:sz w:val="24"/>
          <w:szCs w:val="24"/>
        </w:rPr>
        <w:t xml:space="preserve"> and it has also set priorities for the future. </w:t>
      </w:r>
    </w:p>
    <w:p w14:paraId="169D6197" w14:textId="186C63F8"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emerging economy, the growth of </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sovereign debt reflects the sheer scale</w:t>
      </w:r>
      <w:r w:rsidR="005F0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of the required investment, </w:t>
      </w:r>
      <w:r w:rsidR="005F030C">
        <w:rPr>
          <w:rFonts w:ascii="Times New Roman" w:eastAsia="Times New Roman" w:hAnsi="Times New Roman" w:cs="Times New Roman"/>
          <w:sz w:val="24"/>
          <w:szCs w:val="24"/>
        </w:rPr>
        <w:t>this is essential for urbanization and industrialization.</w:t>
      </w:r>
      <w:r>
        <w:rPr>
          <w:rFonts w:ascii="Times New Roman" w:eastAsia="Times New Roman" w:hAnsi="Times New Roman" w:cs="Times New Roman"/>
          <w:sz w:val="24"/>
          <w:szCs w:val="24"/>
        </w:rPr>
        <w:t xml:space="preserve"> There are also some countries, which have funding for large public administrators and also for inefficient state-owned </w:t>
      </w:r>
      <w:r w:rsidR="00856F0D">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In emerging economies, the public debt has become more modest, as it has increased by 46% of GDP compared with 105% in the advanced economic system (mckinsey.com, 2023). Countries </w:t>
      </w:r>
      <w:r w:rsidR="006449FA">
        <w:rPr>
          <w:rFonts w:ascii="Times New Roman" w:eastAsia="Times New Roman" w:hAnsi="Times New Roman" w:cs="Times New Roman"/>
          <w:sz w:val="24"/>
          <w:szCs w:val="24"/>
        </w:rPr>
        <w:t xml:space="preserve">like </w:t>
      </w:r>
      <w:r w:rsidR="002023AC">
        <w:rPr>
          <w:rFonts w:ascii="Times New Roman" w:eastAsia="Times New Roman" w:hAnsi="Times New Roman" w:cs="Times New Roman"/>
          <w:sz w:val="24"/>
          <w:szCs w:val="24"/>
        </w:rPr>
        <w:t>“</w:t>
      </w:r>
      <w:r w:rsidR="006449FA">
        <w:rPr>
          <w:rFonts w:ascii="Times New Roman" w:eastAsia="Times New Roman" w:hAnsi="Times New Roman" w:cs="Times New Roman"/>
          <w:sz w:val="24"/>
          <w:szCs w:val="24"/>
        </w:rPr>
        <w:t>Argentina</w:t>
      </w:r>
      <w:r>
        <w:rPr>
          <w:rFonts w:ascii="Times New Roman" w:eastAsia="Times New Roman" w:hAnsi="Times New Roman" w:cs="Times New Roman"/>
          <w:sz w:val="24"/>
          <w:szCs w:val="24"/>
        </w:rPr>
        <w:t>, Indonesia, Ghana, Pakistan</w:t>
      </w:r>
      <w:r w:rsidR="00D6750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Ukraine</w:t>
      </w:r>
      <w:r w:rsidR="002023A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have come under pressure from the </w:t>
      </w:r>
      <w:r w:rsidR="002023AC">
        <w:rPr>
          <w:rFonts w:ascii="Times New Roman" w:eastAsia="Times New Roman" w:hAnsi="Times New Roman" w:cs="Times New Roman"/>
          <w:sz w:val="24"/>
          <w:szCs w:val="24"/>
        </w:rPr>
        <w:t>“</w:t>
      </w:r>
      <w:r>
        <w:rPr>
          <w:rFonts w:ascii="Times New Roman" w:eastAsia="Times New Roman" w:hAnsi="Times New Roman" w:cs="Times New Roman"/>
          <w:sz w:val="24"/>
          <w:szCs w:val="24"/>
        </w:rPr>
        <w:t>combination of large debt in foreign countries</w:t>
      </w:r>
      <w:r w:rsidR="002023A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International Monetary Fund has got the 40% in </w:t>
      </w:r>
      <w:r w:rsidR="002023AC">
        <w:rPr>
          <w:rFonts w:ascii="Times New Roman" w:eastAsia="Times New Roman" w:hAnsi="Times New Roman" w:cs="Times New Roman"/>
          <w:sz w:val="24"/>
          <w:szCs w:val="24"/>
        </w:rPr>
        <w:t>“</w:t>
      </w:r>
      <w:r>
        <w:rPr>
          <w:rFonts w:ascii="Times New Roman" w:eastAsia="Times New Roman" w:hAnsi="Times New Roman" w:cs="Times New Roman"/>
          <w:sz w:val="24"/>
          <w:szCs w:val="24"/>
        </w:rPr>
        <w:t>low-income countries like in Sub-Saharan Africa</w:t>
      </w:r>
      <w:r w:rsidR="002023A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it has increased the high risk in the country. Sri Lanka has also implemented a control on China and also in Harbour Engineering. The global </w:t>
      </w:r>
      <w:r w:rsidR="00856F0D">
        <w:rPr>
          <w:rFonts w:ascii="Times New Roman" w:eastAsia="Times New Roman" w:hAnsi="Times New Roman" w:cs="Times New Roman"/>
          <w:sz w:val="24"/>
          <w:szCs w:val="24"/>
        </w:rPr>
        <w:t>non-financial</w:t>
      </w:r>
      <w:r>
        <w:rPr>
          <w:rFonts w:ascii="Times New Roman" w:eastAsia="Times New Roman" w:hAnsi="Times New Roman" w:cs="Times New Roman"/>
          <w:sz w:val="24"/>
          <w:szCs w:val="24"/>
        </w:rPr>
        <w:t xml:space="preserve"> corporation helped with the debt, which includes loans and bonds. The bonds and loans doubled by $66 trillion in the middle of 2017 (mckinsey.com, 2023). A potential risk has been increased by the debt in foreign countries. The corporate debt of Turkey has doubled in the past 10 years by loan domination. Countries like Vietnam and Chile have also increased corporate borrowing. </w:t>
      </w:r>
    </w:p>
    <w:p w14:paraId="2EB5AB1C" w14:textId="77777777" w:rsidR="001A5831" w:rsidRDefault="001A5831" w:rsidP="001A583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97CF6CD" wp14:editId="7A150537">
            <wp:extent cx="4991100" cy="3074928"/>
            <wp:effectExtent l="38100" t="57150" r="114300" b="87372"/>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988619" cy="3073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720F11" w14:textId="5578CA0E" w:rsidR="001A5831" w:rsidRDefault="001A5831" w:rsidP="001A583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Household </w:t>
      </w:r>
      <w:r w:rsidR="00D67501">
        <w:rPr>
          <w:rFonts w:ascii="Times New Roman" w:eastAsia="Times New Roman" w:hAnsi="Times New Roman" w:cs="Times New Roman"/>
          <w:b/>
          <w:sz w:val="24"/>
          <w:szCs w:val="24"/>
        </w:rPr>
        <w:t>Debt</w:t>
      </w:r>
      <w:r>
        <w:rPr>
          <w:rFonts w:ascii="Times New Roman" w:eastAsia="Times New Roman" w:hAnsi="Times New Roman" w:cs="Times New Roman"/>
          <w:b/>
          <w:sz w:val="24"/>
          <w:szCs w:val="24"/>
        </w:rPr>
        <w:t xml:space="preserve"> to GDP </w:t>
      </w:r>
    </w:p>
    <w:p w14:paraId="54B8B400" w14:textId="77777777" w:rsidR="001A5831" w:rsidRDefault="001A5831" w:rsidP="001A583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mckinsey.com, 2023)</w:t>
      </w:r>
    </w:p>
    <w:p w14:paraId="4CDE4003" w14:textId="3ED51FFB" w:rsidR="001A5831" w:rsidRDefault="001A5831" w:rsidP="001A58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China has gained huge growth from the year 2007 to 2017. The corporate debt of China is related to the </w:t>
      </w:r>
      <w:r w:rsidR="002023AC">
        <w:rPr>
          <w:rFonts w:ascii="Times New Roman" w:eastAsia="Times New Roman" w:hAnsi="Times New Roman" w:cs="Times New Roman"/>
          <w:sz w:val="24"/>
          <w:szCs w:val="24"/>
        </w:rPr>
        <w:t>“</w:t>
      </w:r>
      <w:r>
        <w:rPr>
          <w:rFonts w:ascii="Times New Roman" w:eastAsia="Times New Roman" w:hAnsi="Times New Roman" w:cs="Times New Roman"/>
          <w:sz w:val="24"/>
          <w:szCs w:val="24"/>
        </w:rPr>
        <w:t>booming construction in the real estate sectors</w:t>
      </w:r>
      <w:r w:rsidR="002023A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the advanced economy, the companies have borrowed </w:t>
      </w:r>
      <w:r w:rsidR="006449FA">
        <w:rPr>
          <w:rFonts w:ascii="Times New Roman" w:eastAsia="Times New Roman" w:hAnsi="Times New Roman" w:cs="Times New Roman"/>
          <w:sz w:val="24"/>
          <w:szCs w:val="24"/>
        </w:rPr>
        <w:t>more;</w:t>
      </w:r>
      <w:r>
        <w:rPr>
          <w:rFonts w:ascii="Times New Roman" w:eastAsia="Times New Roman" w:hAnsi="Times New Roman" w:cs="Times New Roman"/>
          <w:sz w:val="24"/>
          <w:szCs w:val="24"/>
        </w:rPr>
        <w:t xml:space="preserve"> </w:t>
      </w:r>
      <w:r w:rsidR="00856F0D">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the economies have maintained the balance between manufacturing and capital-intensive industries. The light sectors like “health, technology, education</w:t>
      </w:r>
      <w:r w:rsidR="00D6750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media” have increased growth in the economic system to continue the large amounts of debt (</w:t>
      </w:r>
      <w:r>
        <w:rPr>
          <w:rFonts w:ascii="Times New Roman" w:eastAsia="Times New Roman" w:hAnsi="Times New Roman" w:cs="Times New Roman"/>
          <w:color w:val="222222"/>
          <w:sz w:val="24"/>
          <w:szCs w:val="24"/>
          <w:highlight w:val="white"/>
        </w:rPr>
        <w:t>Orazalin and Mahmood, 2019).</w:t>
      </w:r>
      <w:r>
        <w:rPr>
          <w:rFonts w:ascii="Times New Roman" w:eastAsia="Times New Roman" w:hAnsi="Times New Roman" w:cs="Times New Roman"/>
          <w:sz w:val="24"/>
          <w:szCs w:val="24"/>
        </w:rPr>
        <w:t xml:space="preserve"> On the other hand, </w:t>
      </w:r>
      <w:r w:rsidR="002023AC">
        <w:rPr>
          <w:rFonts w:ascii="Times New Roman" w:eastAsia="Times New Roman" w:hAnsi="Times New Roman" w:cs="Times New Roman"/>
          <w:sz w:val="24"/>
          <w:szCs w:val="24"/>
        </w:rPr>
        <w:t>“</w:t>
      </w:r>
      <w:r>
        <w:rPr>
          <w:rFonts w:ascii="Times New Roman" w:eastAsia="Times New Roman" w:hAnsi="Times New Roman" w:cs="Times New Roman"/>
          <w:sz w:val="24"/>
          <w:szCs w:val="24"/>
        </w:rPr>
        <w:t>corporate lending from banks has been flat from the crisis</w:t>
      </w:r>
      <w:r w:rsidR="002023A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innovation and diversification of corporate finance have helped in improving financial stability, which helps in increasing reflection in the capital market worldwide. </w:t>
      </w:r>
    </w:p>
    <w:p w14:paraId="1138A3D9" w14:textId="77777777" w:rsidR="00EB56E8" w:rsidRDefault="00EB56E8" w:rsidP="001A5831">
      <w:pPr>
        <w:pStyle w:val="Normal1"/>
        <w:spacing w:line="360" w:lineRule="auto"/>
        <w:jc w:val="both"/>
        <w:rPr>
          <w:rFonts w:ascii="Times New Roman" w:eastAsia="Times New Roman" w:hAnsi="Times New Roman" w:cs="Times New Roman"/>
          <w:sz w:val="24"/>
          <w:szCs w:val="24"/>
        </w:rPr>
      </w:pPr>
    </w:p>
    <w:p w14:paraId="054A8F08" w14:textId="23C499F3" w:rsidR="00A2461F" w:rsidRDefault="00856F0D" w:rsidP="00942986">
      <w:pPr>
        <w:pStyle w:val="Heading1"/>
      </w:pPr>
      <w:bookmarkStart w:id="10" w:name="_Toc133253316"/>
      <w:r>
        <w:t>Analyzing</w:t>
      </w:r>
      <w:r w:rsidR="00316B22">
        <w:t xml:space="preserve"> the impact of the reformation on the business model and level of compliance of Lloyds Bank</w:t>
      </w:r>
      <w:bookmarkEnd w:id="10"/>
      <w:r w:rsidR="00EB56E8">
        <w:t>.</w:t>
      </w:r>
    </w:p>
    <w:p w14:paraId="185DD484" w14:textId="4727F884" w:rsidR="00A2461F" w:rsidRDefault="00316B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has been extremely impacted by the crisis. The statutory profit before tax was reduced by 80% in Lloyds Bank as a result the underlying business performance was offset by an impact of market dislocation (</w:t>
      </w:r>
      <w:hyperlink r:id="rId12">
        <w:r>
          <w:rPr>
            <w:rFonts w:ascii="Times New Roman" w:eastAsia="Times New Roman" w:hAnsi="Times New Roman" w:cs="Times New Roman"/>
            <w:sz w:val="24"/>
            <w:szCs w:val="24"/>
            <w:highlight w:val="white"/>
          </w:rPr>
          <w:t>Lloydsbankinggroup.com, 2008</w:t>
        </w:r>
      </w:hyperlink>
      <w:r>
        <w:rPr>
          <w:rFonts w:ascii="Times New Roman" w:eastAsia="Times New Roman" w:hAnsi="Times New Roman" w:cs="Times New Roman"/>
          <w:sz w:val="24"/>
          <w:szCs w:val="24"/>
        </w:rPr>
        <w:t xml:space="preserve">). The difficulty in the economic environment has caused an </w:t>
      </w:r>
      <w:r w:rsidR="0061328C">
        <w:rPr>
          <w:rFonts w:ascii="Times New Roman" w:eastAsia="Times New Roman" w:hAnsi="Times New Roman" w:cs="Times New Roman"/>
          <w:b/>
          <w:i/>
          <w:sz w:val="24"/>
          <w:szCs w:val="24"/>
        </w:rPr>
        <w:t>impairment loss of about 68</w:t>
      </w:r>
      <w:r>
        <w:rPr>
          <w:rFonts w:ascii="Times New Roman" w:eastAsia="Times New Roman" w:hAnsi="Times New Roman" w:cs="Times New Roman"/>
          <w:b/>
          <w:i/>
          <w:sz w:val="24"/>
          <w:szCs w:val="24"/>
        </w:rPr>
        <w:t>% which accounted for £3,012 million</w:t>
      </w:r>
      <w:r>
        <w:rPr>
          <w:rFonts w:ascii="Times New Roman" w:eastAsia="Times New Roman" w:hAnsi="Times New Roman" w:cs="Times New Roman"/>
          <w:sz w:val="24"/>
          <w:szCs w:val="24"/>
        </w:rPr>
        <w:t xml:space="preserve"> and impacted the performance of the bank. However, after the Deregulation and the 2008 financial crisis the reforms such as </w:t>
      </w:r>
      <w:r>
        <w:rPr>
          <w:rFonts w:ascii="Times New Roman" w:eastAsia="Times New Roman" w:hAnsi="Times New Roman" w:cs="Times New Roman"/>
          <w:b/>
          <w:i/>
          <w:sz w:val="24"/>
          <w:szCs w:val="24"/>
        </w:rPr>
        <w:t xml:space="preserve">"Dodd-Frank Wall Street Reform" and "Consumer Protection Act" </w:t>
      </w:r>
      <w:r>
        <w:rPr>
          <w:rFonts w:ascii="Times New Roman" w:eastAsia="Times New Roman" w:hAnsi="Times New Roman" w:cs="Times New Roman"/>
          <w:sz w:val="24"/>
          <w:szCs w:val="24"/>
        </w:rPr>
        <w:t xml:space="preserve">have been enacted to oversee the financial crisis and restore stability in the </w:t>
      </w:r>
      <w:r>
        <w:rPr>
          <w:rFonts w:ascii="Times New Roman" w:eastAsia="Times New Roman" w:hAnsi="Times New Roman" w:cs="Times New Roman"/>
          <w:sz w:val="24"/>
          <w:szCs w:val="24"/>
        </w:rPr>
        <w:lastRenderedPageBreak/>
        <w:t>banks (</w:t>
      </w:r>
      <w:r>
        <w:rPr>
          <w:rFonts w:ascii="Times New Roman" w:eastAsia="Times New Roman" w:hAnsi="Times New Roman" w:cs="Times New Roman"/>
          <w:color w:val="222222"/>
          <w:sz w:val="24"/>
          <w:szCs w:val="24"/>
          <w:highlight w:val="white"/>
        </w:rPr>
        <w:t>Reform</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Nevertheless, the bank's corporate strategy has helped the </w:t>
      </w:r>
      <w:r w:rsidR="00856F0D">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to improve process efficiency, working capital harder</w:t>
      </w:r>
      <w:r w:rsidR="00D6750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a more focused approach 'through the cycle' to reduce the risk of the enlarged group. </w:t>
      </w:r>
    </w:p>
    <w:p w14:paraId="62AE7EAE" w14:textId="08540707" w:rsidR="00A2461F" w:rsidRDefault="00316B2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Balanced scorecard approach to measuring the </w:t>
      </w:r>
      <w:r w:rsidR="00856F0D">
        <w:rPr>
          <w:rFonts w:ascii="Times New Roman" w:eastAsia="Times New Roman" w:hAnsi="Times New Roman" w:cs="Times New Roman"/>
          <w:b/>
          <w:i/>
          <w:sz w:val="24"/>
          <w:szCs w:val="24"/>
        </w:rPr>
        <w:t>progress.</w:t>
      </w:r>
    </w:p>
    <w:p w14:paraId="5B3EB1ED" w14:textId="203D49B5" w:rsidR="00A2461F" w:rsidRDefault="00316B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unprecedented market conditions and prolonged economic instability the bank has a strong focus on customer relationships during challenging times as well. The bank focused on </w:t>
      </w:r>
      <w:r>
        <w:rPr>
          <w:rFonts w:ascii="Times New Roman" w:eastAsia="Times New Roman" w:hAnsi="Times New Roman" w:cs="Times New Roman"/>
          <w:b/>
          <w:i/>
          <w:sz w:val="24"/>
          <w:szCs w:val="24"/>
        </w:rPr>
        <w:t>improving its stronger performance among the shareholders</w:t>
      </w:r>
      <w:r>
        <w:rPr>
          <w:rFonts w:ascii="Times New Roman" w:eastAsia="Times New Roman" w:hAnsi="Times New Roman" w:cs="Times New Roman"/>
          <w:sz w:val="24"/>
          <w:szCs w:val="24"/>
        </w:rPr>
        <w:t xml:space="preserve"> and strengthening </w:t>
      </w:r>
      <w:r w:rsidR="00D67501">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overall business franchise with a higher customer advocacy score with a strong sustainable platform for future growth. The business model of Lloyds Bank is focused on a </w:t>
      </w:r>
      <w:r>
        <w:rPr>
          <w:rFonts w:ascii="Times New Roman" w:eastAsia="Times New Roman" w:hAnsi="Times New Roman" w:cs="Times New Roman"/>
          <w:b/>
          <w:i/>
          <w:sz w:val="24"/>
          <w:szCs w:val="24"/>
        </w:rPr>
        <w:t xml:space="preserve">balanced scorecard approach </w:t>
      </w:r>
      <w:r>
        <w:rPr>
          <w:rFonts w:ascii="Times New Roman" w:eastAsia="Times New Roman" w:hAnsi="Times New Roman" w:cs="Times New Roman"/>
          <w:sz w:val="24"/>
          <w:szCs w:val="24"/>
        </w:rPr>
        <w:t xml:space="preserve">to measuring the progress within the </w:t>
      </w:r>
      <w:r w:rsidR="0037660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Lloydsbankinggroup.com, 2022</w:t>
      </w:r>
      <w:r>
        <w:rPr>
          <w:rFonts w:ascii="Times New Roman" w:eastAsia="Times New Roman" w:hAnsi="Times New Roman" w:cs="Times New Roman"/>
          <w:sz w:val="24"/>
          <w:szCs w:val="24"/>
        </w:rPr>
        <w:t>). The approach to measuring the performance has been subjugated based on five sections such as financial performance, growth based on the franchise, customer satisfaction, risk management</w:t>
      </w:r>
      <w:r w:rsidR="00D6750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community development. The </w:t>
      </w:r>
      <w:r w:rsidR="0037660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focuses on the aspects of the balanced scorecard based on customers and finance. Thereby, maintaining a balanced scorecard will help the </w:t>
      </w:r>
      <w:r w:rsidR="0037660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to position itself well against the financial crisis.</w:t>
      </w:r>
    </w:p>
    <w:p w14:paraId="0F3CAD56" w14:textId="70BCD952" w:rsidR="00A2461F" w:rsidRDefault="00316B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Impact of Government </w:t>
      </w:r>
      <w:r w:rsidR="009F1E2D">
        <w:rPr>
          <w:rFonts w:ascii="Times New Roman" w:eastAsia="Times New Roman" w:hAnsi="Times New Roman" w:cs="Times New Roman"/>
          <w:b/>
          <w:i/>
          <w:sz w:val="24"/>
          <w:szCs w:val="24"/>
        </w:rPr>
        <w:t>Recapitalization</w:t>
      </w:r>
      <w:r>
        <w:rPr>
          <w:rFonts w:ascii="Times New Roman" w:eastAsia="Times New Roman" w:hAnsi="Times New Roman" w:cs="Times New Roman"/>
          <w:b/>
          <w:i/>
          <w:sz w:val="24"/>
          <w:szCs w:val="24"/>
        </w:rPr>
        <w:t xml:space="preserve"> upon the Lloyds Bank</w:t>
      </w:r>
    </w:p>
    <w:p w14:paraId="25D286B9" w14:textId="6725D6F1" w:rsidR="00A2461F" w:rsidRDefault="00316B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Government </w:t>
      </w:r>
      <w:r w:rsidR="00D67501">
        <w:rPr>
          <w:rFonts w:ascii="Times New Roman" w:eastAsia="Times New Roman" w:hAnsi="Times New Roman" w:cs="Times New Roman"/>
          <w:sz w:val="24"/>
          <w:szCs w:val="24"/>
        </w:rPr>
        <w:t>recapitalization</w:t>
      </w:r>
      <w:r>
        <w:rPr>
          <w:rFonts w:ascii="Times New Roman" w:eastAsia="Times New Roman" w:hAnsi="Times New Roman" w:cs="Times New Roman"/>
          <w:sz w:val="24"/>
          <w:szCs w:val="24"/>
        </w:rPr>
        <w:t xml:space="preserve"> of the banking sector in October 2008 restored the stability and balance within the financial systems. The investment by the government was </w:t>
      </w:r>
      <w:r w:rsidR="00D67501">
        <w:rPr>
          <w:rFonts w:ascii="Times New Roman" w:eastAsia="Times New Roman" w:hAnsi="Times New Roman" w:cs="Times New Roman"/>
          <w:sz w:val="24"/>
          <w:szCs w:val="24"/>
        </w:rPr>
        <w:t>utilized</w:t>
      </w:r>
      <w:r>
        <w:rPr>
          <w:rFonts w:ascii="Times New Roman" w:eastAsia="Times New Roman" w:hAnsi="Times New Roman" w:cs="Times New Roman"/>
          <w:sz w:val="24"/>
          <w:szCs w:val="24"/>
        </w:rPr>
        <w:t xml:space="preserve"> in the right way for </w:t>
      </w:r>
      <w:r>
        <w:rPr>
          <w:rFonts w:ascii="Times New Roman" w:eastAsia="Times New Roman" w:hAnsi="Times New Roman" w:cs="Times New Roman"/>
          <w:b/>
          <w:i/>
          <w:sz w:val="24"/>
          <w:szCs w:val="24"/>
        </w:rPr>
        <w:t>achieving the capital increase for Lloyds Bank</w:t>
      </w:r>
      <w:r>
        <w:rPr>
          <w:rFonts w:ascii="Times New Roman" w:eastAsia="Times New Roman" w:hAnsi="Times New Roman" w:cs="Times New Roman"/>
          <w:sz w:val="24"/>
          <w:szCs w:val="24"/>
        </w:rPr>
        <w:t xml:space="preserve">. The </w:t>
      </w:r>
      <w:r w:rsidR="00D67501">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has been </w:t>
      </w:r>
      <w:r w:rsidR="00D67501">
        <w:rPr>
          <w:rFonts w:ascii="Times New Roman" w:eastAsia="Times New Roman" w:hAnsi="Times New Roman" w:cs="Times New Roman"/>
          <w:sz w:val="24"/>
          <w:szCs w:val="24"/>
        </w:rPr>
        <w:t>recognized</w:t>
      </w:r>
      <w:r>
        <w:rPr>
          <w:rFonts w:ascii="Times New Roman" w:eastAsia="Times New Roman" w:hAnsi="Times New Roman" w:cs="Times New Roman"/>
          <w:sz w:val="24"/>
          <w:szCs w:val="24"/>
        </w:rPr>
        <w:t xml:space="preserve"> with a strong track of the delivery of services to their customers and a prudent risk approach </w:t>
      </w:r>
      <w:r w:rsidR="00D67501">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their business areas. The philosophy of the </w:t>
      </w:r>
      <w:r w:rsidR="00D67501">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remains </w:t>
      </w:r>
      <w:r>
        <w:rPr>
          <w:rFonts w:ascii="Times New Roman" w:eastAsia="Times New Roman" w:hAnsi="Times New Roman" w:cs="Times New Roman"/>
          <w:b/>
          <w:i/>
          <w:sz w:val="24"/>
          <w:szCs w:val="24"/>
        </w:rPr>
        <w:t>"through the cycle" where they are committed to focusing on the needs of the customers</w:t>
      </w:r>
      <w:r>
        <w:rPr>
          <w:rFonts w:ascii="Times New Roman" w:eastAsia="Times New Roman" w:hAnsi="Times New Roman" w:cs="Times New Roman"/>
          <w:sz w:val="24"/>
          <w:szCs w:val="24"/>
        </w:rPr>
        <w:t xml:space="preserve"> and other stakeholders within their business (</w:t>
      </w:r>
      <w:r>
        <w:rPr>
          <w:rFonts w:ascii="Times New Roman" w:eastAsia="Times New Roman" w:hAnsi="Times New Roman" w:cs="Times New Roman"/>
          <w:color w:val="222222"/>
          <w:sz w:val="24"/>
          <w:szCs w:val="24"/>
          <w:highlight w:val="white"/>
        </w:rPr>
        <w:t>Lloydsbankinggroup.com, 2022</w:t>
      </w:r>
      <w:r>
        <w:rPr>
          <w:rFonts w:ascii="Times New Roman" w:eastAsia="Times New Roman" w:hAnsi="Times New Roman" w:cs="Times New Roman"/>
          <w:sz w:val="24"/>
          <w:szCs w:val="24"/>
        </w:rPr>
        <w:t xml:space="preserve">). Thereby, their conservative approach has resulted in capturing growth opportunities with a greater market share which impacts the overall quality of the business.  </w:t>
      </w:r>
    </w:p>
    <w:p w14:paraId="18872FD1" w14:textId="70B0301D" w:rsidR="00A2461F" w:rsidRDefault="00316B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corporate responsibility of the </w:t>
      </w:r>
      <w:r w:rsidR="0037660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focuses on building deep, long-lasting relationships with </w:t>
      </w:r>
      <w:r w:rsidR="0037660F">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customers. As per the case study, the risks revealed after the financial crisis during the period of 2008, show a substantial weakness of the banking sector with excessive investment and risk-taking with liquidity buffers within the </w:t>
      </w:r>
      <w:r w:rsidR="0037660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Considering this, major reforms within the financial sector were initiated with the reduction in </w:t>
      </w:r>
      <w:r>
        <w:rPr>
          <w:rFonts w:ascii="Times New Roman" w:eastAsia="Times New Roman" w:hAnsi="Times New Roman" w:cs="Times New Roman"/>
          <w:b/>
          <w:i/>
          <w:sz w:val="24"/>
          <w:szCs w:val="24"/>
        </w:rPr>
        <w:t>Cash Reserve Ratio (CRR) and Statutory Liquidity Ratio (SLR) to identify a competitive financial system</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 xml:space="preserve">Ruza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The main objective of the banking sector reforms was to promote diversified competitive financial systems through operational flexibility, institutional strengthening</w:t>
      </w:r>
      <w:r w:rsidR="0037660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viability as well. The financial market in the UK has shown a quarter of </w:t>
      </w:r>
      <w:r>
        <w:rPr>
          <w:rFonts w:ascii="Times New Roman" w:eastAsia="Times New Roman" w:hAnsi="Times New Roman" w:cs="Times New Roman"/>
          <w:sz w:val="24"/>
          <w:szCs w:val="24"/>
        </w:rPr>
        <w:lastRenderedPageBreak/>
        <w:t xml:space="preserve">negative growth where the economy has moved out of recession during the last quarter of 2009. The technical recession in the third quarter has impacted the business with a slowdown in lending which speculate a rising price in assets within the </w:t>
      </w:r>
      <w:r w:rsidR="0037660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t>
      </w:r>
    </w:p>
    <w:p w14:paraId="154218C7" w14:textId="37533841" w:rsidR="00A2461F" w:rsidRDefault="00316B2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Comprehensive bank regulations regime to </w:t>
      </w:r>
      <w:r w:rsidR="0037660F">
        <w:rPr>
          <w:rFonts w:ascii="Times New Roman" w:eastAsia="Times New Roman" w:hAnsi="Times New Roman" w:cs="Times New Roman"/>
          <w:b/>
          <w:i/>
          <w:sz w:val="24"/>
          <w:szCs w:val="24"/>
        </w:rPr>
        <w:t>stabilize</w:t>
      </w:r>
      <w:r>
        <w:rPr>
          <w:rFonts w:ascii="Times New Roman" w:eastAsia="Times New Roman" w:hAnsi="Times New Roman" w:cs="Times New Roman"/>
          <w:b/>
          <w:i/>
          <w:sz w:val="24"/>
          <w:szCs w:val="24"/>
        </w:rPr>
        <w:t xml:space="preserve"> the funding </w:t>
      </w:r>
      <w:r w:rsidR="00EB56E8">
        <w:rPr>
          <w:rFonts w:ascii="Times New Roman" w:eastAsia="Times New Roman" w:hAnsi="Times New Roman" w:cs="Times New Roman"/>
          <w:b/>
          <w:i/>
          <w:sz w:val="24"/>
          <w:szCs w:val="24"/>
        </w:rPr>
        <w:t>positions.</w:t>
      </w:r>
    </w:p>
    <w:p w14:paraId="23BD5872" w14:textId="607062A8" w:rsidR="00A2461F" w:rsidRDefault="00316B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creation of a </w:t>
      </w:r>
      <w:r>
        <w:rPr>
          <w:rFonts w:ascii="Times New Roman" w:eastAsia="Times New Roman" w:hAnsi="Times New Roman" w:cs="Times New Roman"/>
          <w:b/>
          <w:i/>
          <w:sz w:val="24"/>
          <w:szCs w:val="24"/>
        </w:rPr>
        <w:t>"Financial Policy Committee" in the UK</w:t>
      </w:r>
      <w:r>
        <w:rPr>
          <w:rFonts w:ascii="Times New Roman" w:eastAsia="Times New Roman" w:hAnsi="Times New Roman" w:cs="Times New Roman"/>
          <w:sz w:val="24"/>
          <w:szCs w:val="24"/>
        </w:rPr>
        <w:t xml:space="preserve"> is primarily responsible for identifying, monitoring</w:t>
      </w:r>
      <w:r w:rsidR="0037660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mitigating risks for financial stability. As opined by </w:t>
      </w:r>
      <w:r>
        <w:rPr>
          <w:rFonts w:ascii="Times New Roman" w:eastAsia="Times New Roman" w:hAnsi="Times New Roman" w:cs="Times New Roman"/>
          <w:color w:val="222222"/>
          <w:sz w:val="24"/>
          <w:szCs w:val="24"/>
          <w:highlight w:val="white"/>
        </w:rPr>
        <w:t>Bavoso (2020</w:t>
      </w:r>
      <w:r>
        <w:rPr>
          <w:rFonts w:ascii="Times New Roman" w:eastAsia="Times New Roman" w:hAnsi="Times New Roman" w:cs="Times New Roman"/>
          <w:sz w:val="24"/>
          <w:szCs w:val="24"/>
        </w:rPr>
        <w:t xml:space="preserve">), the holistic approach towards safeguarding stability and building capital resources </w:t>
      </w:r>
      <w:r w:rsidR="0037660F">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helpful for UK banking sectors to withstand potential losses.  Implementing a comprehensive bank regulations regime such as enforcing rules for the banks </w:t>
      </w:r>
      <w:r w:rsidR="0061328C">
        <w:rPr>
          <w:rFonts w:ascii="Times New Roman" w:eastAsia="Times New Roman" w:hAnsi="Times New Roman" w:cs="Times New Roman"/>
          <w:sz w:val="24"/>
          <w:szCs w:val="24"/>
        </w:rPr>
        <w:t>is to protect</w:t>
      </w:r>
      <w:r>
        <w:rPr>
          <w:rFonts w:ascii="Times New Roman" w:eastAsia="Times New Roman" w:hAnsi="Times New Roman" w:cs="Times New Roman"/>
          <w:sz w:val="24"/>
          <w:szCs w:val="24"/>
        </w:rPr>
        <w:t xml:space="preserve"> customers with effecti</w:t>
      </w:r>
      <w:r w:rsidR="00276C2B">
        <w:rPr>
          <w:rFonts w:ascii="Times New Roman" w:eastAsia="Times New Roman" w:hAnsi="Times New Roman" w:cs="Times New Roman"/>
          <w:sz w:val="24"/>
          <w:szCs w:val="24"/>
        </w:rPr>
        <w:t>ve bank regulation. Furthermore,</w:t>
      </w:r>
      <w:r w:rsidR="00413C0B">
        <w:rPr>
          <w:rFonts w:ascii="Times New Roman" w:eastAsia="Times New Roman" w:hAnsi="Times New Roman" w:cs="Times New Roman"/>
          <w:sz w:val="24"/>
          <w:szCs w:val="24"/>
        </w:rPr>
        <w:t xml:space="preserve"> </w:t>
      </w:r>
      <w:r w:rsidR="0037660F">
        <w:rPr>
          <w:rFonts w:ascii="Times New Roman" w:eastAsia="Times New Roman" w:hAnsi="Times New Roman" w:cs="Times New Roman"/>
          <w:sz w:val="24"/>
          <w:szCs w:val="24"/>
        </w:rPr>
        <w:t>recapitalizing</w:t>
      </w:r>
      <w:r>
        <w:rPr>
          <w:rFonts w:ascii="Times New Roman" w:eastAsia="Times New Roman" w:hAnsi="Times New Roman" w:cs="Times New Roman"/>
          <w:sz w:val="24"/>
          <w:szCs w:val="24"/>
        </w:rPr>
        <w:t xml:space="preserve"> the bank's resources is also crucial for the </w:t>
      </w:r>
      <w:r w:rsidR="0037660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The UK banks have issued substantial loss-absorbing debt instruments to initiate stability within the banking sectors.  The financial year performance profit for the year has shown a reduction to about </w:t>
      </w:r>
      <w:r>
        <w:rPr>
          <w:rFonts w:ascii="Times New Roman" w:eastAsia="Times New Roman" w:hAnsi="Times New Roman" w:cs="Times New Roman"/>
          <w:b/>
          <w:i/>
          <w:sz w:val="24"/>
          <w:szCs w:val="24"/>
        </w:rPr>
        <w:t xml:space="preserve">£807 in 2008 as compared to the previous year's £4000 in 2007 </w:t>
      </w:r>
      <w:r>
        <w:rPr>
          <w:rFonts w:ascii="Times New Roman" w:eastAsia="Times New Roman" w:hAnsi="Times New Roman" w:cs="Times New Roman"/>
          <w:sz w:val="24"/>
          <w:szCs w:val="24"/>
        </w:rPr>
        <w:t>(</w:t>
      </w:r>
      <w:hyperlink r:id="rId13">
        <w:r>
          <w:rPr>
            <w:rFonts w:ascii="Times New Roman" w:eastAsia="Times New Roman" w:hAnsi="Times New Roman" w:cs="Times New Roman"/>
            <w:sz w:val="24"/>
            <w:szCs w:val="24"/>
            <w:highlight w:val="white"/>
          </w:rPr>
          <w:t>Lloydsbankinggroup.com, 2008</w:t>
        </w:r>
      </w:hyperlink>
      <w:r>
        <w:rPr>
          <w:rFonts w:ascii="Times New Roman" w:eastAsia="Times New Roman" w:hAnsi="Times New Roman" w:cs="Times New Roman"/>
          <w:sz w:val="24"/>
          <w:szCs w:val="24"/>
        </w:rPr>
        <w:t xml:space="preserve">). The financial markets experienced difficult conditions during 2008 which shows a marked reduction in liquidity. Considering this, the Government and the Central Bank have initiated a series of actions.  In the UK these actions involve a "Special Liquidity Scheme" where banks and other </w:t>
      </w:r>
      <w:r w:rsidR="0037660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can exchange eligible securities and maintain and improve a stable funding situation within the </w:t>
      </w:r>
      <w:r w:rsidR="0037660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During 2008, the Group made use of these measures to maintain and improve a stable funding position amidst the uncertainty in the financial markets. </w:t>
      </w:r>
    </w:p>
    <w:p w14:paraId="31F6D233" w14:textId="77777777" w:rsidR="00A2461F" w:rsidRDefault="00316B2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375FAA8" wp14:editId="301DB342">
            <wp:extent cx="5731200" cy="18542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31200" cy="1854200"/>
                    </a:xfrm>
                    <a:prstGeom prst="rect">
                      <a:avLst/>
                    </a:prstGeom>
                    <a:ln w="12700">
                      <a:solidFill>
                        <a:srgbClr val="000000"/>
                      </a:solidFill>
                      <a:prstDash val="solid"/>
                    </a:ln>
                  </pic:spPr>
                </pic:pic>
              </a:graphicData>
            </a:graphic>
          </wp:inline>
        </w:drawing>
      </w:r>
    </w:p>
    <w:p w14:paraId="64EABEA0" w14:textId="3BE508E6" w:rsidR="00A2461F" w:rsidRDefault="00316B2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b/>
          <w:sz w:val="24"/>
          <w:szCs w:val="24"/>
        </w:rPr>
        <w:t>Figure 1</w:t>
      </w:r>
      <w:r w:rsidR="00276C2B">
        <w:rPr>
          <w:rFonts w:ascii="Times New Roman" w:eastAsia="Times New Roman" w:hAnsi="Times New Roman" w:cs="Times New Roman"/>
          <w:b/>
          <w:sz w:val="24"/>
          <w:szCs w:val="24"/>
        </w:rPr>
        <w:t xml:space="preserve">: </w:t>
      </w:r>
      <w:r w:rsidR="0037660F">
        <w:rPr>
          <w:rFonts w:ascii="Times New Roman" w:eastAsia="Times New Roman" w:hAnsi="Times New Roman" w:cs="Times New Roman"/>
          <w:b/>
          <w:sz w:val="24"/>
          <w:szCs w:val="24"/>
        </w:rPr>
        <w:t>Financial statement</w:t>
      </w:r>
      <w:r>
        <w:rPr>
          <w:rFonts w:ascii="Times New Roman" w:eastAsia="Times New Roman" w:hAnsi="Times New Roman" w:cs="Times New Roman"/>
          <w:b/>
          <w:sz w:val="24"/>
          <w:szCs w:val="24"/>
        </w:rPr>
        <w:t xml:space="preserve"> of Lloyds Bank for the span of 5 years </w:t>
      </w:r>
      <w:r w:rsidR="00D67501">
        <w:rPr>
          <w:rFonts w:ascii="Times New Roman" w:eastAsia="Times New Roman" w:hAnsi="Times New Roman" w:cs="Times New Roman"/>
          <w:b/>
          <w:sz w:val="24"/>
          <w:szCs w:val="24"/>
        </w:rPr>
        <w:t>before</w:t>
      </w:r>
      <w:r>
        <w:rPr>
          <w:rFonts w:ascii="Times New Roman" w:eastAsia="Times New Roman" w:hAnsi="Times New Roman" w:cs="Times New Roman"/>
          <w:b/>
          <w:sz w:val="24"/>
          <w:szCs w:val="24"/>
        </w:rPr>
        <w:t xml:space="preserve"> the crisis</w:t>
      </w:r>
    </w:p>
    <w:p w14:paraId="1C9FE0A3" w14:textId="77777777" w:rsidR="00A2461F" w:rsidRDefault="009429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hyperlink r:id="rId15">
        <w:r w:rsidR="00316B22">
          <w:rPr>
            <w:rFonts w:ascii="Times New Roman" w:eastAsia="Times New Roman" w:hAnsi="Times New Roman" w:cs="Times New Roman"/>
            <w:sz w:val="24"/>
            <w:szCs w:val="24"/>
            <w:highlight w:val="white"/>
          </w:rPr>
          <w:t>Lloydsbankinggroup.com, 2008</w:t>
        </w:r>
      </w:hyperlink>
      <w:r w:rsidR="00316B22">
        <w:rPr>
          <w:rFonts w:ascii="Times New Roman" w:eastAsia="Times New Roman" w:hAnsi="Times New Roman" w:cs="Times New Roman"/>
          <w:sz w:val="24"/>
          <w:szCs w:val="24"/>
        </w:rPr>
        <w:t>)</w:t>
      </w:r>
    </w:p>
    <w:p w14:paraId="3C797EE5" w14:textId="1E23BFFF" w:rsidR="00A2461F" w:rsidRDefault="00316B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continued board renewal process </w:t>
      </w:r>
      <w:r w:rsidR="00D67501">
        <w:rPr>
          <w:rFonts w:ascii="Times New Roman" w:eastAsia="Times New Roman" w:hAnsi="Times New Roman" w:cs="Times New Roman"/>
          <w:sz w:val="24"/>
          <w:szCs w:val="24"/>
        </w:rPr>
        <w:t>to ensure</w:t>
      </w:r>
      <w:r>
        <w:rPr>
          <w:rFonts w:ascii="Times New Roman" w:eastAsia="Times New Roman" w:hAnsi="Times New Roman" w:cs="Times New Roman"/>
          <w:sz w:val="24"/>
          <w:szCs w:val="24"/>
        </w:rPr>
        <w:t xml:space="preserve"> a broad range of skills and senior experience qualities among the members </w:t>
      </w:r>
      <w:r w:rsidR="00413C0B">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 xml:space="preserve">to produce invaluable contributions during the time of crisis on which the </w:t>
      </w:r>
      <w:r w:rsidR="0037660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focuses. The </w:t>
      </w:r>
      <w:r>
        <w:rPr>
          <w:rFonts w:ascii="Times New Roman" w:eastAsia="Times New Roman" w:hAnsi="Times New Roman" w:cs="Times New Roman"/>
          <w:b/>
          <w:i/>
          <w:sz w:val="24"/>
          <w:szCs w:val="24"/>
        </w:rPr>
        <w:t>"Financial Service Banking Reform, 2013"</w:t>
      </w:r>
      <w:r>
        <w:rPr>
          <w:rFonts w:ascii="Times New Roman" w:eastAsia="Times New Roman" w:hAnsi="Times New Roman" w:cs="Times New Roman"/>
          <w:sz w:val="24"/>
          <w:szCs w:val="24"/>
        </w:rPr>
        <w:t xml:space="preserve"> was </w:t>
      </w:r>
      <w:r>
        <w:rPr>
          <w:rFonts w:ascii="Times New Roman" w:eastAsia="Times New Roman" w:hAnsi="Times New Roman" w:cs="Times New Roman"/>
          <w:sz w:val="24"/>
          <w:szCs w:val="24"/>
        </w:rPr>
        <w:lastRenderedPageBreak/>
        <w:t>initiated to give the level of authority to the banks and other financial investment sectors to support investment banking activities (</w:t>
      </w:r>
      <w:r>
        <w:rPr>
          <w:rFonts w:ascii="Times New Roman" w:eastAsia="Times New Roman" w:hAnsi="Times New Roman" w:cs="Times New Roman"/>
          <w:sz w:val="24"/>
          <w:szCs w:val="24"/>
          <w:highlight w:val="white"/>
        </w:rPr>
        <w:t>Obr.</w:t>
      </w:r>
      <w:r w:rsidR="0037660F">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uk, 2017</w:t>
      </w:r>
      <w:r>
        <w:rPr>
          <w:rFonts w:ascii="Times New Roman" w:eastAsia="Times New Roman" w:hAnsi="Times New Roman" w:cs="Times New Roman"/>
          <w:sz w:val="24"/>
          <w:szCs w:val="24"/>
        </w:rPr>
        <w:t xml:space="preserve">). The expansionary fiscal policy through cuts in government spending and increase in taxes has resulted in stability within the banking </w:t>
      </w:r>
      <w:r w:rsidR="0037660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Moreover, various programs were initiated by the Government such as the </w:t>
      </w:r>
      <w:r>
        <w:rPr>
          <w:rFonts w:ascii="Times New Roman" w:eastAsia="Times New Roman" w:hAnsi="Times New Roman" w:cs="Times New Roman"/>
          <w:b/>
          <w:i/>
          <w:sz w:val="24"/>
          <w:szCs w:val="24"/>
        </w:rPr>
        <w:t xml:space="preserve">“Economic Stimulus Act, of 2008 and the American Recovery and Reinvestment Act, of 2009” </w:t>
      </w:r>
      <w:r>
        <w:rPr>
          <w:rFonts w:ascii="Times New Roman" w:eastAsia="Times New Roman" w:hAnsi="Times New Roman" w:cs="Times New Roman"/>
          <w:sz w:val="24"/>
          <w:szCs w:val="24"/>
        </w:rPr>
        <w:t>as a result of the financial crisis during those periods. The divestment and return to Lloyds Bank after 2008 have shown a rescue of HBOS where the bank was renamed as Lloyds Banking Group.  Moreover, the HM government has taken over a 43.4 % stake in Lloyd's group (</w:t>
      </w:r>
      <w:r>
        <w:rPr>
          <w:rFonts w:ascii="Times New Roman" w:eastAsia="Times New Roman" w:hAnsi="Times New Roman" w:cs="Times New Roman"/>
          <w:color w:val="222222"/>
          <w:sz w:val="24"/>
          <w:szCs w:val="24"/>
          <w:highlight w:val="white"/>
        </w:rPr>
        <w:t>Lloydsbankinggroup.com, 2022</w:t>
      </w:r>
      <w:r>
        <w:rPr>
          <w:rFonts w:ascii="Times New Roman" w:eastAsia="Times New Roman" w:hAnsi="Times New Roman" w:cs="Times New Roman"/>
          <w:sz w:val="24"/>
          <w:szCs w:val="24"/>
        </w:rPr>
        <w:t xml:space="preserve">). The financial crisis has caused instability within the banking sectors where </w:t>
      </w:r>
      <w:r w:rsidR="00D67501">
        <w:rPr>
          <w:rFonts w:ascii="Times New Roman" w:eastAsia="Times New Roman" w:hAnsi="Times New Roman" w:cs="Times New Roman"/>
          <w:sz w:val="24"/>
          <w:szCs w:val="24"/>
        </w:rPr>
        <w:t>several</w:t>
      </w:r>
      <w:r>
        <w:rPr>
          <w:rFonts w:ascii="Times New Roman" w:eastAsia="Times New Roman" w:hAnsi="Times New Roman" w:cs="Times New Roman"/>
          <w:sz w:val="24"/>
          <w:szCs w:val="24"/>
        </w:rPr>
        <w:t xml:space="preserve"> banks were forced to merge with stronger partners and a lot of investors have reduced the share of their money. </w:t>
      </w:r>
    </w:p>
    <w:p w14:paraId="1C05DB14" w14:textId="5C9BCBDF" w:rsidR="00A2461F" w:rsidRDefault="00316B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government has initiated systems to achieve enormous stability by </w:t>
      </w:r>
      <w:r>
        <w:rPr>
          <w:rFonts w:ascii="Times New Roman" w:eastAsia="Times New Roman" w:hAnsi="Times New Roman" w:cs="Times New Roman"/>
          <w:b/>
          <w:i/>
          <w:sz w:val="24"/>
          <w:szCs w:val="24"/>
        </w:rPr>
        <w:t>decreasing interest rates and giving liquidity and warranty funds</w:t>
      </w:r>
      <w:r>
        <w:rPr>
          <w:rFonts w:ascii="Times New Roman" w:eastAsia="Times New Roman" w:hAnsi="Times New Roman" w:cs="Times New Roman"/>
          <w:sz w:val="24"/>
          <w:szCs w:val="24"/>
        </w:rPr>
        <w:t xml:space="preserve"> to the bank. Moreover, to stimulate the economy the government has put focus on public expenditures such as </w:t>
      </w:r>
      <w:r>
        <w:rPr>
          <w:rFonts w:ascii="Times New Roman" w:eastAsia="Times New Roman" w:hAnsi="Times New Roman" w:cs="Times New Roman"/>
          <w:b/>
          <w:i/>
          <w:sz w:val="24"/>
          <w:szCs w:val="24"/>
        </w:rPr>
        <w:t>infrastructure, strategic sectors</w:t>
      </w:r>
      <w:r w:rsidR="00E17740">
        <w:rPr>
          <w:rFonts w:ascii="Times New Roman" w:eastAsia="Times New Roman" w:hAnsi="Times New Roman" w:cs="Times New Roman"/>
          <w:b/>
          <w:i/>
          <w:sz w:val="24"/>
          <w:szCs w:val="24"/>
        </w:rPr>
        <w:t>,</w:t>
      </w:r>
      <w:r>
        <w:rPr>
          <w:rFonts w:ascii="Times New Roman" w:eastAsia="Times New Roman" w:hAnsi="Times New Roman" w:cs="Times New Roman"/>
          <w:b/>
          <w:i/>
          <w:sz w:val="24"/>
          <w:szCs w:val="24"/>
        </w:rPr>
        <w:t xml:space="preserve"> and new technologies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Lloydsbankinggroup.com, 2020</w:t>
      </w:r>
      <w:r>
        <w:rPr>
          <w:rFonts w:ascii="Times New Roman" w:eastAsia="Times New Roman" w:hAnsi="Times New Roman" w:cs="Times New Roman"/>
          <w:sz w:val="24"/>
          <w:szCs w:val="24"/>
        </w:rPr>
        <w:t xml:space="preserve">). As a result, it has provoked structural disequilibrium where most of the European countries have shown a production level decline and huge accumulated debt within such sectors. Furthermore, it causes an increase in the deficit of the government budget and further spreads the crisis as well. The government has achieved a process of </w:t>
      </w:r>
      <w:r>
        <w:rPr>
          <w:rFonts w:ascii="Times New Roman" w:eastAsia="Times New Roman" w:hAnsi="Times New Roman" w:cs="Times New Roman"/>
          <w:b/>
          <w:i/>
          <w:sz w:val="24"/>
          <w:szCs w:val="24"/>
        </w:rPr>
        <w:t xml:space="preserve">spending review for re-balancing the deficits and creating overall stability </w:t>
      </w:r>
      <w:r>
        <w:rPr>
          <w:rFonts w:ascii="Times New Roman" w:eastAsia="Times New Roman" w:hAnsi="Times New Roman" w:cs="Times New Roman"/>
          <w:sz w:val="24"/>
          <w:szCs w:val="24"/>
        </w:rPr>
        <w:t xml:space="preserve">within the financial sectors. Developing large-scale reforms to </w:t>
      </w:r>
      <w:r w:rsidR="00E17740">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the budget and systematic approach towards shaping the </w:t>
      </w:r>
      <w:r w:rsidR="00E1774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on the right track was initiated after the 2008 crisis. The </w:t>
      </w:r>
      <w:r w:rsidR="00E1774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has </w:t>
      </w:r>
      <w:r w:rsidR="00D67501">
        <w:rPr>
          <w:rFonts w:ascii="Times New Roman" w:eastAsia="Times New Roman" w:hAnsi="Times New Roman" w:cs="Times New Roman"/>
          <w:sz w:val="24"/>
          <w:szCs w:val="24"/>
        </w:rPr>
        <w:t>analyzed</w:t>
      </w:r>
      <w:r>
        <w:rPr>
          <w:rFonts w:ascii="Times New Roman" w:eastAsia="Times New Roman" w:hAnsi="Times New Roman" w:cs="Times New Roman"/>
          <w:sz w:val="24"/>
          <w:szCs w:val="24"/>
        </w:rPr>
        <w:t xml:space="preserve"> a multi</w:t>
      </w:r>
      <w:r w:rsidR="0025684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scale approach with the right tools and technologies has improved the performance of the banks. </w:t>
      </w:r>
    </w:p>
    <w:p w14:paraId="27B25779" w14:textId="77777777" w:rsidR="00A2461F" w:rsidRDefault="00316B2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Impact of reformation against the complex financial systems</w:t>
      </w:r>
    </w:p>
    <w:p w14:paraId="7FD28230" w14:textId="773BCEBA" w:rsidR="00A2461F" w:rsidRDefault="00316B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reformation has brought about an improvement in the decision-making process with better performance measurement systems and a participatory approach among the stakeholders. As opined by </w:t>
      </w:r>
      <w:r>
        <w:rPr>
          <w:rFonts w:ascii="Times New Roman" w:eastAsia="Times New Roman" w:hAnsi="Times New Roman" w:cs="Times New Roman"/>
          <w:color w:val="222222"/>
          <w:sz w:val="24"/>
          <w:szCs w:val="24"/>
          <w:highlight w:val="white"/>
        </w:rPr>
        <w:t>Rosell and Saz-Carranza (2020</w:t>
      </w:r>
      <w:r>
        <w:rPr>
          <w:rFonts w:ascii="Times New Roman" w:eastAsia="Times New Roman" w:hAnsi="Times New Roman" w:cs="Times New Roman"/>
          <w:sz w:val="24"/>
          <w:szCs w:val="24"/>
        </w:rPr>
        <w:t xml:space="preserve">), the public-private partnership has created higher transparency within the banks. Furthermore, addressing the </w:t>
      </w:r>
      <w:r>
        <w:rPr>
          <w:rFonts w:ascii="Times New Roman" w:eastAsia="Times New Roman" w:hAnsi="Times New Roman" w:cs="Times New Roman"/>
          <w:b/>
          <w:i/>
          <w:sz w:val="24"/>
          <w:szCs w:val="24"/>
        </w:rPr>
        <w:t>ongoing process of technological innovation and developing new business models</w:t>
      </w:r>
      <w:r>
        <w:rPr>
          <w:rFonts w:ascii="Times New Roman" w:eastAsia="Times New Roman" w:hAnsi="Times New Roman" w:cs="Times New Roman"/>
          <w:sz w:val="24"/>
          <w:szCs w:val="24"/>
        </w:rPr>
        <w:t xml:space="preserve"> around challenges and opportunities are required to exploit the available resources within the banking sectors. The goals of the government were initiated in multiple areas such as enhancing capital buffers</w:t>
      </w:r>
      <w:r w:rsidR="00276C2B">
        <w:rPr>
          <w:rFonts w:ascii="Times New Roman" w:eastAsia="Times New Roman" w:hAnsi="Times New Roman" w:cs="Times New Roman"/>
          <w:sz w:val="24"/>
          <w:szCs w:val="24"/>
        </w:rPr>
        <w:t>, reducing</w:t>
      </w:r>
      <w:r>
        <w:rPr>
          <w:rFonts w:ascii="Times New Roman" w:eastAsia="Times New Roman" w:hAnsi="Times New Roman" w:cs="Times New Roman"/>
          <w:sz w:val="24"/>
          <w:szCs w:val="24"/>
        </w:rPr>
        <w:t xml:space="preserve"> leverage</w:t>
      </w:r>
      <w:r w:rsidR="00E177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achieving financial stability within the </w:t>
      </w:r>
      <w:r w:rsidR="00E1774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 xml:space="preserve">Borio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Moreover, it has focused on</w:t>
      </w:r>
      <w:r>
        <w:rPr>
          <w:rFonts w:ascii="Times New Roman" w:eastAsia="Times New Roman" w:hAnsi="Times New Roman" w:cs="Times New Roman"/>
          <w:b/>
          <w:i/>
          <w:sz w:val="24"/>
          <w:szCs w:val="24"/>
        </w:rPr>
        <w:t xml:space="preserve"> improving supervision against complex financial systems</w:t>
      </w:r>
      <w:r>
        <w:rPr>
          <w:rFonts w:ascii="Times New Roman" w:eastAsia="Times New Roman" w:hAnsi="Times New Roman" w:cs="Times New Roman"/>
          <w:sz w:val="24"/>
          <w:szCs w:val="24"/>
        </w:rPr>
        <w:t xml:space="preserve">. The improvement within the financial sectors was focused on curtailing international activity with </w:t>
      </w:r>
      <w:r>
        <w:rPr>
          <w:rFonts w:ascii="Times New Roman" w:eastAsia="Times New Roman" w:hAnsi="Times New Roman" w:cs="Times New Roman"/>
          <w:sz w:val="24"/>
          <w:szCs w:val="24"/>
        </w:rPr>
        <w:lastRenderedPageBreak/>
        <w:t>less money flowing across borders. However, with the reformation concerning the</w:t>
      </w:r>
      <w:r>
        <w:rPr>
          <w:rFonts w:ascii="Times New Roman" w:eastAsia="Times New Roman" w:hAnsi="Times New Roman" w:cs="Times New Roman"/>
          <w:b/>
          <w:i/>
          <w:sz w:val="24"/>
          <w:szCs w:val="24"/>
        </w:rPr>
        <w:t xml:space="preserve"> policies economic regrowth </w:t>
      </w:r>
      <w:r>
        <w:rPr>
          <w:rFonts w:ascii="Times New Roman" w:eastAsia="Times New Roman" w:hAnsi="Times New Roman" w:cs="Times New Roman"/>
          <w:sz w:val="24"/>
          <w:szCs w:val="24"/>
        </w:rPr>
        <w:t>was initiated</w:t>
      </w:r>
      <w:r w:rsidR="00E177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recovery against the employment rate was enhanced in various sectors. </w:t>
      </w:r>
    </w:p>
    <w:p w14:paraId="49D96558" w14:textId="4C76B2A0" w:rsidR="00A2461F" w:rsidRDefault="00316B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the 2008 crisis, the major process of regulatory reforms of the banking industry took place to increase the resilience of the financial systems. The implications of the </w:t>
      </w:r>
      <w:r>
        <w:rPr>
          <w:rFonts w:ascii="Times New Roman" w:eastAsia="Times New Roman" w:hAnsi="Times New Roman" w:cs="Times New Roman"/>
          <w:b/>
          <w:i/>
          <w:sz w:val="24"/>
          <w:szCs w:val="24"/>
        </w:rPr>
        <w:t xml:space="preserve">"Investor Advisory Committee" </w:t>
      </w:r>
      <w:r>
        <w:rPr>
          <w:rFonts w:ascii="Times New Roman" w:eastAsia="Times New Roman" w:hAnsi="Times New Roman" w:cs="Times New Roman"/>
          <w:sz w:val="24"/>
          <w:szCs w:val="24"/>
        </w:rPr>
        <w:t>have effectively communicated to ensure investor perspective with the development of financial accounting and reporting standards within the banks (</w:t>
      </w:r>
      <w:r>
        <w:rPr>
          <w:rFonts w:ascii="Times New Roman" w:eastAsia="Times New Roman" w:hAnsi="Times New Roman" w:cs="Times New Roman"/>
          <w:color w:val="222222"/>
          <w:sz w:val="24"/>
          <w:szCs w:val="24"/>
          <w:highlight w:val="white"/>
        </w:rPr>
        <w:t xml:space="preserve">Convery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The reform is focused on three basic objectives such as reducing the risk of taxpayers bearing the costs of future banking systems, improving the resilience of the financial systems as a whole</w:t>
      </w:r>
      <w:r w:rsidR="00E177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improving the performance of individual banks as well. </w:t>
      </w:r>
    </w:p>
    <w:p w14:paraId="3411CF30" w14:textId="77777777" w:rsidR="00A2461F" w:rsidRDefault="00316B2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Levels of compliance and non-compliance with these reforms within the Lloyds Bank</w:t>
      </w:r>
    </w:p>
    <w:p w14:paraId="2A4645B2" w14:textId="4697924B" w:rsidR="00A2461F" w:rsidRDefault="00316B2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A higher level of compliance is noted within Lloyds Bank where the group is responsible to operate ethically and meet legal requirements and serve their customers. The </w:t>
      </w:r>
      <w:r w:rsidR="00E1774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focuses on a </w:t>
      </w:r>
      <w:r>
        <w:rPr>
          <w:rFonts w:ascii="Times New Roman" w:eastAsia="Times New Roman" w:hAnsi="Times New Roman" w:cs="Times New Roman"/>
          <w:b/>
          <w:i/>
          <w:sz w:val="24"/>
          <w:szCs w:val="24"/>
        </w:rPr>
        <w:t>sustainable and inclusive future to support the transition</w:t>
      </w:r>
      <w:r>
        <w:rPr>
          <w:rFonts w:ascii="Times New Roman" w:eastAsia="Times New Roman" w:hAnsi="Times New Roman" w:cs="Times New Roman"/>
          <w:sz w:val="24"/>
          <w:szCs w:val="24"/>
        </w:rPr>
        <w:t xml:space="preserve"> to a low-carbon economy.  Furthermore, the new regulations and policies have improved the performance of the banks in certain aspects such as improving decision-making, enhancing the reputation</w:t>
      </w:r>
      <w:r w:rsidR="00E177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facilitating the reliability of data with more confidence among their assets to pursue business objectives. The </w:t>
      </w:r>
      <w:r>
        <w:rPr>
          <w:rFonts w:ascii="Times New Roman" w:eastAsia="Times New Roman" w:hAnsi="Times New Roman" w:cs="Times New Roman"/>
          <w:b/>
          <w:i/>
          <w:sz w:val="24"/>
          <w:szCs w:val="24"/>
        </w:rPr>
        <w:t xml:space="preserve">set of reform measures </w:t>
      </w:r>
      <w:r w:rsidR="00E17740">
        <w:rPr>
          <w:rFonts w:ascii="Times New Roman" w:eastAsia="Times New Roman" w:hAnsi="Times New Roman" w:cs="Times New Roman"/>
          <w:b/>
          <w:i/>
          <w:sz w:val="24"/>
          <w:szCs w:val="24"/>
        </w:rPr>
        <w:t>was</w:t>
      </w:r>
      <w:r>
        <w:rPr>
          <w:rFonts w:ascii="Times New Roman" w:eastAsia="Times New Roman" w:hAnsi="Times New Roman" w:cs="Times New Roman"/>
          <w:b/>
          <w:i/>
          <w:sz w:val="24"/>
          <w:szCs w:val="24"/>
        </w:rPr>
        <w:t xml:space="preserve"> intended to improve supervision and maintain the leverage ratio</w:t>
      </w:r>
      <w:r>
        <w:rPr>
          <w:rFonts w:ascii="Times New Roman" w:eastAsia="Times New Roman" w:hAnsi="Times New Roman" w:cs="Times New Roman"/>
          <w:sz w:val="24"/>
          <w:szCs w:val="24"/>
        </w:rPr>
        <w:t xml:space="preserve"> within the banks (</w:t>
      </w:r>
      <w:r>
        <w:rPr>
          <w:rFonts w:ascii="Times New Roman" w:eastAsia="Times New Roman" w:hAnsi="Times New Roman" w:cs="Times New Roman"/>
          <w:color w:val="222222"/>
          <w:sz w:val="24"/>
          <w:szCs w:val="24"/>
          <w:highlight w:val="white"/>
        </w:rPr>
        <w:t>Lloydsbankinggroup.com, 2020</w:t>
      </w:r>
      <w:r>
        <w:rPr>
          <w:rFonts w:ascii="Times New Roman" w:eastAsia="Times New Roman" w:hAnsi="Times New Roman" w:cs="Times New Roman"/>
          <w:sz w:val="24"/>
          <w:szCs w:val="24"/>
        </w:rPr>
        <w:t xml:space="preserve">). The Lloyds Banking Group has maintained the US Resolution </w:t>
      </w:r>
      <w:r w:rsidR="00E17740">
        <w:rPr>
          <w:rFonts w:ascii="Times New Roman" w:eastAsia="Times New Roman" w:hAnsi="Times New Roman" w:cs="Times New Roman"/>
          <w:sz w:val="24"/>
          <w:szCs w:val="24"/>
        </w:rPr>
        <w:t>Plan</w:t>
      </w:r>
      <w:r>
        <w:rPr>
          <w:rFonts w:ascii="Times New Roman" w:eastAsia="Times New Roman" w:hAnsi="Times New Roman" w:cs="Times New Roman"/>
          <w:sz w:val="24"/>
          <w:szCs w:val="24"/>
        </w:rPr>
        <w:t xml:space="preserve"> and Consumer Protection Act to describe the strategy for rapid and orderly resolution.  The </w:t>
      </w:r>
      <w:r w:rsidR="00E17740">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business is focused on the current legal regime to exceed for further proceeds in their operation and reduce the impact of financial instability within the US Banking sectors. Furthermore, the governance framework has supported the group's ability to deliver regulatory obligations within the banks. The bank has supported the policies and reformation with adequate compliance within the framework. </w:t>
      </w:r>
    </w:p>
    <w:p w14:paraId="64EC8EA9" w14:textId="77777777" w:rsidR="00942986" w:rsidRDefault="00316B22" w:rsidP="00942986">
      <w:pPr>
        <w:pStyle w:val="Heading1"/>
      </w:pPr>
      <w:bookmarkStart w:id="11" w:name="_Toc133253317"/>
      <w:r>
        <w:t>Conclu</w:t>
      </w:r>
      <w:r w:rsidR="00942986">
        <w:t>sion</w:t>
      </w:r>
      <w:bookmarkEnd w:id="11"/>
    </w:p>
    <w:p w14:paraId="6229D0CB" w14:textId="3056C904" w:rsidR="00A2461F" w:rsidRDefault="00316B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crisis in the US was initiated at the beginning of 2007 when the real estate business collapsed. Considering this aspect, the </w:t>
      </w:r>
      <w:r>
        <w:rPr>
          <w:rFonts w:ascii="Times New Roman" w:eastAsia="Times New Roman" w:hAnsi="Times New Roman" w:cs="Times New Roman"/>
          <w:b/>
          <w:i/>
          <w:sz w:val="24"/>
          <w:szCs w:val="24"/>
        </w:rPr>
        <w:t>US government and Federal Reserve have implemented processes and helped the institutions</w:t>
      </w:r>
      <w:r>
        <w:rPr>
          <w:rFonts w:ascii="Times New Roman" w:eastAsia="Times New Roman" w:hAnsi="Times New Roman" w:cs="Times New Roman"/>
          <w:sz w:val="24"/>
          <w:szCs w:val="24"/>
        </w:rPr>
        <w:t xml:space="preserve"> with further assistance and maintaining stability during the time of crisis. </w:t>
      </w:r>
      <w:r w:rsidR="00E17740">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large amount of stability within the banking sectors is achieved by</w:t>
      </w:r>
      <w:r>
        <w:rPr>
          <w:rFonts w:ascii="Times New Roman" w:eastAsia="Times New Roman" w:hAnsi="Times New Roman" w:cs="Times New Roman"/>
          <w:b/>
          <w:i/>
          <w:sz w:val="24"/>
          <w:szCs w:val="24"/>
        </w:rPr>
        <w:t xml:space="preserve"> reducing the interest rates and warranty funds within the institutions. </w:t>
      </w:r>
      <w:r>
        <w:rPr>
          <w:rFonts w:ascii="Times New Roman" w:eastAsia="Times New Roman" w:hAnsi="Times New Roman" w:cs="Times New Roman"/>
          <w:sz w:val="24"/>
          <w:szCs w:val="24"/>
        </w:rPr>
        <w:t xml:space="preserve">Furthermore, the financial stability forum has helped in risk management with appropriate procedures to manage the instability. The private-public partnership has also helped in creating transparency within the banking sectors in </w:t>
      </w:r>
      <w:r w:rsidR="005A0B37">
        <w:rPr>
          <w:rFonts w:ascii="Times New Roman" w:eastAsia="Times New Roman" w:hAnsi="Times New Roman" w:cs="Times New Roman"/>
          <w:sz w:val="24"/>
          <w:szCs w:val="24"/>
        </w:rPr>
        <w:t>rendering</w:t>
      </w:r>
      <w:r>
        <w:rPr>
          <w:rFonts w:ascii="Times New Roman" w:eastAsia="Times New Roman" w:hAnsi="Times New Roman" w:cs="Times New Roman"/>
          <w:sz w:val="24"/>
          <w:szCs w:val="24"/>
        </w:rPr>
        <w:t xml:space="preserve"> their services to the customers. The major </w:t>
      </w:r>
      <w:r w:rsidR="001A5831">
        <w:rPr>
          <w:rFonts w:ascii="Times New Roman" w:eastAsia="Times New Roman" w:hAnsi="Times New Roman" w:cs="Times New Roman"/>
          <w:sz w:val="24"/>
          <w:szCs w:val="24"/>
        </w:rPr>
        <w:lastRenderedPageBreak/>
        <w:t>objectives of the reforms were</w:t>
      </w:r>
      <w:r>
        <w:rPr>
          <w:rFonts w:ascii="Times New Roman" w:eastAsia="Times New Roman" w:hAnsi="Times New Roman" w:cs="Times New Roman"/>
          <w:sz w:val="24"/>
          <w:szCs w:val="24"/>
        </w:rPr>
        <w:t xml:space="preserve"> to ensure resilience among the financial sectors and individual banks. </w:t>
      </w:r>
    </w:p>
    <w:p w14:paraId="793BEF0F" w14:textId="0DE8BE75" w:rsidR="00A2461F" w:rsidRDefault="00316B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Giving the </w:t>
      </w:r>
      <w:r w:rsidR="00E1774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a multiscale approach has helped to improve the performance and leverage resources to achieve financial stability within the banks. The improvement of the </w:t>
      </w:r>
      <w:r>
        <w:rPr>
          <w:rFonts w:ascii="Times New Roman" w:eastAsia="Times New Roman" w:hAnsi="Times New Roman" w:cs="Times New Roman"/>
          <w:b/>
          <w:i/>
          <w:sz w:val="24"/>
          <w:szCs w:val="24"/>
        </w:rPr>
        <w:t xml:space="preserve">business model of Lloyds Bank focuses on a balanced scorecard </w:t>
      </w:r>
      <w:r w:rsidR="0025684D">
        <w:rPr>
          <w:rFonts w:ascii="Times New Roman" w:eastAsia="Times New Roman" w:hAnsi="Times New Roman" w:cs="Times New Roman"/>
          <w:b/>
          <w:i/>
          <w:sz w:val="24"/>
          <w:szCs w:val="24"/>
        </w:rPr>
        <w:t>approach</w:t>
      </w:r>
      <w:r w:rsidR="0025684D">
        <w:rPr>
          <w:rFonts w:ascii="Times New Roman" w:eastAsia="Times New Roman" w:hAnsi="Times New Roman" w:cs="Times New Roman"/>
          <w:sz w:val="24"/>
          <w:szCs w:val="24"/>
        </w:rPr>
        <w:t xml:space="preserve"> to</w:t>
      </w:r>
      <w:r>
        <w:rPr>
          <w:rFonts w:ascii="Times New Roman" w:eastAsia="Times New Roman" w:hAnsi="Times New Roman" w:cs="Times New Roman"/>
          <w:sz w:val="24"/>
          <w:szCs w:val="24"/>
        </w:rPr>
        <w:t xml:space="preserve"> report the </w:t>
      </w:r>
      <w:r>
        <w:rPr>
          <w:rFonts w:ascii="Times New Roman" w:eastAsia="Times New Roman" w:hAnsi="Times New Roman" w:cs="Times New Roman"/>
          <w:b/>
          <w:i/>
          <w:sz w:val="24"/>
          <w:szCs w:val="24"/>
        </w:rPr>
        <w:t xml:space="preserve">development of accounting and standards </w:t>
      </w:r>
      <w:r>
        <w:rPr>
          <w:rFonts w:ascii="Times New Roman" w:eastAsia="Times New Roman" w:hAnsi="Times New Roman" w:cs="Times New Roman"/>
          <w:sz w:val="24"/>
          <w:szCs w:val="24"/>
        </w:rPr>
        <w:t xml:space="preserve">to meet the needs of the customers. However, the overall growth in the banking industry after the 2008 crisis has shown a significant amount of quality of equity capital increase and liquidity ratio as well. </w:t>
      </w:r>
      <w:r w:rsidR="00830C6A">
        <w:rPr>
          <w:rFonts w:ascii="Times New Roman" w:eastAsia="Times New Roman" w:hAnsi="Times New Roman" w:cs="Times New Roman"/>
          <w:sz w:val="24"/>
          <w:szCs w:val="24"/>
        </w:rPr>
        <w:t xml:space="preserve">This discussion rationalizes that </w:t>
      </w:r>
      <w:r w:rsidR="00166ECD">
        <w:rPr>
          <w:rFonts w:ascii="Times New Roman" w:eastAsia="Times New Roman" w:hAnsi="Times New Roman" w:cs="Times New Roman"/>
          <w:sz w:val="24"/>
          <w:szCs w:val="24"/>
        </w:rPr>
        <w:t>focusing</w:t>
      </w:r>
      <w:r w:rsidR="00830C6A">
        <w:rPr>
          <w:rFonts w:ascii="Times New Roman" w:eastAsia="Times New Roman" w:hAnsi="Times New Roman" w:cs="Times New Roman"/>
          <w:sz w:val="24"/>
          <w:szCs w:val="24"/>
        </w:rPr>
        <w:t xml:space="preserve"> on </w:t>
      </w:r>
      <w:r w:rsidR="00E17740">
        <w:rPr>
          <w:rFonts w:ascii="Times New Roman" w:eastAsia="Times New Roman" w:hAnsi="Times New Roman" w:cs="Times New Roman"/>
          <w:sz w:val="24"/>
          <w:szCs w:val="24"/>
        </w:rPr>
        <w:t xml:space="preserve">the </w:t>
      </w:r>
      <w:r w:rsidR="00166ECD">
        <w:rPr>
          <w:rFonts w:ascii="Times New Roman" w:eastAsia="Times New Roman" w:hAnsi="Times New Roman" w:cs="Times New Roman"/>
          <w:sz w:val="24"/>
          <w:szCs w:val="24"/>
        </w:rPr>
        <w:t>turbulence</w:t>
      </w:r>
      <w:r w:rsidR="00830C6A">
        <w:rPr>
          <w:rFonts w:ascii="Times New Roman" w:eastAsia="Times New Roman" w:hAnsi="Times New Roman" w:cs="Times New Roman"/>
          <w:sz w:val="24"/>
          <w:szCs w:val="24"/>
        </w:rPr>
        <w:t xml:space="preserve"> of </w:t>
      </w:r>
      <w:r w:rsidR="00D67501">
        <w:rPr>
          <w:rFonts w:ascii="Times New Roman" w:eastAsia="Times New Roman" w:hAnsi="Times New Roman" w:cs="Times New Roman"/>
          <w:sz w:val="24"/>
          <w:szCs w:val="24"/>
        </w:rPr>
        <w:t xml:space="preserve">a </w:t>
      </w:r>
      <w:r w:rsidR="00830C6A">
        <w:rPr>
          <w:rFonts w:ascii="Times New Roman" w:eastAsia="Times New Roman" w:hAnsi="Times New Roman" w:cs="Times New Roman"/>
          <w:sz w:val="24"/>
          <w:szCs w:val="24"/>
        </w:rPr>
        <w:t xml:space="preserve">financial crisis may provide an opportunity </w:t>
      </w:r>
      <w:r w:rsidR="00E17740">
        <w:rPr>
          <w:rFonts w:ascii="Times New Roman" w:eastAsia="Times New Roman" w:hAnsi="Times New Roman" w:cs="Times New Roman"/>
          <w:sz w:val="24"/>
          <w:szCs w:val="24"/>
        </w:rPr>
        <w:t xml:space="preserve">to </w:t>
      </w:r>
      <w:r w:rsidR="00830C6A">
        <w:rPr>
          <w:rFonts w:ascii="Times New Roman" w:eastAsia="Times New Roman" w:hAnsi="Times New Roman" w:cs="Times New Roman"/>
          <w:sz w:val="24"/>
          <w:szCs w:val="24"/>
        </w:rPr>
        <w:t xml:space="preserve">overcome the consequences. </w:t>
      </w:r>
      <w:r>
        <w:rPr>
          <w:rFonts w:ascii="Times New Roman" w:eastAsia="Times New Roman" w:hAnsi="Times New Roman" w:cs="Times New Roman"/>
          <w:sz w:val="24"/>
          <w:szCs w:val="24"/>
        </w:rPr>
        <w:t xml:space="preserve">Hence, the reforms have initiated a process for the banks to be sustainable over time and provide services linked with the state of a sustainable economy. </w:t>
      </w:r>
      <w:r>
        <w:br w:type="page"/>
      </w:r>
    </w:p>
    <w:p w14:paraId="0B4F0132" w14:textId="77777777" w:rsidR="001A5831" w:rsidRPr="001A5831" w:rsidRDefault="00316B22" w:rsidP="001A5831">
      <w:pPr>
        <w:pStyle w:val="Heading1"/>
      </w:pPr>
      <w:bookmarkStart w:id="12" w:name="_Toc133253318"/>
      <w:r w:rsidRPr="00276C2B">
        <w:lastRenderedPageBreak/>
        <w:t>References</w:t>
      </w:r>
      <w:bookmarkEnd w:id="12"/>
    </w:p>
    <w:p w14:paraId="70EDA09F" w14:textId="617B5400" w:rsidR="001A5831" w:rsidRPr="001A5831" w:rsidRDefault="001A5831" w:rsidP="00871468">
      <w:pPr>
        <w:spacing w:before="240" w:line="360" w:lineRule="auto"/>
        <w:jc w:val="both"/>
        <w:rPr>
          <w:rFonts w:ascii="Times New Roman" w:hAnsi="Times New Roman" w:cs="Times New Roman"/>
          <w:sz w:val="24"/>
        </w:rPr>
      </w:pPr>
      <w:r w:rsidRPr="001A5831">
        <w:rPr>
          <w:rFonts w:ascii="Times New Roman" w:hAnsi="Times New Roman" w:cs="Times New Roman"/>
          <w:sz w:val="24"/>
          <w:shd w:val="clear" w:color="auto" w:fill="FFFFFF"/>
        </w:rPr>
        <w:t xml:space="preserve">Ali, M. and Puah, C.H., (2019). The internal determinants of bank profitability and stability: An insight from </w:t>
      </w:r>
      <w:r w:rsidR="00E17740">
        <w:rPr>
          <w:rFonts w:ascii="Times New Roman" w:hAnsi="Times New Roman" w:cs="Times New Roman"/>
          <w:sz w:val="24"/>
          <w:shd w:val="clear" w:color="auto" w:fill="FFFFFF"/>
        </w:rPr>
        <w:t xml:space="preserve">the </w:t>
      </w:r>
      <w:r w:rsidRPr="001A5831">
        <w:rPr>
          <w:rFonts w:ascii="Times New Roman" w:hAnsi="Times New Roman" w:cs="Times New Roman"/>
          <w:sz w:val="24"/>
          <w:shd w:val="clear" w:color="auto" w:fill="FFFFFF"/>
        </w:rPr>
        <w:t>banking sector of Pakistan. </w:t>
      </w:r>
      <w:r w:rsidRPr="001A5831">
        <w:rPr>
          <w:rFonts w:ascii="Times New Roman" w:hAnsi="Times New Roman" w:cs="Times New Roman"/>
          <w:i/>
          <w:iCs/>
          <w:sz w:val="24"/>
          <w:shd w:val="clear" w:color="auto" w:fill="FFFFFF"/>
        </w:rPr>
        <w:t>Management research review</w:t>
      </w:r>
      <w:r w:rsidRPr="001A5831">
        <w:rPr>
          <w:rFonts w:ascii="Times New Roman" w:hAnsi="Times New Roman" w:cs="Times New Roman"/>
          <w:sz w:val="24"/>
          <w:shd w:val="clear" w:color="auto" w:fill="FFFFFF"/>
        </w:rPr>
        <w:t>, </w:t>
      </w:r>
      <w:r w:rsidRPr="001A5831">
        <w:rPr>
          <w:rFonts w:ascii="Times New Roman" w:hAnsi="Times New Roman" w:cs="Times New Roman"/>
          <w:i/>
          <w:iCs/>
          <w:sz w:val="24"/>
          <w:shd w:val="clear" w:color="auto" w:fill="FFFFFF"/>
        </w:rPr>
        <w:t>42</w:t>
      </w:r>
      <w:r w:rsidRPr="001A5831">
        <w:rPr>
          <w:rFonts w:ascii="Times New Roman" w:hAnsi="Times New Roman" w:cs="Times New Roman"/>
          <w:sz w:val="24"/>
          <w:shd w:val="clear" w:color="auto" w:fill="FFFFFF"/>
        </w:rPr>
        <w:t>(1), pp.49-67.</w:t>
      </w:r>
    </w:p>
    <w:p w14:paraId="6737DC36" w14:textId="77777777" w:rsidR="001A5831" w:rsidRPr="001A5831" w:rsidRDefault="001A5831" w:rsidP="00871468">
      <w:pPr>
        <w:spacing w:before="240" w:line="360" w:lineRule="auto"/>
        <w:jc w:val="both"/>
        <w:rPr>
          <w:rFonts w:ascii="Times New Roman" w:eastAsia="Times New Roman" w:hAnsi="Times New Roman" w:cs="Times New Roman"/>
          <w:sz w:val="24"/>
          <w:highlight w:val="white"/>
        </w:rPr>
      </w:pPr>
      <w:r w:rsidRPr="001A5831">
        <w:rPr>
          <w:rFonts w:ascii="Times New Roman" w:eastAsia="Times New Roman" w:hAnsi="Times New Roman" w:cs="Times New Roman"/>
          <w:sz w:val="24"/>
          <w:highlight w:val="white"/>
        </w:rPr>
        <w:t xml:space="preserve">Bavoso, V., (2020). The promise and perils of alternative market-based finance: the case of P2P lending in the UK. </w:t>
      </w:r>
      <w:r w:rsidRPr="001A5831">
        <w:rPr>
          <w:rFonts w:ascii="Times New Roman" w:eastAsia="Times New Roman" w:hAnsi="Times New Roman" w:cs="Times New Roman"/>
          <w:i/>
          <w:sz w:val="24"/>
          <w:highlight w:val="white"/>
        </w:rPr>
        <w:t>Journal of Banking Regulation</w:t>
      </w:r>
      <w:r w:rsidRPr="001A5831">
        <w:rPr>
          <w:rFonts w:ascii="Times New Roman" w:eastAsia="Times New Roman" w:hAnsi="Times New Roman" w:cs="Times New Roman"/>
          <w:sz w:val="24"/>
          <w:highlight w:val="white"/>
        </w:rPr>
        <w:t xml:space="preserve">, </w:t>
      </w:r>
      <w:r w:rsidRPr="001A5831">
        <w:rPr>
          <w:rFonts w:ascii="Times New Roman" w:eastAsia="Times New Roman" w:hAnsi="Times New Roman" w:cs="Times New Roman"/>
          <w:i/>
          <w:sz w:val="24"/>
          <w:highlight w:val="white"/>
        </w:rPr>
        <w:t>21</w:t>
      </w:r>
      <w:r w:rsidRPr="001A5831">
        <w:rPr>
          <w:rFonts w:ascii="Times New Roman" w:eastAsia="Times New Roman" w:hAnsi="Times New Roman" w:cs="Times New Roman"/>
          <w:sz w:val="24"/>
          <w:highlight w:val="white"/>
        </w:rPr>
        <w:t>, pp.395-409.</w:t>
      </w:r>
    </w:p>
    <w:p w14:paraId="6507E58C" w14:textId="5352700C" w:rsidR="001A5831" w:rsidRPr="001A5831" w:rsidRDefault="001A5831" w:rsidP="00871468">
      <w:pPr>
        <w:spacing w:before="240" w:line="360" w:lineRule="auto"/>
        <w:jc w:val="both"/>
        <w:rPr>
          <w:rFonts w:ascii="Times New Roman" w:hAnsi="Times New Roman" w:cs="Times New Roman"/>
          <w:color w:val="121212"/>
          <w:sz w:val="24"/>
          <w:u w:val="single"/>
        </w:rPr>
      </w:pPr>
      <w:r w:rsidRPr="001A5831">
        <w:rPr>
          <w:rFonts w:ascii="Times New Roman" w:hAnsi="Times New Roman" w:cs="Times New Roman"/>
          <w:sz w:val="24"/>
        </w:rPr>
        <w:t xml:space="preserve">bis.org (2019). </w:t>
      </w:r>
      <w:r w:rsidRPr="001A5831">
        <w:rPr>
          <w:rFonts w:ascii="Times New Roman" w:hAnsi="Times New Roman" w:cs="Times New Roman"/>
          <w:i/>
          <w:sz w:val="24"/>
        </w:rPr>
        <w:t>“The 2008 Crisis</w:t>
      </w:r>
      <w:r w:rsidRPr="001A5831">
        <w:rPr>
          <w:rFonts w:ascii="Times New Roman" w:hAnsi="Times New Roman" w:cs="Times New Roman"/>
          <w:sz w:val="24"/>
        </w:rPr>
        <w:t xml:space="preserve">” </w:t>
      </w:r>
      <w:r w:rsidRPr="001A5831">
        <w:rPr>
          <w:rFonts w:ascii="Times New Roman" w:hAnsi="Times New Roman" w:cs="Times New Roman"/>
          <w:bCs/>
          <w:color w:val="121212"/>
          <w:sz w:val="24"/>
        </w:rPr>
        <w:t xml:space="preserve">Available at: </w:t>
      </w:r>
      <w:r w:rsidRPr="001A5831">
        <w:rPr>
          <w:rFonts w:ascii="Times New Roman" w:hAnsi="Times New Roman" w:cs="Times New Roman"/>
          <w:sz w:val="24"/>
        </w:rPr>
        <w:t xml:space="preserve">  https://www.bis.org/publ/qtrpdf/r_qt1812f.htm, 2019 [Accessed on 22nd April 2023].</w:t>
      </w:r>
    </w:p>
    <w:p w14:paraId="7AFE1535" w14:textId="77777777" w:rsidR="001A5831" w:rsidRPr="001A5831" w:rsidRDefault="001A5831" w:rsidP="00871468">
      <w:pPr>
        <w:spacing w:before="240" w:line="360" w:lineRule="auto"/>
        <w:jc w:val="both"/>
        <w:rPr>
          <w:rFonts w:ascii="Times New Roman" w:eastAsia="Times New Roman" w:hAnsi="Times New Roman" w:cs="Times New Roman"/>
          <w:sz w:val="24"/>
          <w:highlight w:val="white"/>
        </w:rPr>
      </w:pPr>
      <w:r w:rsidRPr="001A5831">
        <w:rPr>
          <w:rFonts w:ascii="Times New Roman" w:eastAsia="Times New Roman" w:hAnsi="Times New Roman" w:cs="Times New Roman"/>
          <w:sz w:val="24"/>
          <w:highlight w:val="white"/>
        </w:rPr>
        <w:t xml:space="preserve">Borio, C., Shim, I. and Shin, H.S., (2023) Macro-financial stability frameworks: experience and challenges. In </w:t>
      </w:r>
      <w:r w:rsidRPr="001A5831">
        <w:rPr>
          <w:rFonts w:ascii="Times New Roman" w:eastAsia="Times New Roman" w:hAnsi="Times New Roman" w:cs="Times New Roman"/>
          <w:i/>
          <w:sz w:val="24"/>
          <w:highlight w:val="white"/>
        </w:rPr>
        <w:t>MACRO-FINANCIAL STABILITY POLICY IN A GLOBALISED WORLD: LESSONS FROM INTERNATIONAL EXPERIENCE: Selected Papers from the Asian Monetary Policy Forum 2021 Special Edition and MAS-BIS Conference</w:t>
      </w:r>
      <w:r w:rsidRPr="001A5831">
        <w:rPr>
          <w:rFonts w:ascii="Times New Roman" w:eastAsia="Times New Roman" w:hAnsi="Times New Roman" w:cs="Times New Roman"/>
          <w:sz w:val="24"/>
          <w:highlight w:val="white"/>
        </w:rPr>
        <w:t xml:space="preserve"> (pp. 2-49).</w:t>
      </w:r>
    </w:p>
    <w:p w14:paraId="00807AEF" w14:textId="57C326A5" w:rsidR="001A5831" w:rsidRPr="001A5831" w:rsidRDefault="001A5831" w:rsidP="00871468">
      <w:pPr>
        <w:spacing w:before="240" w:line="360" w:lineRule="auto"/>
        <w:jc w:val="both"/>
        <w:rPr>
          <w:rFonts w:ascii="Times New Roman" w:hAnsi="Times New Roman" w:cs="Times New Roman"/>
          <w:sz w:val="24"/>
        </w:rPr>
      </w:pPr>
      <w:r w:rsidRPr="001A5831">
        <w:rPr>
          <w:rFonts w:ascii="Times New Roman" w:hAnsi="Times New Roman" w:cs="Times New Roman"/>
          <w:sz w:val="24"/>
          <w:shd w:val="clear" w:color="auto" w:fill="FFFFFF"/>
        </w:rPr>
        <w:t>Bulfone, F. and Tassinari, A., (2021). Under pressure. Economic constraints, electoral politics</w:t>
      </w:r>
      <w:r w:rsidR="00E17740">
        <w:rPr>
          <w:rFonts w:ascii="Times New Roman" w:hAnsi="Times New Roman" w:cs="Times New Roman"/>
          <w:sz w:val="24"/>
          <w:shd w:val="clear" w:color="auto" w:fill="FFFFFF"/>
        </w:rPr>
        <w:t>,</w:t>
      </w:r>
      <w:r w:rsidRPr="001A5831">
        <w:rPr>
          <w:rFonts w:ascii="Times New Roman" w:hAnsi="Times New Roman" w:cs="Times New Roman"/>
          <w:sz w:val="24"/>
          <w:shd w:val="clear" w:color="auto" w:fill="FFFFFF"/>
        </w:rPr>
        <w:t xml:space="preserve"> and </w:t>
      </w:r>
      <w:r w:rsidR="00E17740">
        <w:rPr>
          <w:rFonts w:ascii="Times New Roman" w:hAnsi="Times New Roman" w:cs="Times New Roman"/>
          <w:sz w:val="24"/>
          <w:shd w:val="clear" w:color="auto" w:fill="FFFFFF"/>
        </w:rPr>
        <w:t>labor</w:t>
      </w:r>
      <w:r w:rsidRPr="001A5831">
        <w:rPr>
          <w:rFonts w:ascii="Times New Roman" w:hAnsi="Times New Roman" w:cs="Times New Roman"/>
          <w:sz w:val="24"/>
          <w:shd w:val="clear" w:color="auto" w:fill="FFFFFF"/>
        </w:rPr>
        <w:t xml:space="preserve"> market reforms in Southern Europe in the decade of the Great Recession. </w:t>
      </w:r>
      <w:r w:rsidRPr="001A5831">
        <w:rPr>
          <w:rFonts w:ascii="Times New Roman" w:hAnsi="Times New Roman" w:cs="Times New Roman"/>
          <w:i/>
          <w:iCs/>
          <w:sz w:val="24"/>
          <w:shd w:val="clear" w:color="auto" w:fill="FFFFFF"/>
        </w:rPr>
        <w:t xml:space="preserve">European </w:t>
      </w:r>
      <w:r w:rsidR="00E17740">
        <w:rPr>
          <w:rFonts w:ascii="Times New Roman" w:hAnsi="Times New Roman" w:cs="Times New Roman"/>
          <w:i/>
          <w:iCs/>
          <w:sz w:val="24"/>
          <w:shd w:val="clear" w:color="auto" w:fill="FFFFFF"/>
        </w:rPr>
        <w:t>Journal</w:t>
      </w:r>
      <w:r w:rsidRPr="001A5831">
        <w:rPr>
          <w:rFonts w:ascii="Times New Roman" w:hAnsi="Times New Roman" w:cs="Times New Roman"/>
          <w:i/>
          <w:iCs/>
          <w:sz w:val="24"/>
          <w:shd w:val="clear" w:color="auto" w:fill="FFFFFF"/>
        </w:rPr>
        <w:t xml:space="preserve"> of political research</w:t>
      </w:r>
      <w:r w:rsidRPr="001A5831">
        <w:rPr>
          <w:rFonts w:ascii="Times New Roman" w:hAnsi="Times New Roman" w:cs="Times New Roman"/>
          <w:sz w:val="24"/>
          <w:shd w:val="clear" w:color="auto" w:fill="FFFFFF"/>
        </w:rPr>
        <w:t>, </w:t>
      </w:r>
      <w:r w:rsidRPr="001A5831">
        <w:rPr>
          <w:rFonts w:ascii="Times New Roman" w:hAnsi="Times New Roman" w:cs="Times New Roman"/>
          <w:i/>
          <w:iCs/>
          <w:sz w:val="24"/>
          <w:shd w:val="clear" w:color="auto" w:fill="FFFFFF"/>
        </w:rPr>
        <w:t>60</w:t>
      </w:r>
      <w:r w:rsidRPr="001A5831">
        <w:rPr>
          <w:rFonts w:ascii="Times New Roman" w:hAnsi="Times New Roman" w:cs="Times New Roman"/>
          <w:sz w:val="24"/>
          <w:shd w:val="clear" w:color="auto" w:fill="FFFFFF"/>
        </w:rPr>
        <w:t>(3), pp.509-538.</w:t>
      </w:r>
    </w:p>
    <w:p w14:paraId="5BF8CCDC" w14:textId="77777777" w:rsidR="001A5831" w:rsidRPr="001A5831" w:rsidRDefault="001A5831" w:rsidP="00871468">
      <w:pPr>
        <w:spacing w:before="240" w:line="360" w:lineRule="auto"/>
        <w:jc w:val="both"/>
        <w:rPr>
          <w:rFonts w:ascii="Times New Roman" w:eastAsia="Times New Roman" w:hAnsi="Times New Roman" w:cs="Times New Roman"/>
          <w:sz w:val="24"/>
          <w:highlight w:val="white"/>
        </w:rPr>
      </w:pPr>
      <w:r w:rsidRPr="001A5831">
        <w:rPr>
          <w:rFonts w:ascii="Times New Roman" w:eastAsia="Times New Roman" w:hAnsi="Times New Roman" w:cs="Times New Roman"/>
          <w:sz w:val="24"/>
          <w:highlight w:val="white"/>
        </w:rPr>
        <w:t xml:space="preserve">Convery, A.M., Kaufman, M. and Warfield, T.D., (2022). Stakeholder Engagement and Effective Standard Setting. </w:t>
      </w:r>
      <w:r w:rsidRPr="001A5831">
        <w:rPr>
          <w:rFonts w:ascii="Times New Roman" w:eastAsia="Times New Roman" w:hAnsi="Times New Roman" w:cs="Times New Roman"/>
          <w:i/>
          <w:sz w:val="24"/>
          <w:highlight w:val="white"/>
        </w:rPr>
        <w:t>Accounting Horizons</w:t>
      </w:r>
      <w:r w:rsidRPr="001A5831">
        <w:rPr>
          <w:rFonts w:ascii="Times New Roman" w:eastAsia="Times New Roman" w:hAnsi="Times New Roman" w:cs="Times New Roman"/>
          <w:sz w:val="24"/>
          <w:highlight w:val="white"/>
        </w:rPr>
        <w:t xml:space="preserve">, </w:t>
      </w:r>
      <w:r w:rsidRPr="001A5831">
        <w:rPr>
          <w:rFonts w:ascii="Times New Roman" w:eastAsia="Times New Roman" w:hAnsi="Times New Roman" w:cs="Times New Roman"/>
          <w:i/>
          <w:sz w:val="24"/>
          <w:highlight w:val="white"/>
        </w:rPr>
        <w:t>36</w:t>
      </w:r>
      <w:r w:rsidRPr="001A5831">
        <w:rPr>
          <w:rFonts w:ascii="Times New Roman" w:eastAsia="Times New Roman" w:hAnsi="Times New Roman" w:cs="Times New Roman"/>
          <w:sz w:val="24"/>
          <w:highlight w:val="white"/>
        </w:rPr>
        <w:t>(2), pp.47-69.</w:t>
      </w:r>
    </w:p>
    <w:p w14:paraId="72D7E9F0" w14:textId="7CB5F6BD" w:rsidR="001A5831" w:rsidRPr="001A5831" w:rsidRDefault="00E17740" w:rsidP="00871468">
      <w:pPr>
        <w:spacing w:before="240" w:line="360" w:lineRule="auto"/>
        <w:jc w:val="both"/>
        <w:rPr>
          <w:rFonts w:ascii="Times New Roman" w:hAnsi="Times New Roman" w:cs="Times New Roman"/>
          <w:color w:val="121212"/>
          <w:sz w:val="24"/>
          <w:u w:val="single"/>
        </w:rPr>
      </w:pPr>
      <w:r>
        <w:rPr>
          <w:rFonts w:ascii="Times New Roman" w:hAnsi="Times New Roman" w:cs="Times New Roman"/>
          <w:sz w:val="24"/>
        </w:rPr>
        <w:t>ECB</w:t>
      </w:r>
      <w:r w:rsidR="001A5831" w:rsidRPr="001A5831">
        <w:rPr>
          <w:rFonts w:ascii="Times New Roman" w:hAnsi="Times New Roman" w:cs="Times New Roman"/>
          <w:sz w:val="24"/>
        </w:rPr>
        <w:t>.europa.</w:t>
      </w:r>
      <w:r w:rsidR="005A0B37">
        <w:rPr>
          <w:rFonts w:ascii="Times New Roman" w:hAnsi="Times New Roman" w:cs="Times New Roman"/>
          <w:sz w:val="24"/>
        </w:rPr>
        <w:t>EU</w:t>
      </w:r>
      <w:r w:rsidR="001A5831" w:rsidRPr="001A5831">
        <w:rPr>
          <w:rFonts w:ascii="Times New Roman" w:hAnsi="Times New Roman" w:cs="Times New Roman"/>
          <w:sz w:val="24"/>
        </w:rPr>
        <w:t xml:space="preserve"> (2023). </w:t>
      </w:r>
      <w:r w:rsidR="001A5831" w:rsidRPr="001A5831">
        <w:rPr>
          <w:rFonts w:ascii="Times New Roman" w:hAnsi="Times New Roman" w:cs="Times New Roman"/>
          <w:i/>
          <w:sz w:val="24"/>
        </w:rPr>
        <w:t>“Global financial crisis</w:t>
      </w:r>
      <w:r w:rsidR="001A5831" w:rsidRPr="001A5831">
        <w:rPr>
          <w:rFonts w:ascii="Times New Roman" w:hAnsi="Times New Roman" w:cs="Times New Roman"/>
          <w:sz w:val="24"/>
        </w:rPr>
        <w:t>”.  Available at: https://www.ecb.europa.eu/press/key/date/2009/html/sp091016_1.en.html [Accessed on 22nd April 2023].</w:t>
      </w:r>
    </w:p>
    <w:p w14:paraId="60369592" w14:textId="1D886CA8" w:rsidR="001A5831" w:rsidRPr="001A5831" w:rsidRDefault="001A5831" w:rsidP="00871468">
      <w:pPr>
        <w:spacing w:before="240" w:line="360" w:lineRule="auto"/>
        <w:jc w:val="both"/>
        <w:rPr>
          <w:rFonts w:ascii="Times New Roman" w:hAnsi="Times New Roman" w:cs="Times New Roman"/>
          <w:sz w:val="24"/>
        </w:rPr>
      </w:pPr>
      <w:r w:rsidRPr="001A5831">
        <w:rPr>
          <w:rFonts w:ascii="Times New Roman" w:hAnsi="Times New Roman" w:cs="Times New Roman"/>
          <w:sz w:val="24"/>
          <w:shd w:val="clear" w:color="auto" w:fill="FFFFFF"/>
        </w:rPr>
        <w:t>Engel, J., (2020). Regulation, financialization</w:t>
      </w:r>
      <w:r w:rsidR="00E17740">
        <w:rPr>
          <w:rFonts w:ascii="Times New Roman" w:hAnsi="Times New Roman" w:cs="Times New Roman"/>
          <w:sz w:val="24"/>
          <w:shd w:val="clear" w:color="auto" w:fill="FFFFFF"/>
        </w:rPr>
        <w:t>,</w:t>
      </w:r>
      <w:r w:rsidRPr="001A5831">
        <w:rPr>
          <w:rFonts w:ascii="Times New Roman" w:hAnsi="Times New Roman" w:cs="Times New Roman"/>
          <w:sz w:val="24"/>
          <w:shd w:val="clear" w:color="auto" w:fill="FFFFFF"/>
        </w:rPr>
        <w:t xml:space="preserve"> and fraud in Chinese commodity markets after the Global Financial Crisis. </w:t>
      </w:r>
      <w:r w:rsidRPr="001A5831">
        <w:rPr>
          <w:rFonts w:ascii="Times New Roman" w:hAnsi="Times New Roman" w:cs="Times New Roman"/>
          <w:i/>
          <w:iCs/>
          <w:sz w:val="24"/>
          <w:shd w:val="clear" w:color="auto" w:fill="FFFFFF"/>
        </w:rPr>
        <w:t>Regional Studies</w:t>
      </w:r>
      <w:r w:rsidRPr="001A5831">
        <w:rPr>
          <w:rFonts w:ascii="Times New Roman" w:hAnsi="Times New Roman" w:cs="Times New Roman"/>
          <w:sz w:val="24"/>
          <w:shd w:val="clear" w:color="auto" w:fill="FFFFFF"/>
        </w:rPr>
        <w:t>, </w:t>
      </w:r>
      <w:r w:rsidRPr="001A5831">
        <w:rPr>
          <w:rFonts w:ascii="Times New Roman" w:hAnsi="Times New Roman" w:cs="Times New Roman"/>
          <w:i/>
          <w:iCs/>
          <w:sz w:val="24"/>
          <w:shd w:val="clear" w:color="auto" w:fill="FFFFFF"/>
        </w:rPr>
        <w:t>54</w:t>
      </w:r>
      <w:r w:rsidRPr="001A5831">
        <w:rPr>
          <w:rFonts w:ascii="Times New Roman" w:hAnsi="Times New Roman" w:cs="Times New Roman"/>
          <w:sz w:val="24"/>
          <w:shd w:val="clear" w:color="auto" w:fill="FFFFFF"/>
        </w:rPr>
        <w:t>(2), pp.219-228.</w:t>
      </w:r>
    </w:p>
    <w:p w14:paraId="2914E5C5" w14:textId="77777777" w:rsidR="001A5831" w:rsidRPr="001A5831" w:rsidRDefault="001A5831" w:rsidP="00871468">
      <w:pPr>
        <w:spacing w:before="240" w:line="360" w:lineRule="auto"/>
        <w:jc w:val="both"/>
        <w:rPr>
          <w:rFonts w:ascii="Times New Roman" w:hAnsi="Times New Roman" w:cs="Times New Roman"/>
          <w:sz w:val="24"/>
        </w:rPr>
      </w:pPr>
      <w:r w:rsidRPr="001A5831">
        <w:rPr>
          <w:rFonts w:ascii="Times New Roman" w:hAnsi="Times New Roman" w:cs="Times New Roman"/>
          <w:sz w:val="24"/>
          <w:shd w:val="clear" w:color="auto" w:fill="FFFFFF"/>
        </w:rPr>
        <w:t>Fernandes, D., (2022). </w:t>
      </w:r>
      <w:r w:rsidRPr="001A5831">
        <w:rPr>
          <w:rFonts w:ascii="Times New Roman" w:hAnsi="Times New Roman" w:cs="Times New Roman"/>
          <w:i/>
          <w:iCs/>
          <w:sz w:val="24"/>
          <w:shd w:val="clear" w:color="auto" w:fill="FFFFFF"/>
        </w:rPr>
        <w:t>Changes in financial regulation in the wake of the 2008 financial crisis and the resulting interlinkages with the trade and investment architecture: considerations for the future</w:t>
      </w:r>
      <w:r w:rsidRPr="001A5831">
        <w:rPr>
          <w:rFonts w:ascii="Times New Roman" w:hAnsi="Times New Roman" w:cs="Times New Roman"/>
          <w:sz w:val="24"/>
          <w:shd w:val="clear" w:color="auto" w:fill="FFFFFF"/>
        </w:rPr>
        <w:t> (Doctoral dissertation, University of Zurich).</w:t>
      </w:r>
    </w:p>
    <w:p w14:paraId="21BF8757" w14:textId="66C1E111" w:rsidR="001A5831" w:rsidRPr="001A5831" w:rsidRDefault="00E17740" w:rsidP="00871468">
      <w:pPr>
        <w:spacing w:before="240" w:line="360" w:lineRule="auto"/>
        <w:jc w:val="both"/>
        <w:rPr>
          <w:rFonts w:ascii="Times New Roman" w:hAnsi="Times New Roman" w:cs="Times New Roman"/>
          <w:color w:val="121212"/>
          <w:sz w:val="24"/>
          <w:u w:val="single"/>
        </w:rPr>
      </w:pPr>
      <w:r>
        <w:rPr>
          <w:rFonts w:ascii="Times New Roman" w:hAnsi="Times New Roman" w:cs="Times New Roman"/>
          <w:sz w:val="24"/>
        </w:rPr>
        <w:t>leaders</w:t>
      </w:r>
      <w:r w:rsidR="001A5831" w:rsidRPr="001A5831">
        <w:rPr>
          <w:rFonts w:ascii="Times New Roman" w:hAnsi="Times New Roman" w:cs="Times New Roman"/>
          <w:sz w:val="24"/>
        </w:rPr>
        <w:t>.</w:t>
      </w:r>
      <w:r w:rsidR="005A0B37">
        <w:rPr>
          <w:rFonts w:ascii="Times New Roman" w:hAnsi="Times New Roman" w:cs="Times New Roman"/>
          <w:sz w:val="24"/>
        </w:rPr>
        <w:t xml:space="preserve"> </w:t>
      </w:r>
      <w:r w:rsidR="001A5831" w:rsidRPr="001A5831">
        <w:rPr>
          <w:rFonts w:ascii="Times New Roman" w:hAnsi="Times New Roman" w:cs="Times New Roman"/>
          <w:sz w:val="24"/>
        </w:rPr>
        <w:t xml:space="preserve">in (2021). </w:t>
      </w:r>
      <w:r w:rsidR="001A5831" w:rsidRPr="001A5831">
        <w:rPr>
          <w:rFonts w:ascii="Times New Roman" w:hAnsi="Times New Roman" w:cs="Times New Roman"/>
          <w:i/>
          <w:sz w:val="24"/>
        </w:rPr>
        <w:t>“Legal Measures</w:t>
      </w:r>
      <w:r w:rsidR="001A5831" w:rsidRPr="001A5831">
        <w:rPr>
          <w:rFonts w:ascii="Times New Roman" w:hAnsi="Times New Roman" w:cs="Times New Roman"/>
          <w:sz w:val="24"/>
        </w:rPr>
        <w:t>”. Available at: /https://blog.ipleaders.in/2008-global-financial-crisis-incorporation-legal-measures/. [Accessed on 22nd April 2023].</w:t>
      </w:r>
    </w:p>
    <w:p w14:paraId="4BB7E71A" w14:textId="77777777" w:rsidR="001A5831" w:rsidRPr="001A5831" w:rsidRDefault="001A5831" w:rsidP="00871468">
      <w:pPr>
        <w:spacing w:before="240" w:line="360" w:lineRule="auto"/>
        <w:jc w:val="both"/>
        <w:rPr>
          <w:rFonts w:ascii="Times New Roman" w:hAnsi="Times New Roman" w:cs="Times New Roman"/>
          <w:sz w:val="24"/>
        </w:rPr>
      </w:pPr>
      <w:r w:rsidRPr="001A5831">
        <w:rPr>
          <w:rFonts w:ascii="Times New Roman" w:hAnsi="Times New Roman" w:cs="Times New Roman"/>
          <w:sz w:val="24"/>
          <w:shd w:val="clear" w:color="auto" w:fill="FFFFFF"/>
        </w:rPr>
        <w:lastRenderedPageBreak/>
        <w:t>Lamperti, F., Bosetti, V., Roventini, A. and Tavoni, M., (2019). The public costs of climate-induced financial instability. </w:t>
      </w:r>
      <w:r w:rsidRPr="001A5831">
        <w:rPr>
          <w:rFonts w:ascii="Times New Roman" w:hAnsi="Times New Roman" w:cs="Times New Roman"/>
          <w:i/>
          <w:iCs/>
          <w:sz w:val="24"/>
          <w:shd w:val="clear" w:color="auto" w:fill="FFFFFF"/>
        </w:rPr>
        <w:t>Nature Climate Change</w:t>
      </w:r>
      <w:r w:rsidRPr="001A5831">
        <w:rPr>
          <w:rFonts w:ascii="Times New Roman" w:hAnsi="Times New Roman" w:cs="Times New Roman"/>
          <w:sz w:val="24"/>
          <w:shd w:val="clear" w:color="auto" w:fill="FFFFFF"/>
        </w:rPr>
        <w:t>, </w:t>
      </w:r>
      <w:r w:rsidRPr="001A5831">
        <w:rPr>
          <w:rFonts w:ascii="Times New Roman" w:hAnsi="Times New Roman" w:cs="Times New Roman"/>
          <w:i/>
          <w:iCs/>
          <w:sz w:val="24"/>
          <w:shd w:val="clear" w:color="auto" w:fill="FFFFFF"/>
        </w:rPr>
        <w:t>9</w:t>
      </w:r>
      <w:r w:rsidRPr="001A5831">
        <w:rPr>
          <w:rFonts w:ascii="Times New Roman" w:hAnsi="Times New Roman" w:cs="Times New Roman"/>
          <w:sz w:val="24"/>
          <w:shd w:val="clear" w:color="auto" w:fill="FFFFFF"/>
        </w:rPr>
        <w:t>(11), pp.829-833.</w:t>
      </w:r>
    </w:p>
    <w:p w14:paraId="6929A9C2" w14:textId="77777777" w:rsidR="001A5831" w:rsidRPr="001A5831" w:rsidRDefault="001A5831" w:rsidP="00871468">
      <w:pPr>
        <w:spacing w:before="240" w:line="360" w:lineRule="auto"/>
        <w:jc w:val="both"/>
        <w:rPr>
          <w:rFonts w:ascii="Times New Roman" w:eastAsia="Times New Roman" w:hAnsi="Times New Roman" w:cs="Times New Roman"/>
          <w:sz w:val="24"/>
        </w:rPr>
      </w:pPr>
      <w:r w:rsidRPr="001A5831">
        <w:rPr>
          <w:rFonts w:ascii="Times New Roman" w:eastAsia="Times New Roman" w:hAnsi="Times New Roman" w:cs="Times New Roman"/>
          <w:sz w:val="24"/>
          <w:highlight w:val="white"/>
        </w:rPr>
        <w:t>lloydsbankinggroup.com(2022),</w:t>
      </w:r>
      <w:r w:rsidRPr="001A5831">
        <w:rPr>
          <w:rFonts w:ascii="Times New Roman" w:eastAsia="Times New Roman" w:hAnsi="Times New Roman" w:cs="Times New Roman"/>
          <w:i/>
          <w:sz w:val="24"/>
          <w:highlight w:val="white"/>
        </w:rPr>
        <w:t xml:space="preserve"> “Balanced Scorecard”.</w:t>
      </w:r>
      <w:r w:rsidRPr="001A5831">
        <w:rPr>
          <w:rFonts w:ascii="Times New Roman" w:eastAsia="Times New Roman" w:hAnsi="Times New Roman" w:cs="Times New Roman"/>
          <w:sz w:val="24"/>
          <w:highlight w:val="white"/>
        </w:rPr>
        <w:t xml:space="preserve"> Available at: https://www.lloydsbankinggroup.com/assets/pdfs/who-we-are/financing-a-green-future/objective-framework.pdf, </w:t>
      </w:r>
      <w:r w:rsidRPr="001A5831">
        <w:rPr>
          <w:rFonts w:ascii="Times New Roman" w:eastAsia="Times New Roman" w:hAnsi="Times New Roman" w:cs="Times New Roman"/>
          <w:sz w:val="24"/>
        </w:rPr>
        <w:t>[Accessed on: 12th April, 2023]</w:t>
      </w:r>
    </w:p>
    <w:p w14:paraId="7E626518" w14:textId="77777777" w:rsidR="001A5831" w:rsidRPr="001A5831" w:rsidRDefault="00000000" w:rsidP="00871468">
      <w:pPr>
        <w:spacing w:before="240" w:line="360" w:lineRule="auto"/>
        <w:jc w:val="both"/>
        <w:rPr>
          <w:rFonts w:ascii="Times New Roman" w:eastAsia="Times New Roman" w:hAnsi="Times New Roman" w:cs="Times New Roman"/>
          <w:sz w:val="24"/>
        </w:rPr>
      </w:pPr>
      <w:hyperlink r:id="rId16">
        <w:r w:rsidR="001A5831" w:rsidRPr="001A5831">
          <w:rPr>
            <w:rFonts w:ascii="Times New Roman" w:eastAsia="Times New Roman" w:hAnsi="Times New Roman" w:cs="Times New Roman"/>
            <w:sz w:val="24"/>
            <w:highlight w:val="white"/>
          </w:rPr>
          <w:t xml:space="preserve">Lloydsbankinggroup.com, (2008). </w:t>
        </w:r>
      </w:hyperlink>
      <w:r w:rsidR="001A5831" w:rsidRPr="001A5831">
        <w:rPr>
          <w:rFonts w:ascii="Times New Roman" w:hAnsi="Times New Roman" w:cs="Times New Roman"/>
          <w:i/>
          <w:sz w:val="24"/>
        </w:rPr>
        <w:t>“</w:t>
      </w:r>
      <w:hyperlink r:id="rId17">
        <w:r w:rsidR="001A5831" w:rsidRPr="001A5831">
          <w:rPr>
            <w:rFonts w:ascii="Times New Roman" w:eastAsia="Times New Roman" w:hAnsi="Times New Roman" w:cs="Times New Roman"/>
            <w:i/>
            <w:sz w:val="24"/>
            <w:highlight w:val="white"/>
          </w:rPr>
          <w:t xml:space="preserve">ANNUAL REVIEW 2008”. </w:t>
        </w:r>
      </w:hyperlink>
      <w:hyperlink r:id="rId18">
        <w:r w:rsidR="001A5831" w:rsidRPr="001A5831">
          <w:rPr>
            <w:rFonts w:ascii="Times New Roman" w:eastAsia="Times New Roman" w:hAnsi="Times New Roman" w:cs="Times New Roman"/>
            <w:sz w:val="24"/>
            <w:highlight w:val="white"/>
          </w:rPr>
          <w:t>Available at: https://www.lloydsbankinggroup.com/assets/pdfs/investors/annual-report/2008-download-links/2008_lbg_annual_review.pdf</w:t>
        </w:r>
      </w:hyperlink>
      <w:r w:rsidR="001A5831" w:rsidRPr="001A5831">
        <w:rPr>
          <w:rFonts w:ascii="Times New Roman" w:eastAsia="Times New Roman" w:hAnsi="Times New Roman" w:cs="Times New Roman"/>
          <w:sz w:val="24"/>
          <w:highlight w:val="white"/>
        </w:rPr>
        <w:t xml:space="preserve">, </w:t>
      </w:r>
      <w:r w:rsidR="001A5831" w:rsidRPr="001A5831">
        <w:rPr>
          <w:rFonts w:ascii="Times New Roman" w:eastAsia="Times New Roman" w:hAnsi="Times New Roman" w:cs="Times New Roman"/>
          <w:sz w:val="24"/>
        </w:rPr>
        <w:t>[Accessed on: 12th April, 2023]</w:t>
      </w:r>
    </w:p>
    <w:p w14:paraId="1FCD3FF5" w14:textId="36E42437" w:rsidR="001A5831" w:rsidRPr="001A5831" w:rsidRDefault="001A5831" w:rsidP="00871468">
      <w:pPr>
        <w:spacing w:before="240" w:line="360" w:lineRule="auto"/>
        <w:jc w:val="both"/>
        <w:rPr>
          <w:rFonts w:ascii="Times New Roman" w:eastAsia="Times New Roman" w:hAnsi="Times New Roman" w:cs="Times New Roman"/>
          <w:sz w:val="24"/>
        </w:rPr>
      </w:pPr>
      <w:r w:rsidRPr="001A5831">
        <w:rPr>
          <w:rFonts w:ascii="Times New Roman" w:eastAsia="Times New Roman" w:hAnsi="Times New Roman" w:cs="Times New Roman"/>
          <w:sz w:val="24"/>
          <w:highlight w:val="white"/>
        </w:rPr>
        <w:t xml:space="preserve">Lloydsbankinggroup.com, (2020). </w:t>
      </w:r>
      <w:r w:rsidRPr="001A5831">
        <w:rPr>
          <w:rFonts w:ascii="Times New Roman" w:eastAsia="Times New Roman" w:hAnsi="Times New Roman" w:cs="Times New Roman"/>
          <w:i/>
          <w:sz w:val="24"/>
          <w:highlight w:val="white"/>
        </w:rPr>
        <w:t>“Our approach to Environmental,</w:t>
      </w:r>
      <w:r w:rsidR="005A0B37">
        <w:rPr>
          <w:rFonts w:ascii="Times New Roman" w:eastAsia="Times New Roman" w:hAnsi="Times New Roman" w:cs="Times New Roman"/>
          <w:i/>
          <w:sz w:val="24"/>
          <w:highlight w:val="white"/>
        </w:rPr>
        <w:t xml:space="preserve"> </w:t>
      </w:r>
      <w:r w:rsidRPr="001A5831">
        <w:rPr>
          <w:rFonts w:ascii="Times New Roman" w:eastAsia="Times New Roman" w:hAnsi="Times New Roman" w:cs="Times New Roman"/>
          <w:i/>
          <w:sz w:val="24"/>
          <w:highlight w:val="white"/>
        </w:rPr>
        <w:t xml:space="preserve">Social and Governance”. </w:t>
      </w:r>
      <w:r w:rsidRPr="001A5831">
        <w:rPr>
          <w:rFonts w:ascii="Times New Roman" w:eastAsia="Times New Roman" w:hAnsi="Times New Roman" w:cs="Times New Roman"/>
          <w:sz w:val="24"/>
          <w:highlight w:val="white"/>
        </w:rPr>
        <w:t xml:space="preserve">Available at: https://www.lloydsbankinggroup.com/assets/pdfs/investors/financial-performance/lloyds-banking-group-plc/2019/full-year/2020feb20-lbg-esg-approach.pdf, </w:t>
      </w:r>
      <w:r w:rsidRPr="001A5831">
        <w:rPr>
          <w:rFonts w:ascii="Times New Roman" w:eastAsia="Times New Roman" w:hAnsi="Times New Roman" w:cs="Times New Roman"/>
          <w:sz w:val="24"/>
        </w:rPr>
        <w:t>[Accessed on: 12th April, 2023]</w:t>
      </w:r>
    </w:p>
    <w:p w14:paraId="201B65C2" w14:textId="77777777" w:rsidR="001A5831" w:rsidRPr="001A5831" w:rsidRDefault="001A5831" w:rsidP="00871468">
      <w:pPr>
        <w:spacing w:before="240" w:line="360" w:lineRule="auto"/>
        <w:jc w:val="both"/>
        <w:rPr>
          <w:rFonts w:ascii="Times New Roman" w:eastAsia="Times New Roman" w:hAnsi="Times New Roman" w:cs="Times New Roman"/>
          <w:i/>
          <w:sz w:val="24"/>
          <w:highlight w:val="white"/>
        </w:rPr>
      </w:pPr>
      <w:r w:rsidRPr="001A5831">
        <w:rPr>
          <w:rFonts w:ascii="Times New Roman" w:eastAsia="Times New Roman" w:hAnsi="Times New Roman" w:cs="Times New Roman"/>
          <w:sz w:val="24"/>
          <w:highlight w:val="white"/>
        </w:rPr>
        <w:t xml:space="preserve">Lloydsbankinggroup.com, (2022). </w:t>
      </w:r>
      <w:r w:rsidRPr="001A5831">
        <w:rPr>
          <w:rFonts w:ascii="Times New Roman" w:eastAsia="Times New Roman" w:hAnsi="Times New Roman" w:cs="Times New Roman"/>
          <w:i/>
          <w:sz w:val="24"/>
          <w:highlight w:val="white"/>
        </w:rPr>
        <w:t>“Sustainable financing and investment criteria for the Group</w:t>
      </w:r>
    </w:p>
    <w:p w14:paraId="561B8F74" w14:textId="7CF9D0DA" w:rsidR="001A5831" w:rsidRPr="001A5831" w:rsidRDefault="001A5831" w:rsidP="00871468">
      <w:pPr>
        <w:spacing w:before="240" w:line="360" w:lineRule="auto"/>
        <w:jc w:val="both"/>
        <w:rPr>
          <w:rFonts w:ascii="Times New Roman" w:hAnsi="Times New Roman" w:cs="Times New Roman"/>
          <w:sz w:val="24"/>
        </w:rPr>
      </w:pPr>
      <w:r w:rsidRPr="001A5831">
        <w:rPr>
          <w:rFonts w:ascii="Times New Roman" w:hAnsi="Times New Roman" w:cs="Times New Roman"/>
          <w:sz w:val="24"/>
          <w:shd w:val="clear" w:color="auto" w:fill="FFFFFF"/>
        </w:rPr>
        <w:t xml:space="preserve">Manolova, P., (2022). Inclusion through irregularisation? Exploring the politics and realities of internal bordering in managing post-crisis </w:t>
      </w:r>
      <w:r w:rsidR="00E17740">
        <w:rPr>
          <w:rFonts w:ascii="Times New Roman" w:hAnsi="Times New Roman" w:cs="Times New Roman"/>
          <w:sz w:val="24"/>
          <w:shd w:val="clear" w:color="auto" w:fill="FFFFFF"/>
        </w:rPr>
        <w:t>labor</w:t>
      </w:r>
      <w:r w:rsidRPr="001A5831">
        <w:rPr>
          <w:rFonts w:ascii="Times New Roman" w:hAnsi="Times New Roman" w:cs="Times New Roman"/>
          <w:sz w:val="24"/>
          <w:shd w:val="clear" w:color="auto" w:fill="FFFFFF"/>
        </w:rPr>
        <w:t xml:space="preserve"> migration in the EU. </w:t>
      </w:r>
      <w:r w:rsidRPr="001A5831">
        <w:rPr>
          <w:rFonts w:ascii="Times New Roman" w:hAnsi="Times New Roman" w:cs="Times New Roman"/>
          <w:i/>
          <w:iCs/>
          <w:sz w:val="24"/>
          <w:shd w:val="clear" w:color="auto" w:fill="FFFFFF"/>
        </w:rPr>
        <w:t>Journal of Ethnic and Migration Studies</w:t>
      </w:r>
      <w:r w:rsidRPr="001A5831">
        <w:rPr>
          <w:rFonts w:ascii="Times New Roman" w:hAnsi="Times New Roman" w:cs="Times New Roman"/>
          <w:sz w:val="24"/>
          <w:shd w:val="clear" w:color="auto" w:fill="FFFFFF"/>
        </w:rPr>
        <w:t>, </w:t>
      </w:r>
      <w:r w:rsidRPr="001A5831">
        <w:rPr>
          <w:rFonts w:ascii="Times New Roman" w:hAnsi="Times New Roman" w:cs="Times New Roman"/>
          <w:i/>
          <w:iCs/>
          <w:sz w:val="24"/>
          <w:shd w:val="clear" w:color="auto" w:fill="FFFFFF"/>
        </w:rPr>
        <w:t>48</w:t>
      </w:r>
      <w:r w:rsidRPr="001A5831">
        <w:rPr>
          <w:rFonts w:ascii="Times New Roman" w:hAnsi="Times New Roman" w:cs="Times New Roman"/>
          <w:sz w:val="24"/>
          <w:shd w:val="clear" w:color="auto" w:fill="FFFFFF"/>
        </w:rPr>
        <w:t>(15), pp.3687-3704.</w:t>
      </w:r>
    </w:p>
    <w:p w14:paraId="7A5B3605" w14:textId="77777777" w:rsidR="001A5831" w:rsidRPr="001A5831" w:rsidRDefault="001A5831" w:rsidP="00871468">
      <w:pPr>
        <w:spacing w:before="240" w:line="360" w:lineRule="auto"/>
        <w:jc w:val="both"/>
        <w:rPr>
          <w:rFonts w:ascii="Times New Roman" w:hAnsi="Times New Roman" w:cs="Times New Roman"/>
          <w:sz w:val="24"/>
        </w:rPr>
      </w:pPr>
      <w:r w:rsidRPr="001A5831">
        <w:rPr>
          <w:rFonts w:ascii="Times New Roman" w:hAnsi="Times New Roman" w:cs="Times New Roman"/>
          <w:sz w:val="24"/>
          <w:shd w:val="clear" w:color="auto" w:fill="FFFFFF"/>
        </w:rPr>
        <w:t>McKillop, D., French, D., Quinn, B., Sobiech, A.L. and Wilson, J.O., (2020). Cooperative financial institutions: A review of the literature. </w:t>
      </w:r>
      <w:r w:rsidRPr="001A5831">
        <w:rPr>
          <w:rFonts w:ascii="Times New Roman" w:hAnsi="Times New Roman" w:cs="Times New Roman"/>
          <w:i/>
          <w:iCs/>
          <w:sz w:val="24"/>
          <w:shd w:val="clear" w:color="auto" w:fill="FFFFFF"/>
        </w:rPr>
        <w:t>International Review of Financial Analysis</w:t>
      </w:r>
      <w:r w:rsidRPr="001A5831">
        <w:rPr>
          <w:rFonts w:ascii="Times New Roman" w:hAnsi="Times New Roman" w:cs="Times New Roman"/>
          <w:sz w:val="24"/>
          <w:shd w:val="clear" w:color="auto" w:fill="FFFFFF"/>
        </w:rPr>
        <w:t>, </w:t>
      </w:r>
      <w:r w:rsidRPr="001A5831">
        <w:rPr>
          <w:rFonts w:ascii="Times New Roman" w:hAnsi="Times New Roman" w:cs="Times New Roman"/>
          <w:i/>
          <w:iCs/>
          <w:sz w:val="24"/>
          <w:shd w:val="clear" w:color="auto" w:fill="FFFFFF"/>
        </w:rPr>
        <w:t>71</w:t>
      </w:r>
      <w:r w:rsidRPr="001A5831">
        <w:rPr>
          <w:rFonts w:ascii="Times New Roman" w:hAnsi="Times New Roman" w:cs="Times New Roman"/>
          <w:sz w:val="24"/>
          <w:shd w:val="clear" w:color="auto" w:fill="FFFFFF"/>
        </w:rPr>
        <w:t>, p.101520.</w:t>
      </w:r>
    </w:p>
    <w:p w14:paraId="183458B4" w14:textId="694E200E" w:rsidR="001A5831" w:rsidRPr="001A5831" w:rsidRDefault="001A5831" w:rsidP="00871468">
      <w:pPr>
        <w:spacing w:before="240" w:line="360" w:lineRule="auto"/>
        <w:jc w:val="both"/>
        <w:rPr>
          <w:rFonts w:ascii="Times New Roman" w:hAnsi="Times New Roman" w:cs="Times New Roman"/>
          <w:color w:val="121212"/>
          <w:sz w:val="24"/>
          <w:u w:val="single"/>
        </w:rPr>
      </w:pPr>
      <w:r w:rsidRPr="001A5831">
        <w:rPr>
          <w:rFonts w:ascii="Times New Roman" w:hAnsi="Times New Roman" w:cs="Times New Roman"/>
          <w:sz w:val="24"/>
        </w:rPr>
        <w:t xml:space="preserve">mckinsey.com (2023). </w:t>
      </w:r>
      <w:r w:rsidRPr="001A5831">
        <w:rPr>
          <w:rFonts w:ascii="Times New Roman" w:hAnsi="Times New Roman" w:cs="Times New Roman"/>
          <w:i/>
          <w:sz w:val="24"/>
        </w:rPr>
        <w:t xml:space="preserve">“A decade after </w:t>
      </w:r>
      <w:r w:rsidR="00E17740">
        <w:rPr>
          <w:rFonts w:ascii="Times New Roman" w:hAnsi="Times New Roman" w:cs="Times New Roman"/>
          <w:i/>
          <w:sz w:val="24"/>
        </w:rPr>
        <w:t xml:space="preserve">the </w:t>
      </w:r>
      <w:r w:rsidRPr="001A5831">
        <w:rPr>
          <w:rFonts w:ascii="Times New Roman" w:hAnsi="Times New Roman" w:cs="Times New Roman"/>
          <w:i/>
          <w:sz w:val="24"/>
        </w:rPr>
        <w:t>global financial crisis</w:t>
      </w:r>
      <w:r w:rsidRPr="001A5831">
        <w:rPr>
          <w:rFonts w:ascii="Times New Roman" w:hAnsi="Times New Roman" w:cs="Times New Roman"/>
          <w:sz w:val="24"/>
        </w:rPr>
        <w:t>”.  Available at: https://www.mckinsey.com/industries/financial-services/our-insights/a-decade-after-the-global. [Accessed on 22nd April 2023].</w:t>
      </w:r>
    </w:p>
    <w:p w14:paraId="2B3BA0AC" w14:textId="75309D43" w:rsidR="001A5831" w:rsidRPr="001A5831" w:rsidRDefault="001A5831" w:rsidP="00871468">
      <w:pPr>
        <w:spacing w:before="240" w:line="360" w:lineRule="auto"/>
        <w:jc w:val="both"/>
        <w:rPr>
          <w:rFonts w:ascii="Times New Roman" w:eastAsia="Times New Roman" w:hAnsi="Times New Roman" w:cs="Times New Roman"/>
          <w:sz w:val="24"/>
        </w:rPr>
      </w:pPr>
      <w:r w:rsidRPr="001A5831">
        <w:rPr>
          <w:rFonts w:ascii="Times New Roman" w:eastAsia="Times New Roman" w:hAnsi="Times New Roman" w:cs="Times New Roman"/>
          <w:sz w:val="24"/>
          <w:highlight w:val="white"/>
        </w:rPr>
        <w:t>Obr.</w:t>
      </w:r>
      <w:r w:rsidR="005A0B37">
        <w:rPr>
          <w:rFonts w:ascii="Times New Roman" w:eastAsia="Times New Roman" w:hAnsi="Times New Roman" w:cs="Times New Roman"/>
          <w:sz w:val="24"/>
          <w:highlight w:val="white"/>
        </w:rPr>
        <w:t xml:space="preserve"> </w:t>
      </w:r>
      <w:r w:rsidRPr="001A5831">
        <w:rPr>
          <w:rFonts w:ascii="Times New Roman" w:eastAsia="Times New Roman" w:hAnsi="Times New Roman" w:cs="Times New Roman"/>
          <w:sz w:val="24"/>
          <w:highlight w:val="white"/>
        </w:rPr>
        <w:t xml:space="preserve">uk, (2017). </w:t>
      </w:r>
      <w:r w:rsidRPr="001A5831">
        <w:rPr>
          <w:rFonts w:ascii="Times New Roman" w:eastAsia="Times New Roman" w:hAnsi="Times New Roman" w:cs="Times New Roman"/>
          <w:i/>
          <w:sz w:val="24"/>
          <w:highlight w:val="white"/>
        </w:rPr>
        <w:t>“The Government's regulatory response to the financial crisis”</w:t>
      </w:r>
      <w:r w:rsidRPr="001A5831">
        <w:rPr>
          <w:rFonts w:ascii="Times New Roman" w:eastAsia="Times New Roman" w:hAnsi="Times New Roman" w:cs="Times New Roman"/>
          <w:sz w:val="24"/>
          <w:highlight w:val="white"/>
        </w:rPr>
        <w:t xml:space="preserve">. Available at: https://obr.uk/box/the-governments-regulatory-response-to-the-financial-crisis/, </w:t>
      </w:r>
      <w:r w:rsidRPr="001A5831">
        <w:rPr>
          <w:rFonts w:ascii="Times New Roman" w:eastAsia="Times New Roman" w:hAnsi="Times New Roman" w:cs="Times New Roman"/>
          <w:sz w:val="24"/>
        </w:rPr>
        <w:t>Accessed on: 12th April, 2023]</w:t>
      </w:r>
    </w:p>
    <w:p w14:paraId="298FB190" w14:textId="77777777" w:rsidR="001A5831" w:rsidRPr="001A5831" w:rsidRDefault="001A5831" w:rsidP="00871468">
      <w:pPr>
        <w:spacing w:before="240" w:line="360" w:lineRule="auto"/>
        <w:jc w:val="both"/>
        <w:rPr>
          <w:rFonts w:ascii="Times New Roman" w:hAnsi="Times New Roman" w:cs="Times New Roman"/>
          <w:sz w:val="24"/>
        </w:rPr>
      </w:pPr>
      <w:r w:rsidRPr="001A5831">
        <w:rPr>
          <w:rFonts w:ascii="Times New Roman" w:hAnsi="Times New Roman" w:cs="Times New Roman"/>
          <w:sz w:val="24"/>
          <w:shd w:val="clear" w:color="auto" w:fill="FFFFFF"/>
        </w:rPr>
        <w:lastRenderedPageBreak/>
        <w:t>Orazalin, N. and Mahmood, M., (2019). The financial crisis as a wake-up call: corporate governance and bank performance in an emerging economy. </w:t>
      </w:r>
      <w:r w:rsidRPr="001A5831">
        <w:rPr>
          <w:rFonts w:ascii="Times New Roman" w:hAnsi="Times New Roman" w:cs="Times New Roman"/>
          <w:i/>
          <w:iCs/>
          <w:sz w:val="24"/>
          <w:shd w:val="clear" w:color="auto" w:fill="FFFFFF"/>
        </w:rPr>
        <w:t>Corporate Governance: The International Journal of Business in Society</w:t>
      </w:r>
      <w:r w:rsidRPr="001A5831">
        <w:rPr>
          <w:rFonts w:ascii="Times New Roman" w:hAnsi="Times New Roman" w:cs="Times New Roman"/>
          <w:sz w:val="24"/>
          <w:shd w:val="clear" w:color="auto" w:fill="FFFFFF"/>
        </w:rPr>
        <w:t>, </w:t>
      </w:r>
      <w:r w:rsidRPr="001A5831">
        <w:rPr>
          <w:rFonts w:ascii="Times New Roman" w:hAnsi="Times New Roman" w:cs="Times New Roman"/>
          <w:i/>
          <w:iCs/>
          <w:sz w:val="24"/>
          <w:shd w:val="clear" w:color="auto" w:fill="FFFFFF"/>
        </w:rPr>
        <w:t>19</w:t>
      </w:r>
      <w:r w:rsidRPr="001A5831">
        <w:rPr>
          <w:rFonts w:ascii="Times New Roman" w:hAnsi="Times New Roman" w:cs="Times New Roman"/>
          <w:sz w:val="24"/>
          <w:shd w:val="clear" w:color="auto" w:fill="FFFFFF"/>
        </w:rPr>
        <w:t>(1), pp.80-101.</w:t>
      </w:r>
    </w:p>
    <w:p w14:paraId="089BBB4E" w14:textId="77777777" w:rsidR="001A5831" w:rsidRPr="001A5831" w:rsidRDefault="001A5831" w:rsidP="00871468">
      <w:pPr>
        <w:spacing w:before="240" w:line="360" w:lineRule="auto"/>
        <w:jc w:val="both"/>
        <w:rPr>
          <w:rFonts w:ascii="Times New Roman" w:eastAsia="Times New Roman" w:hAnsi="Times New Roman" w:cs="Times New Roman"/>
          <w:sz w:val="24"/>
          <w:highlight w:val="white"/>
        </w:rPr>
      </w:pPr>
      <w:r w:rsidRPr="001A5831">
        <w:rPr>
          <w:rFonts w:ascii="Times New Roman" w:eastAsia="Times New Roman" w:hAnsi="Times New Roman" w:cs="Times New Roman"/>
          <w:sz w:val="24"/>
          <w:highlight w:val="white"/>
        </w:rPr>
        <w:t xml:space="preserve">Reform, D.F.W.S., Act, C.P. and Protection, C.C.F., (2019). Dodd-Frank Act. </w:t>
      </w:r>
      <w:r w:rsidRPr="001A5831">
        <w:rPr>
          <w:rFonts w:ascii="Times New Roman" w:eastAsia="Times New Roman" w:hAnsi="Times New Roman" w:cs="Times New Roman"/>
          <w:i/>
          <w:sz w:val="24"/>
          <w:highlight w:val="white"/>
        </w:rPr>
        <w:t>Pub. L</w:t>
      </w:r>
      <w:r w:rsidRPr="001A5831">
        <w:rPr>
          <w:rFonts w:ascii="Times New Roman" w:eastAsia="Times New Roman" w:hAnsi="Times New Roman" w:cs="Times New Roman"/>
          <w:sz w:val="24"/>
          <w:highlight w:val="white"/>
        </w:rPr>
        <w:t>, pp.111-203.</w:t>
      </w:r>
    </w:p>
    <w:p w14:paraId="596D5894" w14:textId="6B3F00B8" w:rsidR="001A5831" w:rsidRPr="001A5831" w:rsidRDefault="001A5831" w:rsidP="00871468">
      <w:pPr>
        <w:spacing w:before="240" w:line="360" w:lineRule="auto"/>
        <w:jc w:val="both"/>
        <w:rPr>
          <w:rFonts w:ascii="Times New Roman" w:eastAsia="Times New Roman" w:hAnsi="Times New Roman" w:cs="Times New Roman"/>
          <w:sz w:val="24"/>
          <w:highlight w:val="white"/>
        </w:rPr>
      </w:pPr>
      <w:r w:rsidRPr="001A5831">
        <w:rPr>
          <w:rFonts w:ascii="Times New Roman" w:eastAsia="Times New Roman" w:hAnsi="Times New Roman" w:cs="Times New Roman"/>
          <w:sz w:val="24"/>
          <w:highlight w:val="white"/>
        </w:rPr>
        <w:t xml:space="preserve">Rosell, J. and Saz-Carranza, A., (2020). Determinants of </w:t>
      </w:r>
      <w:r w:rsidR="00C36F25">
        <w:rPr>
          <w:rFonts w:ascii="Times New Roman" w:eastAsia="Times New Roman" w:hAnsi="Times New Roman" w:cs="Times New Roman"/>
          <w:sz w:val="24"/>
          <w:highlight w:val="white"/>
        </w:rPr>
        <w:t>public–private</w:t>
      </w:r>
      <w:r w:rsidRPr="001A5831">
        <w:rPr>
          <w:rFonts w:ascii="Times New Roman" w:eastAsia="Times New Roman" w:hAnsi="Times New Roman" w:cs="Times New Roman"/>
          <w:sz w:val="24"/>
          <w:highlight w:val="white"/>
        </w:rPr>
        <w:t xml:space="preserve"> partnership policies. </w:t>
      </w:r>
      <w:r w:rsidRPr="001A5831">
        <w:rPr>
          <w:rFonts w:ascii="Times New Roman" w:eastAsia="Times New Roman" w:hAnsi="Times New Roman" w:cs="Times New Roman"/>
          <w:i/>
          <w:sz w:val="24"/>
          <w:highlight w:val="white"/>
        </w:rPr>
        <w:t>Public Management Review</w:t>
      </w:r>
      <w:r w:rsidRPr="001A5831">
        <w:rPr>
          <w:rFonts w:ascii="Times New Roman" w:eastAsia="Times New Roman" w:hAnsi="Times New Roman" w:cs="Times New Roman"/>
          <w:sz w:val="24"/>
          <w:highlight w:val="white"/>
        </w:rPr>
        <w:t xml:space="preserve">, </w:t>
      </w:r>
      <w:r w:rsidRPr="001A5831">
        <w:rPr>
          <w:rFonts w:ascii="Times New Roman" w:eastAsia="Times New Roman" w:hAnsi="Times New Roman" w:cs="Times New Roman"/>
          <w:i/>
          <w:sz w:val="24"/>
          <w:highlight w:val="white"/>
        </w:rPr>
        <w:t>22</w:t>
      </w:r>
      <w:r w:rsidRPr="001A5831">
        <w:rPr>
          <w:rFonts w:ascii="Times New Roman" w:eastAsia="Times New Roman" w:hAnsi="Times New Roman" w:cs="Times New Roman"/>
          <w:sz w:val="24"/>
          <w:highlight w:val="white"/>
        </w:rPr>
        <w:t>(8), pp.1171-1190.</w:t>
      </w:r>
    </w:p>
    <w:p w14:paraId="52EC1D47" w14:textId="77777777" w:rsidR="001A5831" w:rsidRPr="001A5831" w:rsidRDefault="001A5831" w:rsidP="00871468">
      <w:pPr>
        <w:spacing w:before="240" w:line="360" w:lineRule="auto"/>
        <w:jc w:val="both"/>
        <w:rPr>
          <w:rFonts w:ascii="Times New Roman" w:eastAsia="Times New Roman" w:hAnsi="Times New Roman" w:cs="Times New Roman"/>
          <w:sz w:val="24"/>
          <w:highlight w:val="white"/>
        </w:rPr>
      </w:pPr>
      <w:r w:rsidRPr="001A5831">
        <w:rPr>
          <w:rFonts w:ascii="Times New Roman" w:eastAsia="Times New Roman" w:hAnsi="Times New Roman" w:cs="Times New Roman"/>
          <w:sz w:val="24"/>
          <w:highlight w:val="white"/>
        </w:rPr>
        <w:t xml:space="preserve">Ruza, C., de la Cuesta-González, M. and Paredes-Gazquez, J., (2019). Banking system resilience: an empirical appraisal. </w:t>
      </w:r>
      <w:r w:rsidRPr="001A5831">
        <w:rPr>
          <w:rFonts w:ascii="Times New Roman" w:eastAsia="Times New Roman" w:hAnsi="Times New Roman" w:cs="Times New Roman"/>
          <w:i/>
          <w:sz w:val="24"/>
          <w:highlight w:val="white"/>
        </w:rPr>
        <w:t>Journal of Economic Studies</w:t>
      </w:r>
      <w:r w:rsidRPr="001A5831">
        <w:rPr>
          <w:rFonts w:ascii="Times New Roman" w:eastAsia="Times New Roman" w:hAnsi="Times New Roman" w:cs="Times New Roman"/>
          <w:sz w:val="24"/>
          <w:highlight w:val="white"/>
        </w:rPr>
        <w:t xml:space="preserve">, </w:t>
      </w:r>
      <w:r w:rsidRPr="001A5831">
        <w:rPr>
          <w:rFonts w:ascii="Times New Roman" w:eastAsia="Times New Roman" w:hAnsi="Times New Roman" w:cs="Times New Roman"/>
          <w:i/>
          <w:sz w:val="24"/>
          <w:highlight w:val="white"/>
        </w:rPr>
        <w:t>46</w:t>
      </w:r>
      <w:r w:rsidRPr="001A5831">
        <w:rPr>
          <w:rFonts w:ascii="Times New Roman" w:eastAsia="Times New Roman" w:hAnsi="Times New Roman" w:cs="Times New Roman"/>
          <w:sz w:val="24"/>
          <w:highlight w:val="white"/>
        </w:rPr>
        <w:t>(6), pp.1241-1257.</w:t>
      </w:r>
    </w:p>
    <w:p w14:paraId="472BFBC4" w14:textId="77777777" w:rsidR="001A5831" w:rsidRPr="001A5831" w:rsidRDefault="001A5831" w:rsidP="00871468">
      <w:pPr>
        <w:spacing w:before="240" w:line="360" w:lineRule="auto"/>
        <w:jc w:val="both"/>
        <w:rPr>
          <w:rFonts w:ascii="Times New Roman" w:hAnsi="Times New Roman" w:cs="Times New Roman"/>
          <w:sz w:val="24"/>
        </w:rPr>
      </w:pPr>
      <w:r w:rsidRPr="001A5831">
        <w:rPr>
          <w:rFonts w:ascii="Times New Roman" w:hAnsi="Times New Roman" w:cs="Times New Roman"/>
          <w:sz w:val="24"/>
          <w:shd w:val="clear" w:color="auto" w:fill="FFFFFF"/>
        </w:rPr>
        <w:t>Sahasrabuddhe, A., (2019). Drawing the line: The politics of federal currency swaps in the global financial crisis. </w:t>
      </w:r>
      <w:r w:rsidRPr="001A5831">
        <w:rPr>
          <w:rFonts w:ascii="Times New Roman" w:hAnsi="Times New Roman" w:cs="Times New Roman"/>
          <w:i/>
          <w:iCs/>
          <w:sz w:val="24"/>
          <w:shd w:val="clear" w:color="auto" w:fill="FFFFFF"/>
        </w:rPr>
        <w:t>Review of International Political Economy</w:t>
      </w:r>
      <w:r w:rsidRPr="001A5831">
        <w:rPr>
          <w:rFonts w:ascii="Times New Roman" w:hAnsi="Times New Roman" w:cs="Times New Roman"/>
          <w:sz w:val="24"/>
          <w:shd w:val="clear" w:color="auto" w:fill="FFFFFF"/>
        </w:rPr>
        <w:t>, </w:t>
      </w:r>
      <w:r w:rsidRPr="001A5831">
        <w:rPr>
          <w:rFonts w:ascii="Times New Roman" w:hAnsi="Times New Roman" w:cs="Times New Roman"/>
          <w:i/>
          <w:iCs/>
          <w:sz w:val="24"/>
          <w:shd w:val="clear" w:color="auto" w:fill="FFFFFF"/>
        </w:rPr>
        <w:t>26</w:t>
      </w:r>
      <w:r w:rsidRPr="001A5831">
        <w:rPr>
          <w:rFonts w:ascii="Times New Roman" w:hAnsi="Times New Roman" w:cs="Times New Roman"/>
          <w:sz w:val="24"/>
          <w:shd w:val="clear" w:color="auto" w:fill="FFFFFF"/>
        </w:rPr>
        <w:t>(3), pp.461-489.</w:t>
      </w:r>
    </w:p>
    <w:p w14:paraId="7D667946" w14:textId="25718854" w:rsidR="001A5831" w:rsidRPr="001A5831" w:rsidRDefault="001A5831" w:rsidP="00871468">
      <w:pPr>
        <w:spacing w:before="240" w:line="360" w:lineRule="auto"/>
        <w:jc w:val="both"/>
        <w:rPr>
          <w:rFonts w:ascii="Times New Roman" w:hAnsi="Times New Roman" w:cs="Times New Roman"/>
          <w:sz w:val="24"/>
        </w:rPr>
      </w:pPr>
      <w:r w:rsidRPr="001A5831">
        <w:rPr>
          <w:rFonts w:ascii="Times New Roman" w:hAnsi="Times New Roman" w:cs="Times New Roman"/>
          <w:sz w:val="24"/>
          <w:shd w:val="clear" w:color="auto" w:fill="FFFFFF"/>
        </w:rPr>
        <w:t xml:space="preserve">Tambunan, T.T., (2019). The impact of the economic crisis on micro, small, and medium enterprises and their crisis mitigation measures in </w:t>
      </w:r>
      <w:r w:rsidR="00E17740">
        <w:rPr>
          <w:rFonts w:ascii="Times New Roman" w:hAnsi="Times New Roman" w:cs="Times New Roman"/>
          <w:sz w:val="24"/>
          <w:shd w:val="clear" w:color="auto" w:fill="FFFFFF"/>
        </w:rPr>
        <w:t>Southeast</w:t>
      </w:r>
      <w:r w:rsidRPr="001A5831">
        <w:rPr>
          <w:rFonts w:ascii="Times New Roman" w:hAnsi="Times New Roman" w:cs="Times New Roman"/>
          <w:sz w:val="24"/>
          <w:shd w:val="clear" w:color="auto" w:fill="FFFFFF"/>
        </w:rPr>
        <w:t xml:space="preserve"> </w:t>
      </w:r>
      <w:r w:rsidR="00D67501">
        <w:rPr>
          <w:rFonts w:ascii="Times New Roman" w:hAnsi="Times New Roman" w:cs="Times New Roman"/>
          <w:sz w:val="24"/>
          <w:shd w:val="clear" w:color="auto" w:fill="FFFFFF"/>
        </w:rPr>
        <w:t>Asia</w:t>
      </w:r>
      <w:r w:rsidRPr="001A5831">
        <w:rPr>
          <w:rFonts w:ascii="Times New Roman" w:hAnsi="Times New Roman" w:cs="Times New Roman"/>
          <w:sz w:val="24"/>
          <w:shd w:val="clear" w:color="auto" w:fill="FFFFFF"/>
        </w:rPr>
        <w:t xml:space="preserve"> with reference to </w:t>
      </w:r>
      <w:r w:rsidR="00E17740">
        <w:rPr>
          <w:rFonts w:ascii="Times New Roman" w:hAnsi="Times New Roman" w:cs="Times New Roman"/>
          <w:sz w:val="24"/>
          <w:shd w:val="clear" w:color="auto" w:fill="FFFFFF"/>
        </w:rPr>
        <w:t>Indonesia</w:t>
      </w:r>
      <w:r w:rsidRPr="001A5831">
        <w:rPr>
          <w:rFonts w:ascii="Times New Roman" w:hAnsi="Times New Roman" w:cs="Times New Roman"/>
          <w:sz w:val="24"/>
          <w:shd w:val="clear" w:color="auto" w:fill="FFFFFF"/>
        </w:rPr>
        <w:t>. </w:t>
      </w:r>
      <w:r w:rsidRPr="001A5831">
        <w:rPr>
          <w:rFonts w:ascii="Times New Roman" w:hAnsi="Times New Roman" w:cs="Times New Roman"/>
          <w:i/>
          <w:iCs/>
          <w:sz w:val="24"/>
          <w:shd w:val="clear" w:color="auto" w:fill="FFFFFF"/>
        </w:rPr>
        <w:t>Asia &amp; the Pacific Policy Studies</w:t>
      </w:r>
      <w:r w:rsidRPr="001A5831">
        <w:rPr>
          <w:rFonts w:ascii="Times New Roman" w:hAnsi="Times New Roman" w:cs="Times New Roman"/>
          <w:sz w:val="24"/>
          <w:shd w:val="clear" w:color="auto" w:fill="FFFFFF"/>
        </w:rPr>
        <w:t>, </w:t>
      </w:r>
      <w:r w:rsidRPr="001A5831">
        <w:rPr>
          <w:rFonts w:ascii="Times New Roman" w:hAnsi="Times New Roman" w:cs="Times New Roman"/>
          <w:i/>
          <w:iCs/>
          <w:sz w:val="24"/>
          <w:shd w:val="clear" w:color="auto" w:fill="FFFFFF"/>
        </w:rPr>
        <w:t>6</w:t>
      </w:r>
      <w:r w:rsidRPr="001A5831">
        <w:rPr>
          <w:rFonts w:ascii="Times New Roman" w:hAnsi="Times New Roman" w:cs="Times New Roman"/>
          <w:sz w:val="24"/>
          <w:shd w:val="clear" w:color="auto" w:fill="FFFFFF"/>
        </w:rPr>
        <w:t>(1), pp.19-39.</w:t>
      </w:r>
    </w:p>
    <w:p w14:paraId="5F4761EC" w14:textId="542D3E22" w:rsidR="001A5831" w:rsidRPr="001A5831" w:rsidRDefault="001A5831" w:rsidP="00871468">
      <w:pPr>
        <w:spacing w:before="240" w:line="360" w:lineRule="auto"/>
        <w:jc w:val="both"/>
        <w:rPr>
          <w:rFonts w:ascii="Times New Roman" w:hAnsi="Times New Roman" w:cs="Times New Roman"/>
          <w:color w:val="121212"/>
          <w:sz w:val="24"/>
          <w:u w:val="single"/>
        </w:rPr>
      </w:pPr>
      <w:r w:rsidRPr="001A5831">
        <w:rPr>
          <w:rFonts w:ascii="Times New Roman" w:hAnsi="Times New Roman" w:cs="Times New Roman"/>
          <w:sz w:val="24"/>
        </w:rPr>
        <w:t xml:space="preserve">Theguardian.com (2023). </w:t>
      </w:r>
      <w:r w:rsidRPr="001A5831">
        <w:rPr>
          <w:rFonts w:ascii="Times New Roman" w:hAnsi="Times New Roman" w:cs="Times New Roman"/>
          <w:i/>
          <w:sz w:val="24"/>
        </w:rPr>
        <w:t>“</w:t>
      </w:r>
      <w:r w:rsidRPr="001A5831">
        <w:rPr>
          <w:rFonts w:ascii="Times New Roman" w:hAnsi="Times New Roman" w:cs="Times New Roman"/>
          <w:i/>
          <w:color w:val="121212"/>
          <w:sz w:val="24"/>
        </w:rPr>
        <w:t>Lloyds Banking Group timeline: from bailout to government sale</w:t>
      </w:r>
      <w:r w:rsidRPr="001A5831">
        <w:rPr>
          <w:rFonts w:ascii="Times New Roman" w:hAnsi="Times New Roman" w:cs="Times New Roman"/>
          <w:bCs/>
          <w:i/>
          <w:color w:val="121212"/>
          <w:sz w:val="24"/>
        </w:rPr>
        <w:t xml:space="preserve">” </w:t>
      </w:r>
      <w:r w:rsidRPr="001A5831">
        <w:rPr>
          <w:rFonts w:ascii="Times New Roman" w:hAnsi="Times New Roman" w:cs="Times New Roman"/>
          <w:bCs/>
          <w:color w:val="121212"/>
          <w:sz w:val="24"/>
        </w:rPr>
        <w:t xml:space="preserve">Available at: </w:t>
      </w:r>
      <w:r w:rsidRPr="001A5831">
        <w:rPr>
          <w:rFonts w:ascii="Times New Roman" w:hAnsi="Times New Roman" w:cs="Times New Roman"/>
          <w:sz w:val="24"/>
        </w:rPr>
        <w:t xml:space="preserve"> https://www.theguardian.com/business/2013/sep/17/lloyds-banking-group-from-bailout- [Accessed on 22nd April 2023].</w:t>
      </w:r>
    </w:p>
    <w:p w14:paraId="50847F5D" w14:textId="77777777" w:rsidR="001A5831" w:rsidRPr="001A5831" w:rsidRDefault="001A5831" w:rsidP="00871468">
      <w:pPr>
        <w:spacing w:before="240" w:line="360" w:lineRule="auto"/>
        <w:jc w:val="both"/>
        <w:rPr>
          <w:rFonts w:ascii="Times New Roman" w:hAnsi="Times New Roman" w:cs="Times New Roman"/>
          <w:sz w:val="24"/>
        </w:rPr>
      </w:pPr>
      <w:r w:rsidRPr="001A5831">
        <w:rPr>
          <w:rFonts w:ascii="Times New Roman" w:hAnsi="Times New Roman" w:cs="Times New Roman"/>
          <w:sz w:val="24"/>
          <w:shd w:val="clear" w:color="auto" w:fill="FFFFFF"/>
        </w:rPr>
        <w:t>Theodore, N., (2020). Governing through austerity:(Il) logics of neoliberal urbanism after the global financial crisis. </w:t>
      </w:r>
      <w:r w:rsidRPr="001A5831">
        <w:rPr>
          <w:rFonts w:ascii="Times New Roman" w:hAnsi="Times New Roman" w:cs="Times New Roman"/>
          <w:i/>
          <w:iCs/>
          <w:sz w:val="24"/>
          <w:shd w:val="clear" w:color="auto" w:fill="FFFFFF"/>
        </w:rPr>
        <w:t>Journal of Urban Affairs</w:t>
      </w:r>
      <w:r w:rsidRPr="001A5831">
        <w:rPr>
          <w:rFonts w:ascii="Times New Roman" w:hAnsi="Times New Roman" w:cs="Times New Roman"/>
          <w:sz w:val="24"/>
          <w:shd w:val="clear" w:color="auto" w:fill="FFFFFF"/>
        </w:rPr>
        <w:t>, </w:t>
      </w:r>
      <w:r w:rsidRPr="001A5831">
        <w:rPr>
          <w:rFonts w:ascii="Times New Roman" w:hAnsi="Times New Roman" w:cs="Times New Roman"/>
          <w:i/>
          <w:iCs/>
          <w:sz w:val="24"/>
          <w:shd w:val="clear" w:color="auto" w:fill="FFFFFF"/>
        </w:rPr>
        <w:t>42</w:t>
      </w:r>
      <w:r w:rsidRPr="001A5831">
        <w:rPr>
          <w:rFonts w:ascii="Times New Roman" w:hAnsi="Times New Roman" w:cs="Times New Roman"/>
          <w:sz w:val="24"/>
          <w:shd w:val="clear" w:color="auto" w:fill="FFFFFF"/>
        </w:rPr>
        <w:t>(1), pp.1-17.</w:t>
      </w:r>
    </w:p>
    <w:p w14:paraId="0616EA75" w14:textId="77777777" w:rsidR="001A5831" w:rsidRPr="001A5831" w:rsidRDefault="001A5831" w:rsidP="00871468">
      <w:pPr>
        <w:spacing w:before="240" w:line="360" w:lineRule="auto"/>
        <w:jc w:val="both"/>
        <w:rPr>
          <w:rFonts w:ascii="Times New Roman" w:hAnsi="Times New Roman" w:cs="Times New Roman"/>
          <w:sz w:val="24"/>
        </w:rPr>
      </w:pPr>
      <w:r w:rsidRPr="001A5831">
        <w:rPr>
          <w:rFonts w:ascii="Times New Roman" w:hAnsi="Times New Roman" w:cs="Times New Roman"/>
          <w:sz w:val="24"/>
          <w:shd w:val="clear" w:color="auto" w:fill="FFFFFF"/>
        </w:rPr>
        <w:t>Tutu, J., (2020). </w:t>
      </w:r>
      <w:r w:rsidRPr="001A5831">
        <w:rPr>
          <w:rFonts w:ascii="Times New Roman" w:hAnsi="Times New Roman" w:cs="Times New Roman"/>
          <w:i/>
          <w:iCs/>
          <w:sz w:val="24"/>
          <w:shd w:val="clear" w:color="auto" w:fill="FFFFFF"/>
        </w:rPr>
        <w:t>Corporate governance reforms post 2008 financial crisis: an exercise in futility?</w:t>
      </w:r>
      <w:r w:rsidRPr="001A5831">
        <w:rPr>
          <w:rFonts w:ascii="Times New Roman" w:hAnsi="Times New Roman" w:cs="Times New Roman"/>
          <w:sz w:val="24"/>
          <w:shd w:val="clear" w:color="auto" w:fill="FFFFFF"/>
        </w:rPr>
        <w:t> (Doctoral dissertation, University of Surrey).</w:t>
      </w:r>
    </w:p>
    <w:p w14:paraId="382D2B8C" w14:textId="77777777" w:rsidR="001A5831" w:rsidRPr="001A5831" w:rsidRDefault="001A5831" w:rsidP="00871468">
      <w:pPr>
        <w:spacing w:before="240" w:line="360" w:lineRule="auto"/>
        <w:jc w:val="both"/>
        <w:rPr>
          <w:rFonts w:ascii="Times New Roman" w:hAnsi="Times New Roman" w:cs="Times New Roman"/>
          <w:sz w:val="24"/>
          <w:shd w:val="clear" w:color="auto" w:fill="FFFFFF"/>
        </w:rPr>
      </w:pPr>
      <w:r w:rsidRPr="001A5831">
        <w:rPr>
          <w:rFonts w:ascii="Times New Roman" w:hAnsi="Times New Roman" w:cs="Times New Roman"/>
          <w:sz w:val="24"/>
          <w:shd w:val="clear" w:color="auto" w:fill="FFFFFF"/>
        </w:rPr>
        <w:t>Van Gent, W. and Hochstenbach, C., (2020). The neo-liberal politics and socio-spatial implications of Dutch post-crisis social housing policies. </w:t>
      </w:r>
      <w:r w:rsidRPr="001A5831">
        <w:rPr>
          <w:rFonts w:ascii="Times New Roman" w:hAnsi="Times New Roman" w:cs="Times New Roman"/>
          <w:i/>
          <w:iCs/>
          <w:sz w:val="24"/>
          <w:shd w:val="clear" w:color="auto" w:fill="FFFFFF"/>
        </w:rPr>
        <w:t>International Journal of Housing Policy</w:t>
      </w:r>
      <w:r w:rsidRPr="001A5831">
        <w:rPr>
          <w:rFonts w:ascii="Times New Roman" w:hAnsi="Times New Roman" w:cs="Times New Roman"/>
          <w:sz w:val="24"/>
          <w:shd w:val="clear" w:color="auto" w:fill="FFFFFF"/>
        </w:rPr>
        <w:t>, </w:t>
      </w:r>
      <w:r w:rsidRPr="001A5831">
        <w:rPr>
          <w:rFonts w:ascii="Times New Roman" w:hAnsi="Times New Roman" w:cs="Times New Roman"/>
          <w:i/>
          <w:iCs/>
          <w:sz w:val="24"/>
          <w:shd w:val="clear" w:color="auto" w:fill="FFFFFF"/>
        </w:rPr>
        <w:t>20</w:t>
      </w:r>
      <w:r w:rsidRPr="001A5831">
        <w:rPr>
          <w:rFonts w:ascii="Times New Roman" w:hAnsi="Times New Roman" w:cs="Times New Roman"/>
          <w:sz w:val="24"/>
          <w:shd w:val="clear" w:color="auto" w:fill="FFFFFF"/>
        </w:rPr>
        <w:t>(1), pp.156-172.</w:t>
      </w:r>
    </w:p>
    <w:p w14:paraId="37EC77AC" w14:textId="66B57E2F" w:rsidR="001A5831" w:rsidRPr="001A5831" w:rsidRDefault="001A5831" w:rsidP="00871468">
      <w:pPr>
        <w:spacing w:before="240" w:line="360" w:lineRule="auto"/>
        <w:jc w:val="both"/>
        <w:rPr>
          <w:rFonts w:ascii="Times New Roman" w:hAnsi="Times New Roman" w:cs="Times New Roman"/>
          <w:sz w:val="24"/>
        </w:rPr>
      </w:pPr>
      <w:r w:rsidRPr="001A5831">
        <w:rPr>
          <w:rFonts w:ascii="Times New Roman" w:hAnsi="Times New Roman" w:cs="Times New Roman"/>
          <w:sz w:val="24"/>
          <w:shd w:val="clear" w:color="auto" w:fill="FFFFFF"/>
        </w:rPr>
        <w:t>Vučinić, M., (2020). Fintech and financial stability potential influence of FinTech on financial stability, risks</w:t>
      </w:r>
      <w:r w:rsidR="00E17740">
        <w:rPr>
          <w:rFonts w:ascii="Times New Roman" w:hAnsi="Times New Roman" w:cs="Times New Roman"/>
          <w:sz w:val="24"/>
          <w:shd w:val="clear" w:color="auto" w:fill="FFFFFF"/>
        </w:rPr>
        <w:t>,</w:t>
      </w:r>
      <w:r w:rsidRPr="001A5831">
        <w:rPr>
          <w:rFonts w:ascii="Times New Roman" w:hAnsi="Times New Roman" w:cs="Times New Roman"/>
          <w:sz w:val="24"/>
          <w:shd w:val="clear" w:color="auto" w:fill="FFFFFF"/>
        </w:rPr>
        <w:t xml:space="preserve"> and benefits. </w:t>
      </w:r>
      <w:r w:rsidRPr="001A5831">
        <w:rPr>
          <w:rFonts w:ascii="Times New Roman" w:hAnsi="Times New Roman" w:cs="Times New Roman"/>
          <w:i/>
          <w:iCs/>
          <w:sz w:val="24"/>
          <w:shd w:val="clear" w:color="auto" w:fill="FFFFFF"/>
        </w:rPr>
        <w:t>Journal of Central Banking Theory and Practice</w:t>
      </w:r>
      <w:r w:rsidRPr="001A5831">
        <w:rPr>
          <w:rFonts w:ascii="Times New Roman" w:hAnsi="Times New Roman" w:cs="Times New Roman"/>
          <w:sz w:val="24"/>
          <w:shd w:val="clear" w:color="auto" w:fill="FFFFFF"/>
        </w:rPr>
        <w:t>, </w:t>
      </w:r>
      <w:r w:rsidRPr="001A5831">
        <w:rPr>
          <w:rFonts w:ascii="Times New Roman" w:hAnsi="Times New Roman" w:cs="Times New Roman"/>
          <w:i/>
          <w:iCs/>
          <w:sz w:val="24"/>
          <w:shd w:val="clear" w:color="auto" w:fill="FFFFFF"/>
        </w:rPr>
        <w:t>9</w:t>
      </w:r>
      <w:r w:rsidRPr="001A5831">
        <w:rPr>
          <w:rFonts w:ascii="Times New Roman" w:hAnsi="Times New Roman" w:cs="Times New Roman"/>
          <w:sz w:val="24"/>
          <w:shd w:val="clear" w:color="auto" w:fill="FFFFFF"/>
        </w:rPr>
        <w:t>(2), pp.43-66.</w:t>
      </w:r>
    </w:p>
    <w:p w14:paraId="05B7C4D9" w14:textId="77777777" w:rsidR="001A5831" w:rsidRPr="001A5831" w:rsidRDefault="001A5831" w:rsidP="00871468">
      <w:pPr>
        <w:spacing w:before="240" w:line="360" w:lineRule="auto"/>
        <w:jc w:val="both"/>
        <w:rPr>
          <w:rFonts w:ascii="Times New Roman" w:hAnsi="Times New Roman" w:cs="Times New Roman"/>
          <w:sz w:val="24"/>
        </w:rPr>
      </w:pPr>
      <w:r w:rsidRPr="001A5831">
        <w:rPr>
          <w:rFonts w:ascii="Times New Roman" w:hAnsi="Times New Roman" w:cs="Times New Roman"/>
          <w:sz w:val="24"/>
          <w:shd w:val="clear" w:color="auto" w:fill="FFFFFF"/>
        </w:rPr>
        <w:lastRenderedPageBreak/>
        <w:t>Zetzsche, D.A., Arner, D.W., Buckley, R.P. and Weber, R.H., (2019). The future of data-driven finance and RegTech: Lessons from EU Big Bang II.</w:t>
      </w:r>
    </w:p>
    <w:sectPr w:rsidR="001A5831" w:rsidRPr="001A5831" w:rsidSect="00942986">
      <w:footerReference w:type="default" r:id="rId1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F55DF" w14:textId="77777777" w:rsidR="00C73267" w:rsidRDefault="00C73267" w:rsidP="00942986">
      <w:pPr>
        <w:spacing w:line="240" w:lineRule="auto"/>
      </w:pPr>
      <w:r>
        <w:separator/>
      </w:r>
    </w:p>
  </w:endnote>
  <w:endnote w:type="continuationSeparator" w:id="0">
    <w:p w14:paraId="2B2F59B2" w14:textId="77777777" w:rsidR="00C73267" w:rsidRDefault="00C73267" w:rsidP="009429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6223740"/>
      <w:docPartObj>
        <w:docPartGallery w:val="Page Numbers (Bottom of Page)"/>
        <w:docPartUnique/>
      </w:docPartObj>
    </w:sdtPr>
    <w:sdtEndPr>
      <w:rPr>
        <w:noProof/>
      </w:rPr>
    </w:sdtEndPr>
    <w:sdtContent>
      <w:p w14:paraId="2F5C6B36" w14:textId="77777777" w:rsidR="00942986" w:rsidRDefault="000D2E5C">
        <w:pPr>
          <w:pStyle w:val="Footer"/>
          <w:jc w:val="right"/>
        </w:pPr>
        <w:r>
          <w:fldChar w:fldCharType="begin"/>
        </w:r>
        <w:r w:rsidR="00942986">
          <w:instrText xml:space="preserve"> PAGE   \* MERGEFORMAT </w:instrText>
        </w:r>
        <w:r>
          <w:fldChar w:fldCharType="separate"/>
        </w:r>
        <w:r w:rsidR="00242AFD">
          <w:rPr>
            <w:noProof/>
          </w:rPr>
          <w:t>0</w:t>
        </w:r>
        <w:r>
          <w:rPr>
            <w:noProof/>
          </w:rPr>
          <w:fldChar w:fldCharType="end"/>
        </w:r>
      </w:p>
    </w:sdtContent>
  </w:sdt>
  <w:p w14:paraId="0789CEE3" w14:textId="77777777" w:rsidR="00942986" w:rsidRDefault="009429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17F56" w14:textId="77777777" w:rsidR="00C73267" w:rsidRDefault="00C73267" w:rsidP="00942986">
      <w:pPr>
        <w:spacing w:line="240" w:lineRule="auto"/>
      </w:pPr>
      <w:r>
        <w:separator/>
      </w:r>
    </w:p>
  </w:footnote>
  <w:footnote w:type="continuationSeparator" w:id="0">
    <w:p w14:paraId="551761B4" w14:textId="77777777" w:rsidR="00C73267" w:rsidRDefault="00C73267" w:rsidP="0094298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61F"/>
    <w:rsid w:val="00053157"/>
    <w:rsid w:val="00071036"/>
    <w:rsid w:val="000D2E5C"/>
    <w:rsid w:val="0014640A"/>
    <w:rsid w:val="00166ECD"/>
    <w:rsid w:val="001A5831"/>
    <w:rsid w:val="002023AC"/>
    <w:rsid w:val="00242AFD"/>
    <w:rsid w:val="00254AA2"/>
    <w:rsid w:val="0025684D"/>
    <w:rsid w:val="00276C2B"/>
    <w:rsid w:val="002C1779"/>
    <w:rsid w:val="002D5EBE"/>
    <w:rsid w:val="00316B22"/>
    <w:rsid w:val="00375D8D"/>
    <w:rsid w:val="0037660F"/>
    <w:rsid w:val="00413C0B"/>
    <w:rsid w:val="0043037C"/>
    <w:rsid w:val="00500CC5"/>
    <w:rsid w:val="005042BB"/>
    <w:rsid w:val="00520BF3"/>
    <w:rsid w:val="005726CE"/>
    <w:rsid w:val="005A0B37"/>
    <w:rsid w:val="005F030C"/>
    <w:rsid w:val="0061328C"/>
    <w:rsid w:val="006449FA"/>
    <w:rsid w:val="00830C6A"/>
    <w:rsid w:val="00856F0D"/>
    <w:rsid w:val="00871468"/>
    <w:rsid w:val="00942986"/>
    <w:rsid w:val="009F1E2D"/>
    <w:rsid w:val="00A10DD8"/>
    <w:rsid w:val="00A2461F"/>
    <w:rsid w:val="00B5015F"/>
    <w:rsid w:val="00C319E7"/>
    <w:rsid w:val="00C36F25"/>
    <w:rsid w:val="00C73267"/>
    <w:rsid w:val="00D67501"/>
    <w:rsid w:val="00D924B7"/>
    <w:rsid w:val="00E17740"/>
    <w:rsid w:val="00E56226"/>
    <w:rsid w:val="00EB56E8"/>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A4E677"/>
  <w15:docId w15:val="{E660FD6F-CF91-4B02-909D-F5A1CD1AA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3037C"/>
  </w:style>
  <w:style w:type="paragraph" w:styleId="Heading1">
    <w:name w:val="heading 1"/>
    <w:basedOn w:val="Normal"/>
    <w:next w:val="Normal"/>
    <w:rsid w:val="00276C2B"/>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1A5831"/>
    <w:pPr>
      <w:keepNext/>
      <w:keepLines/>
      <w:spacing w:before="360" w:after="120"/>
      <w:outlineLvl w:val="1"/>
    </w:pPr>
    <w:rPr>
      <w:rFonts w:ascii="Times New Roman" w:hAnsi="Times New Roman"/>
      <w:b/>
      <w:sz w:val="24"/>
      <w:szCs w:val="32"/>
    </w:rPr>
  </w:style>
  <w:style w:type="paragraph" w:styleId="Heading3">
    <w:name w:val="heading 3"/>
    <w:basedOn w:val="Normal"/>
    <w:next w:val="Normal"/>
    <w:rsid w:val="0043037C"/>
    <w:pPr>
      <w:keepNext/>
      <w:keepLines/>
      <w:spacing w:before="320" w:after="80"/>
      <w:outlineLvl w:val="2"/>
    </w:pPr>
    <w:rPr>
      <w:color w:val="434343"/>
      <w:sz w:val="28"/>
      <w:szCs w:val="28"/>
    </w:rPr>
  </w:style>
  <w:style w:type="paragraph" w:styleId="Heading4">
    <w:name w:val="heading 4"/>
    <w:basedOn w:val="Normal"/>
    <w:next w:val="Normal"/>
    <w:rsid w:val="0043037C"/>
    <w:pPr>
      <w:keepNext/>
      <w:keepLines/>
      <w:spacing w:before="280" w:after="80"/>
      <w:outlineLvl w:val="3"/>
    </w:pPr>
    <w:rPr>
      <w:color w:val="666666"/>
      <w:sz w:val="24"/>
      <w:szCs w:val="24"/>
    </w:rPr>
  </w:style>
  <w:style w:type="paragraph" w:styleId="Heading5">
    <w:name w:val="heading 5"/>
    <w:basedOn w:val="Normal"/>
    <w:next w:val="Normal"/>
    <w:rsid w:val="0043037C"/>
    <w:pPr>
      <w:keepNext/>
      <w:keepLines/>
      <w:spacing w:before="240" w:after="80"/>
      <w:outlineLvl w:val="4"/>
    </w:pPr>
    <w:rPr>
      <w:color w:val="666666"/>
    </w:rPr>
  </w:style>
  <w:style w:type="paragraph" w:styleId="Heading6">
    <w:name w:val="heading 6"/>
    <w:basedOn w:val="Normal"/>
    <w:next w:val="Normal"/>
    <w:rsid w:val="0043037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3037C"/>
    <w:pPr>
      <w:keepNext/>
      <w:keepLines/>
      <w:spacing w:after="60"/>
    </w:pPr>
    <w:rPr>
      <w:sz w:val="52"/>
      <w:szCs w:val="52"/>
    </w:rPr>
  </w:style>
  <w:style w:type="paragraph" w:styleId="Subtitle">
    <w:name w:val="Subtitle"/>
    <w:basedOn w:val="Normal"/>
    <w:next w:val="Normal"/>
    <w:rsid w:val="0043037C"/>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43037C"/>
    <w:pPr>
      <w:spacing w:line="240" w:lineRule="auto"/>
    </w:pPr>
    <w:rPr>
      <w:sz w:val="20"/>
      <w:szCs w:val="20"/>
    </w:rPr>
  </w:style>
  <w:style w:type="character" w:customStyle="1" w:styleId="CommentTextChar">
    <w:name w:val="Comment Text Char"/>
    <w:basedOn w:val="DefaultParagraphFont"/>
    <w:link w:val="CommentText"/>
    <w:uiPriority w:val="99"/>
    <w:semiHidden/>
    <w:rsid w:val="0043037C"/>
    <w:rPr>
      <w:sz w:val="20"/>
      <w:szCs w:val="20"/>
    </w:rPr>
  </w:style>
  <w:style w:type="character" w:styleId="CommentReference">
    <w:name w:val="annotation reference"/>
    <w:basedOn w:val="DefaultParagraphFont"/>
    <w:uiPriority w:val="99"/>
    <w:semiHidden/>
    <w:unhideWhenUsed/>
    <w:rsid w:val="0043037C"/>
    <w:rPr>
      <w:sz w:val="16"/>
      <w:szCs w:val="16"/>
    </w:rPr>
  </w:style>
  <w:style w:type="paragraph" w:styleId="BalloonText">
    <w:name w:val="Balloon Text"/>
    <w:basedOn w:val="Normal"/>
    <w:link w:val="BalloonTextChar"/>
    <w:uiPriority w:val="99"/>
    <w:semiHidden/>
    <w:unhideWhenUsed/>
    <w:rsid w:val="00276C2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6C2B"/>
    <w:rPr>
      <w:rFonts w:ascii="Segoe UI" w:hAnsi="Segoe UI" w:cs="Segoe UI"/>
      <w:sz w:val="18"/>
      <w:szCs w:val="18"/>
    </w:rPr>
  </w:style>
  <w:style w:type="paragraph" w:styleId="Header">
    <w:name w:val="header"/>
    <w:basedOn w:val="Normal"/>
    <w:link w:val="HeaderChar"/>
    <w:uiPriority w:val="99"/>
    <w:unhideWhenUsed/>
    <w:rsid w:val="00942986"/>
    <w:pPr>
      <w:tabs>
        <w:tab w:val="center" w:pos="4680"/>
        <w:tab w:val="right" w:pos="9360"/>
      </w:tabs>
      <w:spacing w:line="240" w:lineRule="auto"/>
    </w:pPr>
  </w:style>
  <w:style w:type="character" w:customStyle="1" w:styleId="HeaderChar">
    <w:name w:val="Header Char"/>
    <w:basedOn w:val="DefaultParagraphFont"/>
    <w:link w:val="Header"/>
    <w:uiPriority w:val="99"/>
    <w:rsid w:val="00942986"/>
  </w:style>
  <w:style w:type="paragraph" w:styleId="Footer">
    <w:name w:val="footer"/>
    <w:basedOn w:val="Normal"/>
    <w:link w:val="FooterChar"/>
    <w:uiPriority w:val="99"/>
    <w:unhideWhenUsed/>
    <w:rsid w:val="00942986"/>
    <w:pPr>
      <w:tabs>
        <w:tab w:val="center" w:pos="4680"/>
        <w:tab w:val="right" w:pos="9360"/>
      </w:tabs>
      <w:spacing w:line="240" w:lineRule="auto"/>
    </w:pPr>
  </w:style>
  <w:style w:type="character" w:customStyle="1" w:styleId="FooterChar">
    <w:name w:val="Footer Char"/>
    <w:basedOn w:val="DefaultParagraphFont"/>
    <w:link w:val="Footer"/>
    <w:uiPriority w:val="99"/>
    <w:rsid w:val="00942986"/>
  </w:style>
  <w:style w:type="paragraph" w:styleId="TOCHeading">
    <w:name w:val="TOC Heading"/>
    <w:basedOn w:val="Heading1"/>
    <w:next w:val="Normal"/>
    <w:uiPriority w:val="39"/>
    <w:unhideWhenUsed/>
    <w:qFormat/>
    <w:rsid w:val="00942986"/>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053157"/>
    <w:pPr>
      <w:tabs>
        <w:tab w:val="right" w:leader="dot" w:pos="9019"/>
      </w:tabs>
      <w:spacing w:after="100"/>
    </w:pPr>
    <w:rPr>
      <w:rFonts w:ascii="Times New Roman" w:hAnsi="Times New Roman" w:cs="Times New Roman"/>
      <w:noProof/>
      <w:sz w:val="24"/>
      <w:szCs w:val="24"/>
    </w:rPr>
  </w:style>
  <w:style w:type="character" w:styleId="Hyperlink">
    <w:name w:val="Hyperlink"/>
    <w:basedOn w:val="DefaultParagraphFont"/>
    <w:uiPriority w:val="99"/>
    <w:unhideWhenUsed/>
    <w:rsid w:val="00942986"/>
    <w:rPr>
      <w:color w:val="0000FF" w:themeColor="hyperlink"/>
      <w:u w:val="single"/>
    </w:rPr>
  </w:style>
  <w:style w:type="paragraph" w:customStyle="1" w:styleId="Normal1">
    <w:name w:val="Normal1"/>
    <w:rsid w:val="001A5831"/>
  </w:style>
  <w:style w:type="paragraph" w:styleId="TOC2">
    <w:name w:val="toc 2"/>
    <w:basedOn w:val="Normal"/>
    <w:next w:val="Normal"/>
    <w:autoRedefine/>
    <w:uiPriority w:val="39"/>
    <w:unhideWhenUsed/>
    <w:rsid w:val="001A5831"/>
    <w:pPr>
      <w:spacing w:after="100"/>
      <w:ind w:left="220"/>
    </w:pPr>
  </w:style>
  <w:style w:type="paragraph" w:styleId="NormalWeb">
    <w:name w:val="Normal (Web)"/>
    <w:basedOn w:val="Normal"/>
    <w:uiPriority w:val="99"/>
    <w:semiHidden/>
    <w:unhideWhenUsed/>
    <w:rsid w:val="001A583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2553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loydsbankinggroup.com/assets/pdfs/investors/annual-report/2008-download-links/2008_lbg_annual_review.pdf" TargetMode="External"/><Relationship Id="rId18" Type="http://schemas.openxmlformats.org/officeDocument/2006/relationships/hyperlink" Target="https://www.lloydsbankinggroup.com/assets/pdfs/investors/annual-report/2008-download-links/2008_lbg_annual_review.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lloydsbankinggroup.com/assets/pdfs/investors/annual-report/2008-download-links/2008_lbg_annual_review.pdf" TargetMode="External"/><Relationship Id="rId17" Type="http://schemas.openxmlformats.org/officeDocument/2006/relationships/hyperlink" Target="https://www.lloydsbankinggroup.com/assets/pdfs/investors/annual-report/2008-download-links/2008_lbg_annual_review.pdf" TargetMode="External"/><Relationship Id="rId2" Type="http://schemas.openxmlformats.org/officeDocument/2006/relationships/styles" Target="styles.xml"/><Relationship Id="rId16" Type="http://schemas.openxmlformats.org/officeDocument/2006/relationships/hyperlink" Target="https://www.lloydsbankinggroup.com/assets/pdfs/investors/annual-report/2008-download-links/2008_lbg_annual_review.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lloydsbankinggroup.com/assets/pdfs/investors/annual-report/2008-download-links/2008_lbg_annual_review.pdf"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0BFBEA-FC39-4809-834F-2CF51F431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21</Pages>
  <Words>6175</Words>
  <Characters>35880</Characters>
  <Application>Microsoft Office Word</Application>
  <DocSecurity>0</DocSecurity>
  <Lines>543</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Harsimran Kaur Hira (2218345)</cp:lastModifiedBy>
  <cp:revision>7</cp:revision>
  <dcterms:created xsi:type="dcterms:W3CDTF">2023-05-03T11:37:00Z</dcterms:created>
  <dcterms:modified xsi:type="dcterms:W3CDTF">2023-05-03T12:03:00Z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c1b2959eccd13f3e2a0c84dedc4adf928970d40d016b41e328b4d82506f9fd13</vt:lpwstr>
  </property>
</Properties>
</file>