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AC249E" w14:textId="77777777" w:rsidR="009A5D2E" w:rsidRDefault="009A5D2E">
      <w:pPr>
        <w:spacing w:before="200"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2305B1DE" w14:textId="77777777" w:rsidR="009A5D2E" w:rsidRDefault="009A5D2E">
      <w:pPr>
        <w:spacing w:before="200"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2C855DDA" w14:textId="77777777" w:rsidR="009A5D2E" w:rsidRDefault="009A5D2E">
      <w:pPr>
        <w:spacing w:before="200"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136E439F" w14:textId="77777777" w:rsidR="009A5D2E" w:rsidRDefault="009A5D2E">
      <w:pPr>
        <w:spacing w:before="200"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824F2EC" w14:textId="77777777" w:rsidR="009A5D2E" w:rsidRPr="004841A4" w:rsidRDefault="009A5D2E">
      <w:pPr>
        <w:spacing w:before="200" w:line="360" w:lineRule="auto"/>
        <w:jc w:val="both"/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0C87F824" w14:textId="691E3438" w:rsidR="009A5D2E" w:rsidRPr="004841A4" w:rsidRDefault="004841A4" w:rsidP="004841A4">
      <w:pPr>
        <w:spacing w:before="200" w:line="360" w:lineRule="auto"/>
        <w:jc w:val="center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004841A4">
        <w:rPr>
          <w:rFonts w:ascii="Times New Roman" w:eastAsia="Times New Roman" w:hAnsi="Times New Roman" w:cs="Times New Roman"/>
          <w:b/>
          <w:bCs/>
          <w:sz w:val="36"/>
          <w:szCs w:val="36"/>
        </w:rPr>
        <w:t>Student Name: Ionut Claudiu Dolca</w:t>
      </w:r>
    </w:p>
    <w:p w14:paraId="57473D97" w14:textId="493F4554" w:rsidR="009A5D2E" w:rsidRPr="004841A4" w:rsidRDefault="004841A4" w:rsidP="004841A4">
      <w:pPr>
        <w:spacing w:before="200" w:line="360" w:lineRule="auto"/>
        <w:jc w:val="center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004841A4">
        <w:rPr>
          <w:rFonts w:ascii="Times New Roman" w:eastAsia="Times New Roman" w:hAnsi="Times New Roman" w:cs="Times New Roman"/>
          <w:b/>
          <w:bCs/>
          <w:sz w:val="36"/>
          <w:szCs w:val="36"/>
        </w:rPr>
        <w:t>Student ID: 221713</w:t>
      </w:r>
      <w:r>
        <w:rPr>
          <w:rFonts w:ascii="Times New Roman" w:eastAsia="Times New Roman" w:hAnsi="Times New Roman" w:cs="Times New Roman"/>
          <w:b/>
          <w:bCs/>
          <w:sz w:val="36"/>
          <w:szCs w:val="36"/>
        </w:rPr>
        <w:t>3</w:t>
      </w:r>
    </w:p>
    <w:p w14:paraId="6312B2C1" w14:textId="671FC7C2" w:rsidR="00AC679E" w:rsidRPr="009A5D2E" w:rsidRDefault="002405BD" w:rsidP="009A5D2E">
      <w:pPr>
        <w:spacing w:before="200" w:line="360" w:lineRule="auto"/>
        <w:jc w:val="center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009A5D2E">
        <w:rPr>
          <w:rFonts w:ascii="Times New Roman" w:eastAsia="Times New Roman" w:hAnsi="Times New Roman" w:cs="Times New Roman"/>
          <w:b/>
          <w:bCs/>
          <w:sz w:val="36"/>
          <w:szCs w:val="36"/>
        </w:rPr>
        <w:t>Module: Data Handling &amp; Business Intelligenc</w:t>
      </w:r>
      <w:r w:rsidR="004841A4">
        <w:rPr>
          <w:rFonts w:ascii="Times New Roman" w:eastAsia="Times New Roman" w:hAnsi="Times New Roman" w:cs="Times New Roman"/>
          <w:b/>
          <w:bCs/>
          <w:sz w:val="36"/>
          <w:szCs w:val="36"/>
        </w:rPr>
        <w:t>e</w:t>
      </w:r>
    </w:p>
    <w:p w14:paraId="5F607B57" w14:textId="77777777" w:rsidR="00AC679E" w:rsidRPr="009A5D2E" w:rsidRDefault="002405BD" w:rsidP="009A5D2E">
      <w:pPr>
        <w:spacing w:before="200" w:line="360" w:lineRule="auto"/>
        <w:jc w:val="center"/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009A5D2E">
        <w:rPr>
          <w:rFonts w:ascii="Times New Roman" w:eastAsia="Times New Roman" w:hAnsi="Times New Roman" w:cs="Times New Roman"/>
          <w:b/>
          <w:bCs/>
          <w:sz w:val="36"/>
          <w:szCs w:val="36"/>
        </w:rPr>
        <w:t>Module code: LCBB5014</w:t>
      </w:r>
    </w:p>
    <w:p w14:paraId="1368A1A8" w14:textId="77777777" w:rsidR="00AC679E" w:rsidRDefault="002405BD">
      <w:pPr>
        <w:spacing w:before="200"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br w:type="page"/>
      </w:r>
    </w:p>
    <w:p w14:paraId="300E76D6" w14:textId="77777777" w:rsidR="009A5D2E" w:rsidRDefault="009A5D2E" w:rsidP="009A5D2E">
      <w:pPr>
        <w:pStyle w:val="Heading1"/>
        <w:jc w:val="center"/>
      </w:pPr>
    </w:p>
    <w:p w14:paraId="35F1AA30" w14:textId="77777777" w:rsidR="009A5D2E" w:rsidRDefault="009A5D2E" w:rsidP="009A5D2E">
      <w:pPr>
        <w:pStyle w:val="Heading1"/>
        <w:jc w:val="center"/>
      </w:pPr>
    </w:p>
    <w:p w14:paraId="131AC0FE" w14:textId="77777777" w:rsidR="009A5D2E" w:rsidRDefault="009A5D2E" w:rsidP="009A5D2E">
      <w:pPr>
        <w:pStyle w:val="Heading1"/>
        <w:jc w:val="center"/>
      </w:pPr>
    </w:p>
    <w:p w14:paraId="046A83AE" w14:textId="77777777" w:rsidR="009A5D2E" w:rsidRDefault="009A5D2E" w:rsidP="009A5D2E">
      <w:pPr>
        <w:pStyle w:val="Heading1"/>
        <w:jc w:val="center"/>
      </w:pPr>
    </w:p>
    <w:p w14:paraId="054A4E8E" w14:textId="77777777" w:rsidR="009A5D2E" w:rsidRDefault="009A5D2E" w:rsidP="009A5D2E">
      <w:pPr>
        <w:pStyle w:val="Heading1"/>
        <w:jc w:val="center"/>
      </w:pPr>
    </w:p>
    <w:p w14:paraId="0EB454BD" w14:textId="77777777" w:rsidR="009A5D2E" w:rsidRDefault="009A5D2E" w:rsidP="009A5D2E">
      <w:pPr>
        <w:pStyle w:val="Heading1"/>
        <w:jc w:val="center"/>
      </w:pPr>
    </w:p>
    <w:p w14:paraId="37237E26" w14:textId="77777777" w:rsidR="00AC679E" w:rsidRDefault="002405BD" w:rsidP="009A5D2E">
      <w:pPr>
        <w:pStyle w:val="Heading1"/>
        <w:jc w:val="center"/>
      </w:pPr>
      <w:bookmarkStart w:id="0" w:name="_Toc223620474"/>
      <w:r>
        <w:t>Executive Summary</w:t>
      </w:r>
      <w:bookmarkEnd w:id="0"/>
    </w:p>
    <w:p w14:paraId="67AB4714" w14:textId="51A1CDDD" w:rsidR="00AC679E" w:rsidRDefault="002405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This report outlines </w:t>
      </w:r>
      <w:r w:rsidR="00EB2197">
        <w:rPr>
          <w:rFonts w:ascii="Times New Roman" w:eastAsia="Times New Roman" w:hAnsi="Times New Roman" w:cs="Times New Roman"/>
          <w:sz w:val="24"/>
          <w:szCs w:val="24"/>
        </w:rPr>
        <w:t>in what way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Business Intelligence (BI), Data Warehousing (DW), and Data Mining (DM) can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remain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utilised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by Superdry to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improve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strategic decision-making. Operational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competence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can be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enhanced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inventory management can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remain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optimised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and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request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trends can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remain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forecast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finished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addition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of cloud-based BI tools and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progressive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analytics.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Centralised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data management is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allowed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by data warehousing, providing real-time visibility and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dropping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stock mismatches.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Appreciated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intuitions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into sales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predictions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customer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behaviour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and inventory trends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remain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obtainable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through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predictive analytics tools, such as Power BI, allowing agile decision-making to be supported. Then,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knowledgeable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decisions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remain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eased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and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development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and profitability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remain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driven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intended for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Superdry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through the use of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visual reporting tools like Power BI and Tableau.</w:t>
      </w:r>
    </w:p>
    <w:p w14:paraId="30D2AAD9" w14:textId="77777777" w:rsidR="009A5D2E" w:rsidRDefault="009A5D2E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br w:type="page"/>
      </w:r>
    </w:p>
    <w:sdt>
      <w:sdtPr>
        <w:rPr>
          <w:rFonts w:ascii="Arial" w:eastAsia="Arial" w:hAnsi="Arial" w:cs="Arial"/>
          <w:color w:val="auto"/>
          <w:sz w:val="22"/>
          <w:szCs w:val="22"/>
          <w:lang w:val="en"/>
        </w:rPr>
        <w:id w:val="-189049052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CF125D8" w14:textId="77777777" w:rsidR="009A5D2E" w:rsidRPr="009A5D2E" w:rsidRDefault="009A5D2E" w:rsidP="009A5D2E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b/>
              <w:color w:val="000000" w:themeColor="text1"/>
              <w:sz w:val="24"/>
              <w:szCs w:val="24"/>
            </w:rPr>
          </w:pPr>
          <w:r w:rsidRPr="009A5D2E">
            <w:rPr>
              <w:rFonts w:ascii="Times New Roman" w:hAnsi="Times New Roman" w:cs="Times New Roman"/>
              <w:b/>
              <w:color w:val="000000" w:themeColor="text1"/>
              <w:sz w:val="24"/>
              <w:szCs w:val="24"/>
            </w:rPr>
            <w:t>Table of Contents</w:t>
          </w:r>
        </w:p>
        <w:p w14:paraId="6A458F3B" w14:textId="77777777" w:rsidR="009A5D2E" w:rsidRPr="009A5D2E" w:rsidRDefault="009A5D2E" w:rsidP="009A5D2E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b/>
              <w:noProof/>
              <w:color w:val="000000" w:themeColor="text1"/>
              <w:sz w:val="24"/>
              <w:szCs w:val="24"/>
            </w:rPr>
          </w:pPr>
          <w:r w:rsidRPr="009A5D2E">
            <w:rPr>
              <w:rFonts w:ascii="Times New Roman" w:hAnsi="Times New Roman" w:cs="Times New Roman"/>
              <w:b/>
              <w:color w:val="000000" w:themeColor="text1"/>
              <w:sz w:val="24"/>
              <w:szCs w:val="24"/>
            </w:rPr>
            <w:fldChar w:fldCharType="begin"/>
          </w:r>
          <w:r w:rsidRPr="009A5D2E">
            <w:rPr>
              <w:rFonts w:ascii="Times New Roman" w:hAnsi="Times New Roman" w:cs="Times New Roman"/>
              <w:b/>
              <w:color w:val="000000" w:themeColor="text1"/>
              <w:sz w:val="24"/>
              <w:szCs w:val="24"/>
            </w:rPr>
            <w:instrText xml:space="preserve"> TOC \o "1-3" \h \z \u </w:instrText>
          </w:r>
          <w:r w:rsidRPr="009A5D2E">
            <w:rPr>
              <w:rFonts w:ascii="Times New Roman" w:hAnsi="Times New Roman" w:cs="Times New Roman"/>
              <w:b/>
              <w:color w:val="000000" w:themeColor="text1"/>
              <w:sz w:val="24"/>
              <w:szCs w:val="24"/>
            </w:rPr>
            <w:fldChar w:fldCharType="separate"/>
          </w:r>
          <w:hyperlink w:anchor="_Toc223620474" w:history="1">
            <w:r w:rsidRPr="009A5D2E">
              <w:rPr>
                <w:rStyle w:val="Hyperlink"/>
                <w:rFonts w:ascii="Times New Roman" w:hAnsi="Times New Roman" w:cs="Times New Roman"/>
                <w:b/>
                <w:noProof/>
                <w:color w:val="000000" w:themeColor="text1"/>
                <w:sz w:val="24"/>
                <w:szCs w:val="24"/>
              </w:rPr>
              <w:t>Executive Summary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_Toc223620474 \h </w:instrTex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>2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0994BA61" w14:textId="77777777" w:rsidR="009A5D2E" w:rsidRPr="009A5D2E" w:rsidRDefault="009A5D2E" w:rsidP="009A5D2E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b/>
              <w:noProof/>
              <w:color w:val="000000" w:themeColor="text1"/>
              <w:sz w:val="24"/>
              <w:szCs w:val="24"/>
            </w:rPr>
          </w:pPr>
          <w:hyperlink w:anchor="_Toc223620475" w:history="1">
            <w:r w:rsidRPr="009A5D2E">
              <w:rPr>
                <w:rStyle w:val="Hyperlink"/>
                <w:rFonts w:ascii="Times New Roman" w:hAnsi="Times New Roman" w:cs="Times New Roman"/>
                <w:b/>
                <w:noProof/>
                <w:color w:val="000000" w:themeColor="text1"/>
                <w:sz w:val="24"/>
                <w:szCs w:val="24"/>
              </w:rPr>
              <w:t>1. Introduction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_Toc223620475 \h </w:instrTex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>4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9BEDCF4" w14:textId="77777777" w:rsidR="009A5D2E" w:rsidRPr="009A5D2E" w:rsidRDefault="009A5D2E" w:rsidP="009A5D2E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b/>
              <w:noProof/>
              <w:color w:val="000000" w:themeColor="text1"/>
              <w:sz w:val="24"/>
              <w:szCs w:val="24"/>
            </w:rPr>
          </w:pPr>
          <w:hyperlink w:anchor="_Toc223620476" w:history="1">
            <w:r w:rsidRPr="009A5D2E">
              <w:rPr>
                <w:rStyle w:val="Hyperlink"/>
                <w:rFonts w:ascii="Times New Roman" w:hAnsi="Times New Roman" w:cs="Times New Roman"/>
                <w:b/>
                <w:noProof/>
                <w:color w:val="000000" w:themeColor="text1"/>
                <w:sz w:val="24"/>
                <w:szCs w:val="24"/>
              </w:rPr>
              <w:t>2. Trends in BI, DW, and DM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_Toc223620476 \h </w:instrTex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>4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1A2F3B95" w14:textId="77777777" w:rsidR="009A5D2E" w:rsidRPr="009A5D2E" w:rsidRDefault="009A5D2E" w:rsidP="009A5D2E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b/>
              <w:noProof/>
              <w:color w:val="000000" w:themeColor="text1"/>
              <w:sz w:val="24"/>
              <w:szCs w:val="24"/>
            </w:rPr>
          </w:pPr>
          <w:hyperlink w:anchor="_Toc223620477" w:history="1">
            <w:r w:rsidRPr="009A5D2E">
              <w:rPr>
                <w:rStyle w:val="Hyperlink"/>
                <w:rFonts w:ascii="Times New Roman" w:hAnsi="Times New Roman" w:cs="Times New Roman"/>
                <w:b/>
                <w:noProof/>
                <w:color w:val="000000" w:themeColor="text1"/>
                <w:sz w:val="24"/>
                <w:szCs w:val="24"/>
              </w:rPr>
              <w:t>3. Data Warehousing in the Organisation Applications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_Toc223620477 \h </w:instrTex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>6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10D8CC9" w14:textId="77777777" w:rsidR="009A5D2E" w:rsidRPr="009A5D2E" w:rsidRDefault="009A5D2E" w:rsidP="009A5D2E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b/>
              <w:noProof/>
              <w:color w:val="000000" w:themeColor="text1"/>
              <w:sz w:val="24"/>
              <w:szCs w:val="24"/>
            </w:rPr>
          </w:pPr>
          <w:hyperlink w:anchor="_Toc223620478" w:history="1">
            <w:r w:rsidRPr="009A5D2E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color w:val="000000" w:themeColor="text1"/>
                <w:sz w:val="24"/>
                <w:szCs w:val="24"/>
              </w:rPr>
              <w:t>Define Data Warehousing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_Toc223620478 \h </w:instrTex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>6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1FDEC3B4" w14:textId="77777777" w:rsidR="009A5D2E" w:rsidRPr="009A5D2E" w:rsidRDefault="009A5D2E" w:rsidP="009A5D2E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b/>
              <w:noProof/>
              <w:color w:val="000000" w:themeColor="text1"/>
              <w:sz w:val="24"/>
              <w:szCs w:val="24"/>
            </w:rPr>
          </w:pPr>
          <w:hyperlink w:anchor="_Toc223620479" w:history="1">
            <w:r w:rsidRPr="009A5D2E">
              <w:rPr>
                <w:rStyle w:val="Hyperlink"/>
                <w:rFonts w:ascii="Times New Roman" w:hAnsi="Times New Roman" w:cs="Times New Roman"/>
                <w:b/>
                <w:noProof/>
                <w:color w:val="000000" w:themeColor="text1"/>
                <w:sz w:val="24"/>
                <w:szCs w:val="24"/>
              </w:rPr>
              <w:t>‌How DW Can Improve Operational Efficiency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_Toc223620479 \h </w:instrTex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>6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40068B36" w14:textId="77777777" w:rsidR="009A5D2E" w:rsidRPr="009A5D2E" w:rsidRDefault="009A5D2E" w:rsidP="009A5D2E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b/>
              <w:noProof/>
              <w:color w:val="000000" w:themeColor="text1"/>
              <w:sz w:val="24"/>
              <w:szCs w:val="24"/>
            </w:rPr>
          </w:pPr>
          <w:hyperlink w:anchor="_Toc223620480" w:history="1">
            <w:r w:rsidRPr="009A5D2E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color w:val="000000" w:themeColor="text1"/>
                <w:sz w:val="24"/>
                <w:szCs w:val="24"/>
              </w:rPr>
              <w:t>How DW Supports Strategic Decision‑Making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_Toc223620480 \h </w:instrTex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>7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561760A5" w14:textId="77777777" w:rsidR="009A5D2E" w:rsidRPr="009A5D2E" w:rsidRDefault="009A5D2E" w:rsidP="009A5D2E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b/>
              <w:noProof/>
              <w:color w:val="000000" w:themeColor="text1"/>
              <w:sz w:val="24"/>
              <w:szCs w:val="24"/>
            </w:rPr>
          </w:pPr>
          <w:hyperlink w:anchor="_Toc223620481" w:history="1">
            <w:r w:rsidRPr="009A5D2E">
              <w:rPr>
                <w:rStyle w:val="Hyperlink"/>
                <w:rFonts w:ascii="Times New Roman" w:hAnsi="Times New Roman" w:cs="Times New Roman"/>
                <w:b/>
                <w:noProof/>
                <w:color w:val="000000" w:themeColor="text1"/>
                <w:sz w:val="24"/>
                <w:szCs w:val="24"/>
              </w:rPr>
              <w:t>Organisation‑Specific Examples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_Toc223620481 \h </w:instrTex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>7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59E38576" w14:textId="77777777" w:rsidR="009A5D2E" w:rsidRPr="009A5D2E" w:rsidRDefault="009A5D2E" w:rsidP="009A5D2E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b/>
              <w:noProof/>
              <w:color w:val="000000" w:themeColor="text1"/>
              <w:sz w:val="24"/>
              <w:szCs w:val="24"/>
            </w:rPr>
          </w:pPr>
          <w:hyperlink w:anchor="_Toc223620482" w:history="1">
            <w:r w:rsidRPr="009A5D2E">
              <w:rPr>
                <w:rStyle w:val="Hyperlink"/>
                <w:rFonts w:ascii="Times New Roman" w:hAnsi="Times New Roman" w:cs="Times New Roman"/>
                <w:b/>
                <w:noProof/>
                <w:color w:val="000000" w:themeColor="text1"/>
                <w:sz w:val="24"/>
                <w:szCs w:val="24"/>
              </w:rPr>
              <w:t>4. Data Mining Techniques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_Toc223620482 \h </w:instrTex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>7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0883F2D0" w14:textId="77777777" w:rsidR="009A5D2E" w:rsidRPr="009A5D2E" w:rsidRDefault="009A5D2E" w:rsidP="009A5D2E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b/>
              <w:noProof/>
              <w:color w:val="000000" w:themeColor="text1"/>
              <w:sz w:val="24"/>
              <w:szCs w:val="24"/>
            </w:rPr>
          </w:pPr>
          <w:hyperlink w:anchor="_Toc223620483" w:history="1">
            <w:r w:rsidRPr="009A5D2E">
              <w:rPr>
                <w:rStyle w:val="Hyperlink"/>
                <w:rFonts w:ascii="Times New Roman" w:hAnsi="Times New Roman" w:cs="Times New Roman"/>
                <w:b/>
                <w:noProof/>
                <w:color w:val="000000" w:themeColor="text1"/>
                <w:sz w:val="24"/>
                <w:szCs w:val="24"/>
              </w:rPr>
              <w:t>Identify Two Data Mining Techniques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_Toc223620483 \h </w:instrTex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>7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4906BB1A" w14:textId="77777777" w:rsidR="009A5D2E" w:rsidRPr="009A5D2E" w:rsidRDefault="009A5D2E" w:rsidP="009A5D2E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b/>
              <w:noProof/>
              <w:color w:val="000000" w:themeColor="text1"/>
              <w:sz w:val="24"/>
              <w:szCs w:val="24"/>
            </w:rPr>
          </w:pPr>
          <w:hyperlink w:anchor="_Toc223620484" w:history="1">
            <w:r w:rsidRPr="009A5D2E">
              <w:rPr>
                <w:rStyle w:val="Hyperlink"/>
                <w:rFonts w:ascii="Times New Roman" w:hAnsi="Times New Roman" w:cs="Times New Roman"/>
                <w:b/>
                <w:noProof/>
                <w:color w:val="000000" w:themeColor="text1"/>
                <w:sz w:val="24"/>
                <w:szCs w:val="24"/>
              </w:rPr>
              <w:t>Relevance to Superdry’s Goals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_Toc223620484 \h </w:instrTex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>8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244AE5D" w14:textId="77777777" w:rsidR="009A5D2E" w:rsidRPr="009A5D2E" w:rsidRDefault="009A5D2E" w:rsidP="009A5D2E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b/>
              <w:noProof/>
              <w:color w:val="000000" w:themeColor="text1"/>
              <w:sz w:val="24"/>
              <w:szCs w:val="24"/>
            </w:rPr>
          </w:pPr>
          <w:hyperlink w:anchor="_Toc223620485" w:history="1">
            <w:r w:rsidRPr="009A5D2E">
              <w:rPr>
                <w:rStyle w:val="Hyperlink"/>
                <w:rFonts w:ascii="Times New Roman" w:hAnsi="Times New Roman" w:cs="Times New Roman"/>
                <w:b/>
                <w:noProof/>
                <w:color w:val="000000" w:themeColor="text1"/>
                <w:sz w:val="24"/>
                <w:szCs w:val="24"/>
              </w:rPr>
              <w:t>Tools/Platforms for Data Mining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_Toc223620485 \h </w:instrTex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>8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3FE1D810" w14:textId="77777777" w:rsidR="009A5D2E" w:rsidRPr="009A5D2E" w:rsidRDefault="009A5D2E" w:rsidP="009A5D2E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b/>
              <w:noProof/>
              <w:color w:val="000000" w:themeColor="text1"/>
              <w:sz w:val="24"/>
              <w:szCs w:val="24"/>
            </w:rPr>
          </w:pPr>
          <w:hyperlink w:anchor="_Toc223620486" w:history="1">
            <w:r w:rsidRPr="009A5D2E">
              <w:rPr>
                <w:rStyle w:val="Hyperlink"/>
                <w:rFonts w:ascii="Times New Roman" w:hAnsi="Times New Roman" w:cs="Times New Roman"/>
                <w:b/>
                <w:noProof/>
                <w:color w:val="000000" w:themeColor="text1"/>
                <w:sz w:val="24"/>
                <w:szCs w:val="24"/>
              </w:rPr>
              <w:t>5. Predictive Analysis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_Toc223620486 \h </w:instrTex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>8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562AB314" w14:textId="77777777" w:rsidR="009A5D2E" w:rsidRPr="009A5D2E" w:rsidRDefault="009A5D2E" w:rsidP="009A5D2E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b/>
              <w:noProof/>
              <w:color w:val="000000" w:themeColor="text1"/>
              <w:sz w:val="24"/>
              <w:szCs w:val="24"/>
            </w:rPr>
          </w:pPr>
          <w:hyperlink w:anchor="_Toc223620487" w:history="1">
            <w:r w:rsidRPr="009A5D2E">
              <w:rPr>
                <w:rStyle w:val="Hyperlink"/>
                <w:rFonts w:ascii="Times New Roman" w:hAnsi="Times New Roman" w:cs="Times New Roman"/>
                <w:b/>
                <w:noProof/>
                <w:color w:val="000000" w:themeColor="text1"/>
                <w:sz w:val="24"/>
                <w:szCs w:val="24"/>
              </w:rPr>
              <w:t>Recommend Predictive Analytics Tools: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_Toc223620487 \h </w:instrTex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>8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3F24FB3B" w14:textId="77777777" w:rsidR="009A5D2E" w:rsidRPr="009A5D2E" w:rsidRDefault="009A5D2E" w:rsidP="009A5D2E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b/>
              <w:noProof/>
              <w:color w:val="000000" w:themeColor="text1"/>
              <w:sz w:val="24"/>
              <w:szCs w:val="24"/>
            </w:rPr>
          </w:pPr>
          <w:hyperlink w:anchor="_Toc223620488" w:history="1">
            <w:r w:rsidRPr="009A5D2E">
              <w:rPr>
                <w:rStyle w:val="Hyperlink"/>
                <w:rFonts w:ascii="Times New Roman" w:hAnsi="Times New Roman" w:cs="Times New Roman"/>
                <w:b/>
                <w:noProof/>
                <w:color w:val="000000" w:themeColor="text1"/>
                <w:sz w:val="24"/>
                <w:szCs w:val="24"/>
              </w:rPr>
              <w:t>Compare Features, Usability, and Integration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_Toc223620488 \h </w:instrTex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>9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08C6CEAB" w14:textId="77777777" w:rsidR="009A5D2E" w:rsidRPr="009A5D2E" w:rsidRDefault="009A5D2E" w:rsidP="009A5D2E">
          <w:pPr>
            <w:pStyle w:val="TOC2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b/>
              <w:noProof/>
              <w:color w:val="000000" w:themeColor="text1"/>
              <w:sz w:val="24"/>
              <w:szCs w:val="24"/>
            </w:rPr>
          </w:pPr>
          <w:hyperlink w:anchor="_Toc223620489" w:history="1">
            <w:r w:rsidRPr="009A5D2E">
              <w:rPr>
                <w:rStyle w:val="Hyperlink"/>
                <w:rFonts w:ascii="Times New Roman" w:hAnsi="Times New Roman" w:cs="Times New Roman"/>
                <w:b/>
                <w:noProof/>
                <w:color w:val="000000" w:themeColor="text1"/>
                <w:sz w:val="24"/>
                <w:szCs w:val="24"/>
              </w:rPr>
              <w:t>Reporting Automation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_Toc223620489 \h </w:instrTex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>9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4DF32D7E" w14:textId="77777777" w:rsidR="009A5D2E" w:rsidRPr="009A5D2E" w:rsidRDefault="009A5D2E" w:rsidP="009A5D2E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b/>
              <w:noProof/>
              <w:color w:val="000000" w:themeColor="text1"/>
              <w:sz w:val="24"/>
              <w:szCs w:val="24"/>
            </w:rPr>
          </w:pPr>
          <w:hyperlink w:anchor="_Toc223620490" w:history="1">
            <w:r w:rsidRPr="009A5D2E">
              <w:rPr>
                <w:rStyle w:val="Hyperlink"/>
                <w:rFonts w:ascii="Times New Roman" w:hAnsi="Times New Roman" w:cs="Times New Roman"/>
                <w:b/>
                <w:noProof/>
                <w:color w:val="000000" w:themeColor="text1"/>
                <w:sz w:val="24"/>
                <w:szCs w:val="24"/>
              </w:rPr>
              <w:t>6. Ethical and Data Security Considerations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_Toc223620490 \h </w:instrTex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>9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05251D88" w14:textId="77777777" w:rsidR="009A5D2E" w:rsidRPr="009A5D2E" w:rsidRDefault="009A5D2E" w:rsidP="009A5D2E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b/>
              <w:noProof/>
              <w:color w:val="000000" w:themeColor="text1"/>
              <w:sz w:val="24"/>
              <w:szCs w:val="24"/>
            </w:rPr>
          </w:pPr>
          <w:hyperlink w:anchor="_Toc223620491" w:history="1">
            <w:r w:rsidRPr="009A5D2E">
              <w:rPr>
                <w:rStyle w:val="Hyperlink"/>
                <w:rFonts w:ascii="Times New Roman" w:hAnsi="Times New Roman" w:cs="Times New Roman"/>
                <w:b/>
                <w:noProof/>
                <w:color w:val="000000" w:themeColor="text1"/>
                <w:sz w:val="24"/>
                <w:szCs w:val="24"/>
              </w:rPr>
              <w:t>7. Reporting and Dashboard Solutions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_Toc223620491 \h </w:instrTex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>10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7BEAAD50" w14:textId="77777777" w:rsidR="009A5D2E" w:rsidRPr="009A5D2E" w:rsidRDefault="009A5D2E" w:rsidP="009A5D2E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b/>
              <w:noProof/>
              <w:color w:val="000000" w:themeColor="text1"/>
              <w:sz w:val="24"/>
              <w:szCs w:val="24"/>
            </w:rPr>
          </w:pPr>
          <w:hyperlink w:anchor="_Toc223620492" w:history="1">
            <w:r w:rsidRPr="009A5D2E">
              <w:rPr>
                <w:rStyle w:val="Hyperlink"/>
                <w:rFonts w:ascii="Times New Roman" w:hAnsi="Times New Roman" w:cs="Times New Roman"/>
                <w:b/>
                <w:noProof/>
                <w:color w:val="000000" w:themeColor="text1"/>
                <w:sz w:val="24"/>
                <w:szCs w:val="24"/>
              </w:rPr>
              <w:t>8. Conclusion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_Toc223620492 \h </w:instrTex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>10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7507DE21" w14:textId="77777777" w:rsidR="009A5D2E" w:rsidRPr="009A5D2E" w:rsidRDefault="009A5D2E" w:rsidP="009A5D2E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hAnsi="Times New Roman" w:cs="Times New Roman"/>
              <w:b/>
              <w:noProof/>
              <w:color w:val="000000" w:themeColor="text1"/>
              <w:sz w:val="24"/>
              <w:szCs w:val="24"/>
            </w:rPr>
          </w:pPr>
          <w:hyperlink w:anchor="_Toc223620493" w:history="1">
            <w:r w:rsidRPr="009A5D2E">
              <w:rPr>
                <w:rStyle w:val="Hyperlink"/>
                <w:rFonts w:ascii="Times New Roman" w:hAnsi="Times New Roman" w:cs="Times New Roman"/>
                <w:b/>
                <w:noProof/>
                <w:color w:val="000000" w:themeColor="text1"/>
                <w:sz w:val="24"/>
                <w:szCs w:val="24"/>
              </w:rPr>
              <w:t>References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_Toc223620493 \h </w:instrTex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t>11</w:t>
            </w:r>
            <w:r w:rsidRPr="009A5D2E">
              <w:rPr>
                <w:rFonts w:ascii="Times New Roman" w:hAnsi="Times New Roman" w:cs="Times New Roman"/>
                <w:b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49E192CC" w14:textId="77777777" w:rsidR="009A5D2E" w:rsidRDefault="009A5D2E" w:rsidP="009A5D2E">
          <w:pPr>
            <w:spacing w:line="360" w:lineRule="auto"/>
            <w:jc w:val="both"/>
          </w:pPr>
          <w:r w:rsidRPr="009A5D2E">
            <w:rPr>
              <w:rFonts w:ascii="Times New Roman" w:hAnsi="Times New Roman" w:cs="Times New Roman"/>
              <w:b/>
              <w:bCs/>
              <w:noProof/>
              <w:color w:val="000000" w:themeColor="text1"/>
              <w:sz w:val="24"/>
              <w:szCs w:val="24"/>
            </w:rPr>
            <w:fldChar w:fldCharType="end"/>
          </w:r>
        </w:p>
      </w:sdtContent>
    </w:sdt>
    <w:p w14:paraId="6DC96ADB" w14:textId="77777777" w:rsidR="009A5D2E" w:rsidRDefault="009A5D2E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br w:type="page"/>
      </w:r>
    </w:p>
    <w:p w14:paraId="63155016" w14:textId="77777777" w:rsidR="00AC679E" w:rsidRDefault="002405BD" w:rsidP="009A5D2E">
      <w:pPr>
        <w:pStyle w:val="Heading1"/>
      </w:pPr>
      <w:bookmarkStart w:id="1" w:name="_Toc223620475"/>
      <w:r>
        <w:lastRenderedPageBreak/>
        <w:t>1. Introduction</w:t>
      </w:r>
      <w:bookmarkEnd w:id="1"/>
      <w:r>
        <w:t xml:space="preserve"> </w:t>
      </w:r>
    </w:p>
    <w:p w14:paraId="43AE5800" w14:textId="7FB708BA" w:rsidR="00AC679E" w:rsidRDefault="002405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Superdry, a</w:t>
      </w:r>
      <w:r w:rsidR="009A5D2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A5D2E" w:rsidRPr="009A5D2E">
        <w:rPr>
          <w:rFonts w:ascii="Times New Roman" w:eastAsia="Times New Roman" w:hAnsi="Times New Roman" w:cs="Times New Roman"/>
          <w:sz w:val="24"/>
          <w:szCs w:val="24"/>
        </w:rPr>
        <w:t xml:space="preserve">medium-sized </w:t>
      </w:r>
      <w:proofErr w:type="spellStart"/>
      <w:r w:rsidR="009A5D2E" w:rsidRPr="009A5D2E">
        <w:rPr>
          <w:rFonts w:ascii="Times New Roman" w:eastAsia="Times New Roman" w:hAnsi="Times New Roman" w:cs="Times New Roman"/>
          <w:sz w:val="24"/>
          <w:szCs w:val="24"/>
        </w:rPr>
        <w:t>organisation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important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fashion retailer based in the UK, has </w:t>
      </w: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a</w:t>
      </w:r>
      <w:proofErr w:type="spellEnd"/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important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international presence in Europe, North America and Asia. This report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deliberates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how Superdry is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enlightening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its decision-making and operational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competence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finished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the use of Business Intelligence (BI), Data Warehousing (DW), and Data Mining (DM). BI is transforming from narrative reporting to proactive, AI-driven decision-making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finished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Agentic AI, unified commerce and real-time actionable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understandings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DW and DM act as a “single source of truth”, breaking down silos and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safeguarding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precise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cross-functional analysis and inventory optimization. Ethics and data security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remain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also considered,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safeguarding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strategic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development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marketplace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keenness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while complying with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rules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1272C315" w14:textId="77777777" w:rsidR="00AC679E" w:rsidRDefault="002405BD" w:rsidP="009A5D2E">
      <w:pPr>
        <w:pStyle w:val="Heading1"/>
      </w:pPr>
      <w:bookmarkStart w:id="2" w:name="_Toc223620476"/>
      <w:r>
        <w:t>2. Trends in BI, DW, and DM</w:t>
      </w:r>
      <w:bookmarkEnd w:id="2"/>
      <w:r>
        <w:t xml:space="preserve"> </w:t>
      </w:r>
    </w:p>
    <w:p w14:paraId="57B2B041" w14:textId="74568A40" w:rsidR="00AC679E" w:rsidRDefault="002405BD">
      <w:pPr>
        <w:pBdr>
          <w:top w:val="none" w:sz="0" w:space="0" w:color="E5E7EB"/>
          <w:left w:val="none" w:sz="0" w:space="0" w:color="E5E7EB"/>
          <w:bottom w:val="none" w:sz="0" w:space="0" w:color="E5E7EB"/>
          <w:right w:val="none" w:sz="0" w:space="0" w:color="E5E7EB"/>
          <w:between w:val="none" w:sz="0" w:space="0" w:color="E5E7EB"/>
        </w:pBdr>
        <w:spacing w:before="360" w:after="36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Business Intelligence (BI), Data Warehousing (DW) and Data Mining (DM) are important for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cultivating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decision-making in the retail sector. BI is the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procedure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of collecting, integrating, analyzing and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giving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business information, which helps in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analysing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customer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behaviour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sales trends and inventory performance (Vaish et.al., 2020). In the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current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era, artificial intelligence (AI), Internet of Things (IoT) and wireless devices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consume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made BI easier to provide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quick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info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and knowledge, real-time dashboards and data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visualisation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Big data collections, such as data marts or DW,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remain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used as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significant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assets for organizations and DM tools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remain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used to discover new patterns and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visions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which help in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present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and future decisions (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Bosscoderacademy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2025). DW is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centralised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data repository, such as sales, inventory and customer information from various sources. DM is the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procedure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of </w:t>
      </w:r>
      <w:r w:rsidR="0045701F">
        <w:rPr>
          <w:rFonts w:ascii="Times New Roman" w:eastAsia="Times New Roman" w:hAnsi="Times New Roman" w:cs="Times New Roman"/>
          <w:sz w:val="24"/>
          <w:szCs w:val="24"/>
        </w:rPr>
        <w:t>discovery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relationships and patterns from big data, such as customer segmentation or inventory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optimisation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For example, a bank can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analyse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customer transaction data in </w:t>
      </w:r>
      <w:proofErr w:type="gramStart"/>
      <w:r w:rsidR="0045701F">
        <w:rPr>
          <w:rFonts w:ascii="Times New Roman" w:eastAsia="Times New Roman" w:hAnsi="Times New Roman" w:cs="Times New Roman"/>
          <w:sz w:val="24"/>
          <w:szCs w:val="24"/>
        </w:rPr>
        <w:t>the situation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DW to make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personalised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credit card offers. Modern platforms such as Google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BigQuery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, Amazon Redshift, and Snowflake provide AI-based mining solutions.</w:t>
      </w:r>
    </w:p>
    <w:p w14:paraId="7D208D38" w14:textId="1E4C3892" w:rsidR="009A5D2E" w:rsidRDefault="0045701F" w:rsidP="009A5D2E">
      <w:pPr>
        <w:pBdr>
          <w:top w:val="none" w:sz="0" w:space="0" w:color="E5E7EB"/>
          <w:left w:val="none" w:sz="0" w:space="0" w:color="E5E7EB"/>
          <w:bottom w:val="none" w:sz="0" w:space="0" w:color="E5E7EB"/>
          <w:right w:val="none" w:sz="0" w:space="0" w:color="E5E7EB"/>
          <w:between w:val="none" w:sz="0" w:space="0" w:color="E5E7EB"/>
        </w:pBdr>
        <w:spacing w:before="360" w:after="36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Present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trends are transforming BI, DW, and DM </w:t>
      </w:r>
      <w:r>
        <w:rPr>
          <w:rFonts w:ascii="Times New Roman" w:eastAsia="Times New Roman" w:hAnsi="Times New Roman" w:cs="Times New Roman"/>
          <w:sz w:val="24"/>
          <w:szCs w:val="24"/>
        </w:rPr>
        <w:t>procedures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in the retail sector </w:t>
      </w:r>
      <w:r>
        <w:rPr>
          <w:rFonts w:ascii="Times New Roman" w:eastAsia="Times New Roman" w:hAnsi="Times New Roman" w:cs="Times New Roman"/>
          <w:sz w:val="24"/>
          <w:szCs w:val="24"/>
        </w:rPr>
        <w:t>owing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to technological </w:t>
      </w:r>
      <w:r>
        <w:rPr>
          <w:rFonts w:ascii="Times New Roman" w:eastAsia="Times New Roman" w:hAnsi="Times New Roman" w:cs="Times New Roman"/>
          <w:sz w:val="24"/>
          <w:szCs w:val="24"/>
        </w:rPr>
        <w:t>progressions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. Real-time BI applications enable </w:t>
      </w:r>
      <w:r>
        <w:rPr>
          <w:rFonts w:ascii="Times New Roman" w:eastAsia="Times New Roman" w:hAnsi="Times New Roman" w:cs="Times New Roman"/>
          <w:sz w:val="24"/>
          <w:szCs w:val="24"/>
        </w:rPr>
        <w:t>shops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 w:rsidR="002405BD">
        <w:rPr>
          <w:rFonts w:ascii="Times New Roman" w:eastAsia="Times New Roman" w:hAnsi="Times New Roman" w:cs="Times New Roman"/>
          <w:sz w:val="24"/>
          <w:szCs w:val="24"/>
        </w:rPr>
        <w:t>analyse</w:t>
      </w:r>
      <w:proofErr w:type="spellEnd"/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customer </w:t>
      </w:r>
      <w:proofErr w:type="spellStart"/>
      <w:r w:rsidR="002405BD">
        <w:rPr>
          <w:rFonts w:ascii="Times New Roman" w:eastAsia="Times New Roman" w:hAnsi="Times New Roman" w:cs="Times New Roman"/>
          <w:sz w:val="24"/>
          <w:szCs w:val="24"/>
        </w:rPr>
        <w:t>behaviour</w:t>
      </w:r>
      <w:proofErr w:type="spellEnd"/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>
        <w:rPr>
          <w:rFonts w:ascii="Times New Roman" w:eastAsia="Times New Roman" w:hAnsi="Times New Roman" w:cs="Times New Roman"/>
          <w:sz w:val="24"/>
          <w:szCs w:val="24"/>
        </w:rPr>
        <w:t>forecast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sales trends, which helps them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rapidly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adjust pricing, promotions, and inventory strategies (Vaish et.al., 2020). The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mixture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of AI and machine learning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improves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retailers’ 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capabilities in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prognostic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analytics, </w:t>
      </w:r>
      <w:proofErr w:type="spellStart"/>
      <w:r w:rsidR="002405BD">
        <w:rPr>
          <w:rFonts w:ascii="Times New Roman" w:eastAsia="Times New Roman" w:hAnsi="Times New Roman" w:cs="Times New Roman"/>
          <w:sz w:val="24"/>
          <w:szCs w:val="24"/>
        </w:rPr>
        <w:t>customised</w:t>
      </w:r>
      <w:proofErr w:type="spellEnd"/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marketing, and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request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prediction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. E-commerce or online commerce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abridges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buyer-seller transactions and provides business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aids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. Hybrid sales structures, which </w:t>
      </w:r>
      <w:proofErr w:type="gramStart"/>
      <w:r w:rsidR="002405BD">
        <w:rPr>
          <w:rFonts w:ascii="Times New Roman" w:eastAsia="Times New Roman" w:hAnsi="Times New Roman" w:cs="Times New Roman"/>
          <w:sz w:val="24"/>
          <w:szCs w:val="24"/>
        </w:rPr>
        <w:t>use</w:t>
      </w:r>
      <w:proofErr w:type="gramEnd"/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together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inside and outside sales forces together, make BI and sales automation more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real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. Cloud-based data warehousing is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ahead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 w:rsidR="002405BD">
        <w:rPr>
          <w:rFonts w:ascii="Times New Roman" w:eastAsia="Times New Roman" w:hAnsi="Times New Roman" w:cs="Times New Roman"/>
          <w:sz w:val="24"/>
          <w:szCs w:val="24"/>
        </w:rPr>
        <w:t>popularity</w:t>
      </w:r>
      <w:proofErr w:type="gramEnd"/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as a cost-effective solution that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abridges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storing and </w:t>
      </w:r>
      <w:proofErr w:type="spellStart"/>
      <w:r w:rsidR="002405BD">
        <w:rPr>
          <w:rFonts w:ascii="Times New Roman" w:eastAsia="Times New Roman" w:hAnsi="Times New Roman" w:cs="Times New Roman"/>
          <w:sz w:val="24"/>
          <w:szCs w:val="24"/>
        </w:rPr>
        <w:t>analysing</w:t>
      </w:r>
      <w:proofErr w:type="spellEnd"/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big data (Technavio, 2025). The cloud computing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marketplace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is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predictable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produce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to $600.5 billion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throughout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the period 2024–2029, at a CAGR of 18.5%. DM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usages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clustering and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connotation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rules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intended for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 xml:space="preserve"> customer segmentation and inventory </w:t>
      </w:r>
      <w:proofErr w:type="spellStart"/>
      <w:r w:rsidR="002405BD">
        <w:rPr>
          <w:rFonts w:ascii="Times New Roman" w:eastAsia="Times New Roman" w:hAnsi="Times New Roman" w:cs="Times New Roman"/>
          <w:sz w:val="24"/>
          <w:szCs w:val="24"/>
        </w:rPr>
        <w:t>optimisation</w:t>
      </w:r>
      <w:proofErr w:type="spellEnd"/>
      <w:r w:rsidR="002405BD">
        <w:rPr>
          <w:rFonts w:ascii="Times New Roman" w:eastAsia="Times New Roman" w:hAnsi="Times New Roman" w:cs="Times New Roman"/>
          <w:sz w:val="24"/>
          <w:szCs w:val="24"/>
        </w:rPr>
        <w:t>. Academic models such as Kimball DW Architecture and CRISP-DM provide st</w:t>
      </w:r>
      <w:r w:rsidR="009A5D2E">
        <w:rPr>
          <w:rFonts w:ascii="Times New Roman" w:eastAsia="Times New Roman" w:hAnsi="Times New Roman" w:cs="Times New Roman"/>
          <w:sz w:val="24"/>
          <w:szCs w:val="24"/>
        </w:rPr>
        <w:t xml:space="preserve">ructured guidance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intended for</w:t>
      </w:r>
      <w:r w:rsidR="009A5D2E">
        <w:rPr>
          <w:rFonts w:ascii="Times New Roman" w:eastAsia="Times New Roman" w:hAnsi="Times New Roman" w:cs="Times New Roman"/>
          <w:sz w:val="24"/>
          <w:szCs w:val="24"/>
        </w:rPr>
        <w:t xml:space="preserve"> effective </w:t>
      </w:r>
      <w:r w:rsidR="002405BD">
        <w:rPr>
          <w:rFonts w:ascii="Times New Roman" w:eastAsia="Times New Roman" w:hAnsi="Times New Roman" w:cs="Times New Roman"/>
          <w:sz w:val="24"/>
          <w:szCs w:val="24"/>
        </w:rPr>
        <w:t>implementation.</w:t>
      </w:r>
    </w:p>
    <w:p w14:paraId="64D694DA" w14:textId="77777777" w:rsidR="00AC679E" w:rsidRPr="009A5D2E" w:rsidRDefault="002405BD" w:rsidP="009A5D2E">
      <w:pPr>
        <w:pBdr>
          <w:top w:val="none" w:sz="0" w:space="0" w:color="E5E7EB"/>
          <w:left w:val="none" w:sz="0" w:space="0" w:color="E5E7EB"/>
          <w:bottom w:val="none" w:sz="0" w:space="0" w:color="E5E7EB"/>
          <w:right w:val="none" w:sz="0" w:space="0" w:color="E5E7EB"/>
          <w:between w:val="none" w:sz="0" w:space="0" w:color="E5E7EB"/>
        </w:pBdr>
        <w:spacing w:before="360" w:after="36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‌</w:t>
      </w:r>
      <w:r>
        <w:rPr>
          <w:rFonts w:ascii="Times New Roman" w:eastAsia="Times New Roman" w:hAnsi="Times New Roman" w:cs="Times New Roman"/>
          <w:b/>
          <w:bCs/>
          <w:noProof/>
          <w:sz w:val="24"/>
          <w:szCs w:val="24"/>
          <w:lang w:val="en-US"/>
        </w:rPr>
        <w:drawing>
          <wp:inline distT="114300" distB="114300" distL="114300" distR="114300" wp14:anchorId="6552ADDF" wp14:editId="2FE52379">
            <wp:extent cx="5943600" cy="3848100"/>
            <wp:effectExtent l="25400" t="25400" r="25400" b="2540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48100"/>
                    </a:xfrm>
                    <a:prstGeom prst="rect">
                      <a:avLst/>
                    </a:prstGeom>
                    <a:ln w="25400">
                      <a:solidFill>
                        <a:srgbClr val="000000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14:paraId="1719649C" w14:textId="77777777" w:rsidR="00AC679E" w:rsidRDefault="002405BD">
      <w:pPr>
        <w:spacing w:before="240" w:after="240" w:line="360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‌Figure 1: Cloud Computing Market Size 2025-2029</w:t>
      </w:r>
    </w:p>
    <w:p w14:paraId="44358059" w14:textId="77777777" w:rsidR="00AC679E" w:rsidRDefault="002405BD">
      <w:pPr>
        <w:spacing w:before="240" w:after="240" w:line="360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(Source: Technavio, 2025)</w:t>
      </w:r>
    </w:p>
    <w:p w14:paraId="5389C1B4" w14:textId="6FB88A28" w:rsidR="00AC679E" w:rsidRDefault="002405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In this figure, the leveraging of Business Intelligence, Data Warehousing, and Data Mining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intended for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improved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decision-making at Superdry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remains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closely tied to the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fast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development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of cloud computing, which is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predictable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spread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marketplace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size of $255.20 billion in 2025 with a CAGR of 18.5% from 2024 to 2029 </w:t>
      </w:r>
      <w:r>
        <w:rPr>
          <w:rFonts w:ascii="Roboto" w:eastAsia="Roboto" w:hAnsi="Roboto" w:cs="Roboto"/>
          <w:color w:val="212529"/>
          <w:sz w:val="24"/>
          <w:szCs w:val="24"/>
          <w:highlight w:val="white"/>
        </w:rPr>
        <w:t>(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Technavio, 2025). Data-driven strategies at Superdry are thereby supported, and real-time analytics and operational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developments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are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allowed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through the use of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cloud-based BI, DW, and DM tools.</w:t>
      </w:r>
    </w:p>
    <w:p w14:paraId="66D8FB64" w14:textId="77777777" w:rsidR="00AC679E" w:rsidRDefault="002405BD" w:rsidP="009A5D2E">
      <w:pPr>
        <w:pStyle w:val="Heading1"/>
      </w:pPr>
      <w:bookmarkStart w:id="3" w:name="_Toc223620477"/>
      <w:r>
        <w:t xml:space="preserve">3. Data Warehousing in the </w:t>
      </w:r>
      <w:proofErr w:type="spellStart"/>
      <w:r>
        <w:t>Organisation</w:t>
      </w:r>
      <w:proofErr w:type="spellEnd"/>
      <w:r>
        <w:t xml:space="preserve"> Applications</w:t>
      </w:r>
      <w:bookmarkEnd w:id="3"/>
      <w:r>
        <w:t xml:space="preserve"> </w:t>
      </w:r>
    </w:p>
    <w:p w14:paraId="2D3125D6" w14:textId="77777777" w:rsidR="00AC679E" w:rsidRDefault="002405BD">
      <w:pPr>
        <w:pStyle w:val="Heading2"/>
        <w:keepNext w:val="0"/>
        <w:keepLines w:val="0"/>
        <w:spacing w:after="80" w:line="360" w:lineRule="auto"/>
        <w:rPr>
          <w:rFonts w:eastAsia="Times New Roman" w:cs="Times New Roman"/>
          <w:b w:val="0"/>
          <w:bCs/>
          <w:szCs w:val="24"/>
        </w:rPr>
      </w:pPr>
      <w:bookmarkStart w:id="4" w:name="_28qf0jit8up0" w:colFirst="0" w:colLast="0"/>
      <w:bookmarkStart w:id="5" w:name="_Toc223620478"/>
      <w:bookmarkEnd w:id="4"/>
      <w:r>
        <w:rPr>
          <w:rFonts w:eastAsia="Times New Roman" w:cs="Times New Roman"/>
          <w:bCs/>
          <w:szCs w:val="24"/>
        </w:rPr>
        <w:t>Define Data Warehousing</w:t>
      </w:r>
      <w:bookmarkEnd w:id="5"/>
      <w:r>
        <w:rPr>
          <w:rFonts w:eastAsia="Times New Roman" w:cs="Times New Roman"/>
          <w:bCs/>
          <w:szCs w:val="24"/>
        </w:rPr>
        <w:t xml:space="preserve"> </w:t>
      </w:r>
    </w:p>
    <w:p w14:paraId="51855BE8" w14:textId="6FFC02AE" w:rsidR="00AC679E" w:rsidRDefault="002405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Data warehousing (DW) is 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centralised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procedure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that collects, integrates, and manages data from various sources into a single repository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intended for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reporting and analysis (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GeeksforGeeks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2017). DW supports business intelligence,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standardises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mixes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data, and provides a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reliable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and historical view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crossways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the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organisation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It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is capable of handling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big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data volumes (up to TBs) and is helpful in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multifaceted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analysis and trending. With DW,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organisations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can </w:t>
      </w:r>
      <w:proofErr w:type="gramStart"/>
      <w:r w:rsidR="00F0604B">
        <w:rPr>
          <w:rFonts w:ascii="Times New Roman" w:eastAsia="Times New Roman" w:hAnsi="Times New Roman" w:cs="Times New Roman"/>
          <w:sz w:val="24"/>
          <w:szCs w:val="24"/>
        </w:rPr>
        <w:t>improvement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actionable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visions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by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combination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data from stores, warehouses, e-commerce, and customer interactions. By storing historical data, businesses can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analyse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past performance to make strategic decisions and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prediction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request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GeeksforGeeks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2017). DW is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indispensable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by way of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the foundation of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contemporary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data-driven decision-making.</w:t>
      </w:r>
    </w:p>
    <w:p w14:paraId="0423B2F8" w14:textId="77777777" w:rsidR="00AC679E" w:rsidRDefault="002405BD" w:rsidP="009A5D2E">
      <w:pPr>
        <w:pStyle w:val="Heading2"/>
      </w:pPr>
      <w:bookmarkStart w:id="6" w:name="_Toc223620479"/>
      <w:r>
        <w:t>‌How DW Can Improve Operational Efficiency</w:t>
      </w:r>
      <w:bookmarkEnd w:id="6"/>
      <w:r>
        <w:t xml:space="preserve"> </w:t>
      </w:r>
    </w:p>
    <w:p w14:paraId="689585D8" w14:textId="65328A3F" w:rsidR="00AC679E" w:rsidRDefault="002405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Data warehousing (DW) </w:t>
      </w:r>
      <w:proofErr w:type="gramStart"/>
      <w:r w:rsidR="00F0604B">
        <w:rPr>
          <w:rFonts w:ascii="Times New Roman" w:eastAsia="Times New Roman" w:hAnsi="Times New Roman" w:cs="Times New Roman"/>
          <w:sz w:val="24"/>
          <w:szCs w:val="24"/>
        </w:rPr>
        <w:t>rises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operational efficiency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through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integrating data from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dissimilar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channels, providing real-time inventory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discernibility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and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dropping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stock mismatches. Retailers can use DW-based analytics to streamline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claim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prediction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stock level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optimisation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and supply chain operations, thereby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dropping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overstock or stockout situations (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Famoti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et al., 2025). Data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gotten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from DW systems is helpful in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procedure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automation, logistics planning,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growth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and supplier relationship management. Supplier performance assessment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by means of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vendor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tallies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route planning, and real-time shipment monitoring with geographic data </w:t>
      </w:r>
      <w:proofErr w:type="gramStart"/>
      <w:r w:rsidR="00F0604B">
        <w:rPr>
          <w:rFonts w:ascii="Times New Roman" w:eastAsia="Times New Roman" w:hAnsi="Times New Roman" w:cs="Times New Roman"/>
          <w:sz w:val="24"/>
          <w:szCs w:val="24"/>
        </w:rPr>
        <w:t>rises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delivery efficiency.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Progressive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inventory management software and supply chain analytics platforms make operational workflows more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well-organized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and enable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quicker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responses to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vicissitudes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in customer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behaviour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or supply chain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disturbances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4B3CA0AF" w14:textId="77777777" w:rsidR="00AC679E" w:rsidRDefault="002405BD">
      <w:pPr>
        <w:pStyle w:val="Heading2"/>
        <w:keepNext w:val="0"/>
        <w:keepLines w:val="0"/>
        <w:spacing w:after="80" w:line="360" w:lineRule="auto"/>
        <w:rPr>
          <w:rFonts w:eastAsia="Times New Roman" w:cs="Times New Roman"/>
          <w:b w:val="0"/>
          <w:bCs/>
          <w:szCs w:val="24"/>
        </w:rPr>
      </w:pPr>
      <w:bookmarkStart w:id="7" w:name="_131dfh9t0lga" w:colFirst="0" w:colLast="0"/>
      <w:bookmarkStart w:id="8" w:name="_Toc223620480"/>
      <w:bookmarkEnd w:id="7"/>
      <w:r>
        <w:rPr>
          <w:rFonts w:eastAsia="Times New Roman" w:cs="Times New Roman"/>
          <w:bCs/>
          <w:szCs w:val="24"/>
        </w:rPr>
        <w:t>How DW Supports Strategic Decision‑Making</w:t>
      </w:r>
      <w:bookmarkEnd w:id="8"/>
      <w:r>
        <w:rPr>
          <w:rFonts w:eastAsia="Times New Roman" w:cs="Times New Roman"/>
          <w:bCs/>
          <w:szCs w:val="24"/>
        </w:rPr>
        <w:t xml:space="preserve"> </w:t>
      </w:r>
    </w:p>
    <w:p w14:paraId="6FED4505" w14:textId="47A3F626" w:rsidR="00AC679E" w:rsidRDefault="002405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Data warehousing (DW) supports strategic decision-making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through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providing a single view of business activities and trends. By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combination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historical and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present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data,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organisations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can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analyse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customer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behaviour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seasonal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vicissitudes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and product performance, which </w:t>
      </w:r>
      <w:proofErr w:type="gramStart"/>
      <w:r w:rsidR="00F0604B">
        <w:rPr>
          <w:rFonts w:ascii="Times New Roman" w:eastAsia="Times New Roman" w:hAnsi="Times New Roman" w:cs="Times New Roman"/>
          <w:sz w:val="24"/>
          <w:szCs w:val="24"/>
        </w:rPr>
        <w:t>assistances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in planning,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prediction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accuracy, and dynamic pricing (Insight Software, 2022). Predictive analytics models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remain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used to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appraise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past data, identify patterns, and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forecast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future trends.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Selecting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the right predictive modelling strategy is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serious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for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organisations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 DW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rises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competitive momentum when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creation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decisions for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fast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response to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marketplace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changes, marketing campaigns, and geographic </w:t>
      </w:r>
      <w:r w:rsidR="00F0604B">
        <w:rPr>
          <w:rFonts w:ascii="Times New Roman" w:eastAsia="Times New Roman" w:hAnsi="Times New Roman" w:cs="Times New Roman"/>
          <w:sz w:val="24"/>
          <w:szCs w:val="24"/>
        </w:rPr>
        <w:t>growth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as leaders can make decisions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founded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on accurate and consolidated business intelligence.</w:t>
      </w:r>
    </w:p>
    <w:p w14:paraId="7C7DBCC9" w14:textId="77777777" w:rsidR="00AC679E" w:rsidRDefault="002405BD" w:rsidP="009A5D2E">
      <w:pPr>
        <w:pStyle w:val="Heading2"/>
      </w:pPr>
      <w:bookmarkStart w:id="9" w:name="_Toc223620481"/>
      <w:proofErr w:type="spellStart"/>
      <w:r>
        <w:t>Organisation</w:t>
      </w:r>
      <w:proofErr w:type="spellEnd"/>
      <w:r>
        <w:rPr>
          <w:rFonts w:ascii="Cambria Math" w:hAnsi="Cambria Math" w:cs="Cambria Math"/>
        </w:rPr>
        <w:t>‑</w:t>
      </w:r>
      <w:r>
        <w:t>Specific Examples</w:t>
      </w:r>
      <w:bookmarkEnd w:id="9"/>
    </w:p>
    <w:p w14:paraId="7EC0617A" w14:textId="1567AB8B" w:rsidR="00AC679E" w:rsidRDefault="002405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In retail operations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, such as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Superdry, data warehousing (DW)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centralises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sales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journalism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allow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analysis of top-selling products and regional performance (Superdry, 2025). By </w:t>
      </w:r>
      <w:proofErr w:type="gramStart"/>
      <w:r w:rsidR="00CA068F">
        <w:rPr>
          <w:rFonts w:ascii="Times New Roman" w:eastAsia="Times New Roman" w:hAnsi="Times New Roman" w:cs="Times New Roman"/>
          <w:sz w:val="24"/>
          <w:szCs w:val="24"/>
        </w:rPr>
        <w:t>participating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supplier and delivery data, purchasing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procedure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times can be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abridged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vendor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competence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enhanced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and stock cycles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allied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with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request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Using advanced analytical dashboards and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prognostic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models, retailers can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rapidly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recognize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trends, make restocking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choices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quicker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and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growth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customer satisfaction. In addition, the RESPECT PROGRAMME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consumes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efficiently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recognized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100% of the workforce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through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March 2025, giving employees a stronger voice in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transferring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wages and fundamental issues.</w:t>
      </w:r>
    </w:p>
    <w:p w14:paraId="35688C44" w14:textId="77777777" w:rsidR="00AC679E" w:rsidRDefault="002405BD" w:rsidP="009A5D2E">
      <w:pPr>
        <w:pStyle w:val="Heading1"/>
      </w:pPr>
      <w:bookmarkStart w:id="10" w:name="_Toc223620482"/>
      <w:r>
        <w:t>4. Data Mining Techniques</w:t>
      </w:r>
      <w:bookmarkEnd w:id="10"/>
      <w:r>
        <w:t xml:space="preserve"> </w:t>
      </w:r>
    </w:p>
    <w:p w14:paraId="06D9EBCA" w14:textId="77777777" w:rsidR="00AC679E" w:rsidRDefault="002405BD" w:rsidP="009A5D2E">
      <w:pPr>
        <w:pStyle w:val="Heading2"/>
      </w:pPr>
      <w:bookmarkStart w:id="11" w:name="_Toc223620483"/>
      <w:r>
        <w:t>Identify Two Data Mining Techniques</w:t>
      </w:r>
      <w:bookmarkEnd w:id="11"/>
    </w:p>
    <w:p w14:paraId="71376B1D" w14:textId="75374E26" w:rsidR="00AC679E" w:rsidRDefault="002405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Two important techniques in data mining (DM)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remain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bunch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connotation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rule mining. </w:t>
      </w:r>
      <w:r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>Clustering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such as k-means, segments customers based on their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buying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behaviour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such as regular shoppers or discount-seeking customers (Partner, 2024). In the case of Superdry, this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subdivision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helps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customise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marketing strategies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intended for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specific customer groups. </w:t>
      </w:r>
      <w:r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>Association rule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mining discovers relationships between products that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remain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regularly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acquired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together in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big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datasets (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Rpubs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2025). The most popular algorithm is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Apriori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which identifies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recurrent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itemsets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makes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connotation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rules. Each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regulation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 w:rsidR="00CA068F">
        <w:rPr>
          <w:rFonts w:ascii="Times New Roman" w:eastAsia="Times New Roman" w:hAnsi="Times New Roman" w:cs="Times New Roman"/>
          <w:sz w:val="24"/>
          <w:szCs w:val="24"/>
        </w:rPr>
        <w:t>contains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of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an Antecedent (LHS) and a Consequent (RHS). Strength is determined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through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Support, Confidence, and Lift. For example, people who </w:t>
      </w: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buy a jacket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might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also </w:t>
      </w:r>
      <w:proofErr w:type="gramStart"/>
      <w:r w:rsidR="00CA068F">
        <w:rPr>
          <w:rFonts w:ascii="Times New Roman" w:eastAsia="Times New Roman" w:hAnsi="Times New Roman" w:cs="Times New Roman"/>
          <w:sz w:val="24"/>
          <w:szCs w:val="24"/>
        </w:rPr>
        <w:t>acquisition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a scarf. This insight can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remain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rummage-sale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in product bundling or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beleaguered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campaigns, which </w:t>
      </w:r>
      <w:proofErr w:type="gramStart"/>
      <w:r w:rsidR="00CA068F">
        <w:rPr>
          <w:rFonts w:ascii="Times New Roman" w:eastAsia="Times New Roman" w:hAnsi="Times New Roman" w:cs="Times New Roman"/>
          <w:sz w:val="24"/>
          <w:szCs w:val="24"/>
        </w:rPr>
        <w:t>advances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the customer experience and </w:t>
      </w:r>
      <w:proofErr w:type="gramStart"/>
      <w:r w:rsidR="00CA068F">
        <w:rPr>
          <w:rFonts w:ascii="Times New Roman" w:eastAsia="Times New Roman" w:hAnsi="Times New Roman" w:cs="Times New Roman"/>
          <w:sz w:val="24"/>
          <w:szCs w:val="24"/>
        </w:rPr>
        <w:t>rises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sales.</w:t>
      </w:r>
    </w:p>
    <w:p w14:paraId="7615235B" w14:textId="77777777" w:rsidR="00AC679E" w:rsidRDefault="002405BD" w:rsidP="009A5D2E">
      <w:pPr>
        <w:pStyle w:val="Heading2"/>
      </w:pPr>
      <w:bookmarkStart w:id="12" w:name="_Toc223620484"/>
      <w:r>
        <w:t>Relevance to Superdry’s Goals</w:t>
      </w:r>
      <w:bookmarkEnd w:id="12"/>
    </w:p>
    <w:p w14:paraId="23FA4296" w14:textId="16B92353" w:rsidR="00AC679E" w:rsidRDefault="002405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Clustering helps Superdry better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comprehend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customer segments and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upsurge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customer satisfaction and sales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through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providing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personalised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offers.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Customised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campaigns targeting customers who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remain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regular shoppers or looking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intended for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reductions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advance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customer loyalty and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retaining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(PAULSON et.al., 2023). Customer segmentation analysis is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an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significant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part of a marketing strategy, which divides customers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rendering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to their unique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features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and preferences. Applying clustering algorithms provides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valued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understandings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that help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progress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targeted strategies. In addition,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connotation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regulation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mining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progresses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product positioning and cross-selling operations, which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upsurges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average order value and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inspires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customers to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acquisitions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balancing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products.</w:t>
      </w:r>
    </w:p>
    <w:p w14:paraId="52D936F4" w14:textId="77777777" w:rsidR="00AC679E" w:rsidRDefault="002405BD" w:rsidP="009A5D2E">
      <w:pPr>
        <w:pStyle w:val="Heading2"/>
      </w:pPr>
      <w:bookmarkStart w:id="13" w:name="_Toc223620485"/>
      <w:r>
        <w:t>Tools/Platforms for Data Mining</w:t>
      </w:r>
      <w:bookmarkEnd w:id="13"/>
    </w:p>
    <w:p w14:paraId="721E0CE6" w14:textId="35DE8005" w:rsidR="00AC679E" w:rsidRDefault="002405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Superdry can use a variety of tools to implement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bunch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and association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regulation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mining. RapidMiner provides an easy-to-use platform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intended for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running clustering algorithms such as k-means, while SPSS provides powerful statistical analysis capabilities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intended for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connotation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rules and clustering (ResearchGate, 2025). Python-based libraries, such as Scikit-learn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Apriori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provide flexible and customizable solutions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intended for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clustering and association rules. These tools enable Superdry to </w:t>
      </w:r>
      <w:proofErr w:type="gramStart"/>
      <w:r w:rsidR="00CA068F">
        <w:rPr>
          <w:rFonts w:ascii="Times New Roman" w:eastAsia="Times New Roman" w:hAnsi="Times New Roman" w:cs="Times New Roman"/>
          <w:sz w:val="24"/>
          <w:szCs w:val="24"/>
        </w:rPr>
        <w:t>improvement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actionable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understandings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from customer data and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efficiently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apply data mining techniques.</w:t>
      </w:r>
    </w:p>
    <w:p w14:paraId="05E1C0BB" w14:textId="77777777" w:rsidR="00AC679E" w:rsidRDefault="002405BD" w:rsidP="009A5D2E">
      <w:pPr>
        <w:pStyle w:val="Heading1"/>
      </w:pPr>
      <w:bookmarkStart w:id="14" w:name="_Toc223620486"/>
      <w:r>
        <w:t>5. Predictive Analysis</w:t>
      </w:r>
      <w:bookmarkEnd w:id="14"/>
      <w:r>
        <w:t xml:space="preserve"> </w:t>
      </w:r>
    </w:p>
    <w:p w14:paraId="40AB6C13" w14:textId="77777777" w:rsidR="00AC679E" w:rsidRDefault="002405BD" w:rsidP="009A5D2E">
      <w:pPr>
        <w:pStyle w:val="Heading2"/>
      </w:pPr>
      <w:bookmarkStart w:id="15" w:name="_Toc223620487"/>
      <w:r>
        <w:t>Recommend Predictive Analytics Tools:</w:t>
      </w:r>
      <w:bookmarkEnd w:id="15"/>
    </w:p>
    <w:p w14:paraId="0B5DD9D7" w14:textId="68276FA7" w:rsidR="00AC679E" w:rsidRDefault="002405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Power BI is a powerful tool for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prognostic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analytics at Superdry. It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makes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interactive dashboards that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visualise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sales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predictions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inventory trends, and customer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behaviour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(Chen et.al., 2022). Power BI connects to a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diversity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of data sources to provide real-time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understandings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that help monitor business performance and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forecast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future trends.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Prognostic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analysis is a key part of BI, </w:t>
      </w: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supporting decision-making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founded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on historical data, helping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organisations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grow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strategic plans and marketing.‌</w:t>
      </w:r>
    </w:p>
    <w:p w14:paraId="2A7AC4C7" w14:textId="77777777" w:rsidR="00AC679E" w:rsidRDefault="002405BD" w:rsidP="009A5D2E">
      <w:pPr>
        <w:pStyle w:val="Heading2"/>
      </w:pPr>
      <w:bookmarkStart w:id="16" w:name="_Toc223620488"/>
      <w:r>
        <w:t>Compare Features, Usability, and Integration</w:t>
      </w:r>
      <w:bookmarkEnd w:id="16"/>
    </w:p>
    <w:p w14:paraId="42DBDE8F" w14:textId="11315730" w:rsidR="00AC679E" w:rsidRDefault="002405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Power BI’s user-friendly interface helps non-technical users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make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custom reports and dashboards. It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participates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easily with CRM, ERP, and databases, automating data updates. Real-time analytics capabilities allow Superdry to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quickly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regulate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pricing or marketing strategies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founded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on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present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trends. The use of BI-based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evocative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diagnostic, and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prognostic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analytics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consumes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established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effective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in sales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prediction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discount management, and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enlightening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organisational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performance (Srivastava, 2025).</w:t>
      </w:r>
    </w:p>
    <w:p w14:paraId="07F5ECBE" w14:textId="77777777" w:rsidR="00AC679E" w:rsidRDefault="002405BD" w:rsidP="009A5D2E">
      <w:pPr>
        <w:pStyle w:val="Heading2"/>
      </w:pPr>
      <w:bookmarkStart w:id="17" w:name="_Toc223620489"/>
      <w:r>
        <w:t>Reporting Automation</w:t>
      </w:r>
      <w:bookmarkEnd w:id="17"/>
    </w:p>
    <w:p w14:paraId="0087F1DF" w14:textId="21AF740A" w:rsidR="00AC679E" w:rsidRDefault="002405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Automated reporting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finished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Power BI enables Superdry to track daily sales and inventory </w:t>
      </w:r>
      <w:r w:rsidR="00CA068F">
        <w:rPr>
          <w:rFonts w:ascii="Times New Roman" w:eastAsia="Times New Roman" w:hAnsi="Times New Roman" w:cs="Times New Roman"/>
          <w:sz w:val="24"/>
          <w:szCs w:val="24"/>
        </w:rPr>
        <w:t>income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in real-time. Automating reports saves time on manual data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group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and analysis.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Digitisation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automation, and real-time visibility of the supply chain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safeguard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bigger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operational efficiency, inventory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optimisation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and problem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deterrence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Sales forecasting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based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happening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historical data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allows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actual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planning of promotions, staffing, and inventory (Nabil et.al., 2023).‌</w:t>
      </w:r>
    </w:p>
    <w:p w14:paraId="7A569801" w14:textId="77777777" w:rsidR="00AC679E" w:rsidRDefault="002405BD" w:rsidP="009A5D2E">
      <w:pPr>
        <w:pStyle w:val="Heading1"/>
      </w:pPr>
      <w:bookmarkStart w:id="18" w:name="_Toc223620490"/>
      <w:r>
        <w:t>6. Ethical and Data Security Considerations</w:t>
      </w:r>
      <w:bookmarkEnd w:id="18"/>
      <w:r>
        <w:t xml:space="preserve"> </w:t>
      </w:r>
    </w:p>
    <w:p w14:paraId="67124DB5" w14:textId="6D290180" w:rsidR="00AC679E" w:rsidRDefault="002405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Superdry must comply with the GDPR and other legal frameworks when handling customer data to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safeguard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privacy. This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comprises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procurement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clear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agreement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intended for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the use of customer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acquiring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behaviour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for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extrapolative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analytics. It is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significant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remain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transparent with customers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around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the collection, storage and use of data (Li et.al., 2025). Where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essential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data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must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be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anonymised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protect personal privacy and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obey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with the GDPR’s principles of data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minimisation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drive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limitation. In this way, Superdry avoids legal risks and </w:t>
      </w:r>
      <w:proofErr w:type="gramStart"/>
      <w:r w:rsidR="00E44F25">
        <w:rPr>
          <w:rFonts w:ascii="Times New Roman" w:eastAsia="Times New Roman" w:hAnsi="Times New Roman" w:cs="Times New Roman"/>
          <w:sz w:val="24"/>
          <w:szCs w:val="24"/>
        </w:rPr>
        <w:t>rises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customer trust and loyalty.</w:t>
      </w:r>
    </w:p>
    <w:p w14:paraId="443BFAFC" w14:textId="3FA0FEEC" w:rsidR="00AC679E" w:rsidRDefault="002405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Superdry must implement strict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admission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controls and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encoding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protocols to protect sensitive data, such as customer payment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info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and internal business reports. Only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authorised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personnel can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admission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this data,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dropping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the risk of data breaches (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Ijriss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et.al., 2025). The GDPR, which was introduced in May 2018, redefined global data privacy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values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obligatory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organisations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lastRenderedPageBreak/>
        <w:t>safeguard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passable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cybersecurity measures and internal oversight. For Superdry, a Data Protection Officer and a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complete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data security policy are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indispensable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to protect the privacy and legal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obedience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of customer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organisational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data.</w:t>
      </w:r>
    </w:p>
    <w:p w14:paraId="4C187468" w14:textId="77777777" w:rsidR="00AC679E" w:rsidRDefault="002405BD" w:rsidP="009A5D2E">
      <w:pPr>
        <w:pStyle w:val="Heading1"/>
      </w:pPr>
      <w:bookmarkStart w:id="19" w:name="_Toc223620491"/>
      <w:r>
        <w:t>7. Reporting and Dashboard Solutions</w:t>
      </w:r>
      <w:bookmarkEnd w:id="19"/>
      <w:r>
        <w:t xml:space="preserve"> </w:t>
      </w:r>
    </w:p>
    <w:p w14:paraId="613691F8" w14:textId="5A952435" w:rsidR="00AC679E" w:rsidRDefault="002405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Superdry can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influence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BI dashboards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by means of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Power BI and Tableau. Power BI is a highly flexible and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communicating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tool that can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generate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dynamic dashboards to track key KPIs such as sales, customer engagement and inventory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income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Koshti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et.al., 2025). It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delivers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real-time analytics, data visualization and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automatic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reporting, allowing Superdry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analyse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customer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behaviour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marketplace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trends to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optimise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operations. Tableau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remains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 powerful tool for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visualising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multifaceted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datasets and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progressive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analytics. Power BI </w:t>
      </w:r>
      <w:proofErr w:type="gramStart"/>
      <w:r w:rsidR="00E44F25">
        <w:rPr>
          <w:rFonts w:ascii="Times New Roman" w:eastAsia="Times New Roman" w:hAnsi="Times New Roman" w:cs="Times New Roman"/>
          <w:sz w:val="24"/>
          <w:szCs w:val="24"/>
        </w:rPr>
        <w:t>collections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customer data into interactive reports and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eases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informed decision-making through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centralised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intelligence. Superdry is targeting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income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of £350–450m for FY26 and plans to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preserve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mid- to high-single-digit EBITDA margins, with store and e-commerce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development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, rebranding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impression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and marketing ROI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optimisation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playing a key role (Husband, 2025).‌</w:t>
      </w:r>
    </w:p>
    <w:p w14:paraId="058ACF48" w14:textId="77777777" w:rsidR="00AC679E" w:rsidRDefault="002405BD" w:rsidP="009A5D2E">
      <w:pPr>
        <w:pStyle w:val="Heading1"/>
      </w:pPr>
      <w:bookmarkStart w:id="20" w:name="_Toc223620492"/>
      <w:r>
        <w:t>8. Conclusion</w:t>
      </w:r>
      <w:bookmarkEnd w:id="20"/>
      <w:r>
        <w:t xml:space="preserve"> </w:t>
      </w:r>
    </w:p>
    <w:p w14:paraId="393EBE1F" w14:textId="78A79E69" w:rsidR="00AC679E" w:rsidRDefault="002405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In short, Superdry can use Business Intelligence (BI), Data Warehousing (DW), and Data Mining (DM) systems to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meaningfully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advance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business decision-making, operational efficiency, and customer experience. These technologies provide deep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visions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into customer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behaviour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sales trends, and inventory management, which in turn inform strategic decisions.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Prognostic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analytics and data-driven decision-making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determination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enable Superdry to adapt to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quickly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changing customer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requirements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marketplace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conditions. Implementing a cloud-based DW system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determination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simplify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data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addition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gramStart"/>
      <w:r w:rsidR="00E44F25">
        <w:rPr>
          <w:rFonts w:ascii="Times New Roman" w:eastAsia="Times New Roman" w:hAnsi="Times New Roman" w:cs="Times New Roman"/>
          <w:sz w:val="24"/>
          <w:szCs w:val="24"/>
        </w:rPr>
        <w:t>rise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efficiency,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positioning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inventory with actual demand,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growing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efficiency, customer satisfaction, and profitability. Real-time monitoring and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prognostic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analytics using Power BI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determination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strengthen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sales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prediction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and inventory management, and strong data protection,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counting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GDPR, </w:t>
      </w:r>
      <w:r w:rsidR="00E44F25">
        <w:rPr>
          <w:rFonts w:ascii="Times New Roman" w:eastAsia="Times New Roman" w:hAnsi="Times New Roman" w:cs="Times New Roman"/>
          <w:sz w:val="24"/>
          <w:szCs w:val="24"/>
        </w:rPr>
        <w:t>determination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protect customer data.</w:t>
      </w:r>
    </w:p>
    <w:p w14:paraId="3710713F" w14:textId="77777777" w:rsidR="00AC679E" w:rsidRDefault="00AC679E">
      <w:pPr>
        <w:spacing w:before="200"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CD54A64" w14:textId="77777777" w:rsidR="00AC679E" w:rsidRDefault="002405BD">
      <w:pPr>
        <w:spacing w:before="200"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br w:type="page"/>
      </w:r>
    </w:p>
    <w:p w14:paraId="6D93A342" w14:textId="77777777" w:rsidR="00AC679E" w:rsidRDefault="002405BD" w:rsidP="009A5D2E">
      <w:pPr>
        <w:pStyle w:val="Heading1"/>
      </w:pPr>
      <w:bookmarkStart w:id="21" w:name="_Toc223620493"/>
      <w:r>
        <w:lastRenderedPageBreak/>
        <w:t>References</w:t>
      </w:r>
      <w:bookmarkEnd w:id="21"/>
    </w:p>
    <w:p w14:paraId="53EB1F60" w14:textId="77777777" w:rsidR="009A5D2E" w:rsidRDefault="009A5D2E">
      <w:pPr>
        <w:spacing w:before="20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Bosscoderacademy.com. (2025). What is Data Warehousing and Data Mining? |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Bosscoder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Academy. [online] Available at: https://www.bosscoderacademy.com/blog/data-warehousing-and-data-mining.</w:t>
      </w:r>
    </w:p>
    <w:p w14:paraId="7E1F7E36" w14:textId="77777777" w:rsidR="009A5D2E" w:rsidRDefault="009A5D2E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Chen, Y., Li, C. and Wang, H. (2022). Big Data and Predictive Analytics for Business Intelligence: A Bibliographic Study (2000–2021). Forecasting, [online] 4(4), pp.767–786. </w:t>
      </w: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doi:https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://doi.org/10.3390/forecast4040042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1939E3BE" w14:textId="77777777" w:rsidR="009A5D2E" w:rsidRDefault="009A5D2E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corporate.superdry.com. (2025). Our Approach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To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Wages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In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The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Supply Chain - Superdry. [online] Available at: https://corporate.superdry.com/sustainability/reporting-policies/people/our-approach-to-wages-in-the-supply-chain/.</w:t>
      </w:r>
    </w:p>
    <w:p w14:paraId="5CE2A8E4" w14:textId="77777777" w:rsidR="009A5D2E" w:rsidRDefault="009A5D2E">
      <w:pPr>
        <w:spacing w:before="20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Famoti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O., Ezechi, O.N.,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Ewim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C.P.M., Eloho, O., Muyiwa‑Ajayi, T.P., Igwe, A.N.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Ihechere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, A., 2025. “Operational Efficiency in Retail: Using Data Analytics to Optimize Inventory and Supply Chain Management”, International Journal of Scientific Research in Computer Science, Engineering and Information Technology, 11(1), pp.1483–1494.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doi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: https://doi.org/10.32628/CSEIT251112173. Available at: https://ijsrcseit.com/index.php/home/article/view/CSEIT251112173 (Accessed 5 Mar 2026). (ijsrcseit.com)</w:t>
      </w:r>
    </w:p>
    <w:p w14:paraId="7E762DDB" w14:textId="77777777" w:rsidR="009A5D2E" w:rsidRDefault="009A5D2E">
      <w:pPr>
        <w:spacing w:before="20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GeeksforGeeks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(2017). Data Warehousing. [online]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GeeksforGeeks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. Available at: https://www.geeksforgeeks.org/big-data/data-warehousing/.</w:t>
      </w:r>
    </w:p>
    <w:p w14:paraId="16CA3481" w14:textId="77777777" w:rsidR="009A5D2E" w:rsidRDefault="009A5D2E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Husband, L. (2025). Superdry returns to profit in FY25 as cost savings come to fruition. [online] Just Style. Available at: https://www.just-style.com/news/superdry-returns-to-profit-in-fy25-as-cost-savings-come-to-fruition/?cf-view [Accessed 5 Mar. 2026].</w:t>
      </w:r>
    </w:p>
    <w:p w14:paraId="664CFBC6" w14:textId="77777777" w:rsidR="009A5D2E" w:rsidRDefault="009A5D2E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Ijriss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Volume Ix Issue (2025). Impact of General Data Protection Regulation (GDPR) on Data Breach Response Strategies (DBRS). [online] | Special Issue on Management. Available at: https://rsisinternational.org/journals/ijriss/Digital-Library/volume-9-issue-14/760-784.pdf [Accessed 5 Mar. 2026].</w:t>
      </w:r>
    </w:p>
    <w:p w14:paraId="3263BCA3" w14:textId="77777777" w:rsidR="009A5D2E" w:rsidRDefault="009A5D2E">
      <w:pPr>
        <w:spacing w:before="20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Insight Software (2022). Top 5 Predictive Analytics Models and Algorithms. [online]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insightsoftware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. Available at: https://insightsoftware.com/blog/top-5-predictive-analytics-models-and-algorithms/.</w:t>
      </w:r>
    </w:p>
    <w:p w14:paraId="37488DA9" w14:textId="77777777" w:rsidR="009A5D2E" w:rsidRDefault="009A5D2E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Jatin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Koshti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(2025). How Power BI in Retail Elevates Customer Experience? [online] X-Byte Analytics. Available at: https://www.xbyteanalytics.com/how-power-bi-in-retail-elevates-customer-experience/ [Accessed 5 Mar. 2026].</w:t>
      </w:r>
    </w:p>
    <w:p w14:paraId="756F5B11" w14:textId="77777777" w:rsidR="009A5D2E" w:rsidRDefault="009A5D2E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Li, W., Li, Z., Li, W., Zhang, Y. and Li, A. (2025). Mapping the empirical literature of the GDPR’s (In-)effectiveness: A systematic review. Computer Law &amp; Security Review, [online] 57, p.106129. </w:t>
      </w: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doi:https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://doi.org/10.1016/j.clsr.2025.106129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4C0590BD" w14:textId="77777777" w:rsidR="009A5D2E" w:rsidRDefault="009A5D2E">
      <w:pPr>
        <w:spacing w:before="20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Madanchian, M. (2024). The Impact of Artificial Intelligence Marketing on e-commerce Sales. Systems, 12(10), p.429. </w:t>
      </w: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doi:https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://doi.org/10.3390/systems12100429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0C8E7C5A" w14:textId="77777777" w:rsidR="009A5D2E" w:rsidRDefault="009A5D2E">
      <w:pPr>
        <w:spacing w:before="20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Palak Vaish and Gupta, P. (2020). Business Intelligence: Escalation of Data Warehousing and Data Mining for Effective Decision Making. [online] Available at: https://www.researchgate.net/publication/348900478_Business_Intelligence_Escalation_of_Data_Warehousing_and_Data_Mining_for_effective_Decision_Making.</w:t>
      </w:r>
    </w:p>
    <w:p w14:paraId="51454C6E" w14:textId="77777777" w:rsidR="009A5D2E" w:rsidRDefault="009A5D2E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Nabil, D.H., Rahman,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Md.H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., Rahman, A. and Menezes, B.C. (2023). Managing supply chain performance using a real time Microsoft Power BI dashboard by action design research (ADR) method. Cogent engineering, 10(2). </w:t>
      </w: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doi:https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://doi.org/10.1080/23311916.2023.2257924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6A91F997" w14:textId="77777777" w:rsidR="009A5D2E" w:rsidRDefault="009A5D2E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Partner (2024). Superdry Reinvents Heritage: In conversation with CEO Julian Dunkerton. [online]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FashionUnited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. Available at: https://fashionunited.uk/news/fashion/superdry-reinvents-heritage-in-conversation-with-ceo-julian-dunkerton/2024112578745.</w:t>
      </w:r>
    </w:p>
    <w:p w14:paraId="7D2109B1" w14:textId="77777777" w:rsidR="009A5D2E" w:rsidRDefault="009A5D2E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PILLI SRI DURGA, J. A. PAULSON and MARRI SRINIVASAREDDY (2023). Customer segmentation analysis for improving sales using clustering. International Journal of Science and Research Archive, [online] 9(2), pp.708–715. </w:t>
      </w: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doi:https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://doi.org/10.30574/ijsra.2023.9.2.0663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777DC475" w14:textId="77777777" w:rsidR="009A5D2E" w:rsidRDefault="009A5D2E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ResearchGate, A. (2025). Study and Analysis of K-Means Clustering Algorithm Using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Rapidminer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A CASE STUDY ON STUDENTS’ EXAM RESULT. ResearchGate, [online] 4(12), pp.2248–962200. Available at: </w:t>
      </w: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>https://www.researchgate.net/publication/315685447_Study_and_Analysis_of_K-Means_Clustering_Algorithm_Using_Rapidminer_A_CASE_STUDY_ON_STUDENTS [Accessed 5 Mar. 2026].</w:t>
      </w:r>
    </w:p>
    <w:p w14:paraId="2EE6B1C5" w14:textId="77777777" w:rsidR="009A5D2E" w:rsidRDefault="009A5D2E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Rpubs.com. (2025).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RPubs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 xml:space="preserve"> - Association Rule Mining on Online Retail Dataset: Identifying Key Product Pairings for Enhanced Business Strategies. [online] Available at: https://rpubs.com/Mjay/1264285.</w:t>
      </w:r>
    </w:p>
    <w:p w14:paraId="633E9061" w14:textId="77777777" w:rsidR="009A5D2E" w:rsidRDefault="009A5D2E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Srivastava, S. (2025). Enhancing Organizational Performance and Strategic Forecasting Through Business Intelligence Technique. Journal of recent Innovation in computer science technology, 2(4), pp.1–14. </w:t>
      </w: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doi:https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://doi.org/10.70454/jricst.2025.20401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7235D3D1" w14:textId="77777777" w:rsidR="009A5D2E" w:rsidRDefault="009A5D2E">
      <w:pPr>
        <w:spacing w:before="20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www.technavio.com, T. (2025). Cloud Computing Market Size, Share &amp; Growth [2023 Global Report]. [online] www.technavio.com. Available at: https://www.technavio.com/report/cloud-computing-market-size-industry-analysis.</w:t>
      </w:r>
    </w:p>
    <w:p w14:paraId="160BFF6D" w14:textId="77777777" w:rsidR="00AC679E" w:rsidRDefault="00AC679E">
      <w:pPr>
        <w:spacing w:before="20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sectPr w:rsidR="00AC679E" w:rsidSect="009A5D2E">
      <w:footerReference w:type="default" r:id="rId8"/>
      <w:pgSz w:w="12240" w:h="15840"/>
      <w:pgMar w:top="1440" w:right="1440" w:bottom="1440" w:left="1440" w:header="720" w:footer="720" w:gutter="0"/>
      <w:pgNumType w:start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4495CF" w14:textId="77777777" w:rsidR="00B7356A" w:rsidRDefault="00B7356A" w:rsidP="009A5D2E">
      <w:pPr>
        <w:spacing w:line="240" w:lineRule="auto"/>
      </w:pPr>
      <w:r>
        <w:separator/>
      </w:r>
    </w:p>
  </w:endnote>
  <w:endnote w:type="continuationSeparator" w:id="0">
    <w:p w14:paraId="2DE1949D" w14:textId="77777777" w:rsidR="00B7356A" w:rsidRDefault="00B7356A" w:rsidP="009A5D2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79137B31-2E2B-4685-A042-9E8DB151CC50}"/>
  </w:font>
  <w:font w:name="Roboto">
    <w:charset w:val="00"/>
    <w:family w:val="auto"/>
    <w:pitch w:val="variable"/>
    <w:sig w:usb0="E0000AFF" w:usb1="5000217F" w:usb2="00000021" w:usb3="00000000" w:csb0="0000019F" w:csb1="00000000"/>
    <w:embedRegular r:id="rId2" w:fontKey="{D12B914B-F561-411E-8260-5A0FB859B5BF}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3" w:fontKey="{2BE91814-A2F5-446A-A387-505BBC0F8924}"/>
    <w:embedBold r:id="rId4" w:fontKey="{5B26D119-A336-498B-920C-31A5F19AF422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5" w:fontKey="{7D50B84E-130D-409F-BE55-A15A9306B3B5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154584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0C3F99B" w14:textId="77777777" w:rsidR="009A5D2E" w:rsidRDefault="009A5D2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B2197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494B7764" w14:textId="77777777" w:rsidR="009A5D2E" w:rsidRDefault="009A5D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A4E667" w14:textId="77777777" w:rsidR="00B7356A" w:rsidRDefault="00B7356A" w:rsidP="009A5D2E">
      <w:pPr>
        <w:spacing w:line="240" w:lineRule="auto"/>
      </w:pPr>
      <w:r>
        <w:separator/>
      </w:r>
    </w:p>
  </w:footnote>
  <w:footnote w:type="continuationSeparator" w:id="0">
    <w:p w14:paraId="2B935877" w14:textId="77777777" w:rsidR="00B7356A" w:rsidRDefault="00B7356A" w:rsidP="009A5D2E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C679E"/>
    <w:rsid w:val="002405BD"/>
    <w:rsid w:val="00343AC6"/>
    <w:rsid w:val="00383139"/>
    <w:rsid w:val="0045701F"/>
    <w:rsid w:val="004841A4"/>
    <w:rsid w:val="009A5D2E"/>
    <w:rsid w:val="00AC679E"/>
    <w:rsid w:val="00B7356A"/>
    <w:rsid w:val="00BB2849"/>
    <w:rsid w:val="00CA068F"/>
    <w:rsid w:val="00E44F25"/>
    <w:rsid w:val="00EB2197"/>
    <w:rsid w:val="00EC7275"/>
    <w:rsid w:val="00F060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062E46"/>
  <w15:docId w15:val="{19EF2C50-6325-4752-B4AA-20F063A8CF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rsid w:val="009A5D2E"/>
    <w:pPr>
      <w:keepNext/>
      <w:keepLines/>
      <w:spacing w:before="400" w:after="120"/>
      <w:jc w:val="both"/>
      <w:outlineLvl w:val="0"/>
    </w:pPr>
    <w:rPr>
      <w:rFonts w:ascii="Times New Roman" w:hAnsi="Times New Roman"/>
      <w:b/>
      <w:color w:val="000000" w:themeColor="text1"/>
      <w:sz w:val="24"/>
      <w:szCs w:val="40"/>
    </w:rPr>
  </w:style>
  <w:style w:type="paragraph" w:styleId="Heading2">
    <w:name w:val="heading 2"/>
    <w:basedOn w:val="Normal"/>
    <w:next w:val="Normal"/>
    <w:rsid w:val="009A5D2E"/>
    <w:pPr>
      <w:keepNext/>
      <w:keepLines/>
      <w:spacing w:before="360" w:after="120"/>
      <w:jc w:val="both"/>
      <w:outlineLvl w:val="1"/>
    </w:pPr>
    <w:rPr>
      <w:rFonts w:ascii="Times New Roman" w:hAnsi="Times New Roman"/>
      <w:b/>
      <w:color w:val="000000" w:themeColor="text1"/>
      <w:sz w:val="24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paragraph" w:styleId="TOCHeading">
    <w:name w:val="TOC Heading"/>
    <w:basedOn w:val="Heading1"/>
    <w:next w:val="Normal"/>
    <w:uiPriority w:val="39"/>
    <w:unhideWhenUsed/>
    <w:qFormat/>
    <w:rsid w:val="009A5D2E"/>
    <w:p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A5D2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A5D2E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9A5D2E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A5D2E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5D2E"/>
  </w:style>
  <w:style w:type="paragraph" w:styleId="Footer">
    <w:name w:val="footer"/>
    <w:basedOn w:val="Normal"/>
    <w:link w:val="FooterChar"/>
    <w:uiPriority w:val="99"/>
    <w:unhideWhenUsed/>
    <w:rsid w:val="009A5D2E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5D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83FFBC0-DD90-4D29-8A78-B2FB1BDBC0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3307</Words>
  <Characters>18855</Characters>
  <Application>Microsoft Office Word</Application>
  <DocSecurity>0</DocSecurity>
  <Lines>157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Ionut-Claudiu Dolca (2217133)</cp:lastModifiedBy>
  <cp:revision>6</cp:revision>
  <dcterms:created xsi:type="dcterms:W3CDTF">2026-03-05T10:54:00Z</dcterms:created>
  <dcterms:modified xsi:type="dcterms:W3CDTF">2026-04-07T10:05:00Z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11a5aa15-312a-456a-887b-5da9d5e30760</vt:lpwstr>
  </property>
</Properties>
</file>