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36475489"/>
        <w:docPartObj>
          <w:docPartGallery w:val="Cover Pages"/>
          <w:docPartUnique/>
        </w:docPartObj>
      </w:sdtPr>
      <w:sdtEndPr>
        <w:rPr>
          <w:rFonts w:ascii="Times New Roman" w:hAnsi="Times New Roman" w:cs="Times New Roman"/>
          <w:sz w:val="24"/>
          <w:szCs w:val="24"/>
        </w:rPr>
      </w:sdtEndPr>
      <w:sdtContent>
        <w:p w14:paraId="3C5AB8D3" w14:textId="77777777" w:rsidR="007D143C" w:rsidRPr="00ED08FB" w:rsidRDefault="007D143C" w:rsidP="007D143C">
          <w:pPr>
            <w:jc w:val="center"/>
            <w:rPr>
              <w:rFonts w:asciiTheme="minorBidi" w:hAnsiTheme="minorBidi"/>
              <w:sz w:val="40"/>
              <w:szCs w:val="40"/>
            </w:rPr>
          </w:pPr>
        </w:p>
        <w:p w14:paraId="36EADD50" w14:textId="46F9976C" w:rsidR="007D143C" w:rsidRPr="00ED08FB" w:rsidRDefault="007D143C" w:rsidP="007D143C">
          <w:pPr>
            <w:jc w:val="center"/>
            <w:rPr>
              <w:rFonts w:asciiTheme="minorBidi" w:hAnsiTheme="minorBidi"/>
              <w:sz w:val="40"/>
              <w:szCs w:val="40"/>
            </w:rPr>
          </w:pPr>
          <w:r w:rsidRPr="00ED08FB">
            <w:rPr>
              <w:rFonts w:asciiTheme="minorBidi" w:hAnsiTheme="minorBidi"/>
              <w:sz w:val="40"/>
              <w:szCs w:val="40"/>
            </w:rPr>
            <w:t>Chapter 1 &amp; 2</w:t>
          </w:r>
        </w:p>
        <w:p w14:paraId="2E8B555F" w14:textId="0BF59EAE" w:rsidR="007D143C" w:rsidRPr="007D143C" w:rsidRDefault="007D143C" w:rsidP="007D143C">
          <w:pPr>
            <w:jc w:val="center"/>
            <w:rPr>
              <w:rFonts w:asciiTheme="minorBidi" w:hAnsiTheme="minorBidi"/>
              <w:b/>
              <w:bCs/>
              <w:i/>
              <w:sz w:val="40"/>
              <w:szCs w:val="40"/>
            </w:rPr>
          </w:pPr>
          <w:r w:rsidRPr="007D143C">
            <w:rPr>
              <w:rFonts w:asciiTheme="minorBidi" w:hAnsiTheme="minorBidi"/>
              <w:b/>
              <w:bCs/>
              <w:i/>
              <w:sz w:val="40"/>
              <w:szCs w:val="40"/>
            </w:rPr>
            <w:t>project title:</w:t>
          </w:r>
        </w:p>
        <w:p w14:paraId="3256D7CF" w14:textId="77777777" w:rsidR="007D143C" w:rsidRPr="007D143C" w:rsidRDefault="007D143C" w:rsidP="007D143C">
          <w:pPr>
            <w:jc w:val="center"/>
            <w:rPr>
              <w:rFonts w:asciiTheme="minorBidi" w:hAnsiTheme="minorBidi"/>
              <w:sz w:val="40"/>
              <w:szCs w:val="40"/>
            </w:rPr>
          </w:pPr>
          <w:r w:rsidRPr="007D143C">
            <w:rPr>
              <w:rFonts w:asciiTheme="minorBidi" w:hAnsiTheme="minorBidi"/>
              <w:sz w:val="40"/>
              <w:szCs w:val="40"/>
            </w:rPr>
            <w:t>The Impact of Social Support on the Mental Health of Older Adults in Long-Term Care Facilities</w:t>
          </w:r>
        </w:p>
        <w:p w14:paraId="06875541" w14:textId="77777777" w:rsidR="007D143C" w:rsidRPr="00ED08FB" w:rsidRDefault="007D143C" w:rsidP="007D143C">
          <w:pPr>
            <w:jc w:val="center"/>
            <w:rPr>
              <w:rFonts w:asciiTheme="minorBidi" w:hAnsiTheme="minorBidi"/>
              <w:sz w:val="40"/>
              <w:szCs w:val="40"/>
            </w:rPr>
          </w:pPr>
        </w:p>
        <w:p w14:paraId="3ABE1C83" w14:textId="77777777" w:rsidR="007D143C" w:rsidRPr="00ED08FB" w:rsidRDefault="007D143C" w:rsidP="007D143C">
          <w:pPr>
            <w:jc w:val="center"/>
            <w:rPr>
              <w:rFonts w:asciiTheme="minorBidi" w:hAnsiTheme="minorBidi"/>
              <w:b/>
              <w:bCs/>
              <w:sz w:val="40"/>
              <w:szCs w:val="40"/>
            </w:rPr>
          </w:pPr>
        </w:p>
        <w:p w14:paraId="2638B757" w14:textId="77777777" w:rsidR="007D143C" w:rsidRPr="00ED08FB" w:rsidRDefault="007D143C" w:rsidP="007D143C">
          <w:pPr>
            <w:jc w:val="center"/>
            <w:rPr>
              <w:rFonts w:asciiTheme="minorBidi" w:hAnsiTheme="minorBidi"/>
              <w:b/>
              <w:bCs/>
              <w:sz w:val="40"/>
              <w:szCs w:val="40"/>
            </w:rPr>
          </w:pPr>
        </w:p>
        <w:p w14:paraId="6D626955" w14:textId="2A58A82E" w:rsidR="007D143C" w:rsidRPr="00ED08FB" w:rsidRDefault="007D143C" w:rsidP="007D143C">
          <w:pPr>
            <w:jc w:val="center"/>
            <w:rPr>
              <w:rFonts w:asciiTheme="minorBidi" w:hAnsiTheme="minorBidi"/>
              <w:sz w:val="40"/>
              <w:szCs w:val="40"/>
            </w:rPr>
          </w:pPr>
          <w:r w:rsidRPr="00ED08FB">
            <w:rPr>
              <w:rFonts w:asciiTheme="minorBidi" w:hAnsiTheme="minorBidi"/>
              <w:b/>
              <w:bCs/>
              <w:sz w:val="40"/>
              <w:szCs w:val="40"/>
            </w:rPr>
            <w:t>Student ID</w:t>
          </w:r>
          <w:r w:rsidRPr="00ED08FB">
            <w:rPr>
              <w:rFonts w:asciiTheme="minorBidi" w:hAnsiTheme="minorBidi"/>
              <w:sz w:val="40"/>
              <w:szCs w:val="40"/>
            </w:rPr>
            <w:t>: 2315822</w:t>
          </w:r>
        </w:p>
        <w:p w14:paraId="736FE2D4" w14:textId="77777777" w:rsidR="007D143C" w:rsidRPr="007D143C" w:rsidRDefault="007D143C" w:rsidP="007D143C">
          <w:pPr>
            <w:jc w:val="center"/>
            <w:rPr>
              <w:rFonts w:asciiTheme="minorBidi" w:hAnsiTheme="minorBidi"/>
              <w:sz w:val="40"/>
              <w:szCs w:val="40"/>
            </w:rPr>
          </w:pPr>
          <w:r w:rsidRPr="007D143C">
            <w:rPr>
              <w:rFonts w:asciiTheme="minorBidi" w:hAnsiTheme="minorBidi"/>
              <w:b/>
              <w:bCs/>
              <w:sz w:val="40"/>
              <w:szCs w:val="40"/>
            </w:rPr>
            <w:t>Student Name</w:t>
          </w:r>
          <w:r w:rsidRPr="007D143C">
            <w:rPr>
              <w:rFonts w:asciiTheme="minorBidi" w:hAnsiTheme="minorBidi"/>
              <w:sz w:val="40"/>
              <w:szCs w:val="40"/>
            </w:rPr>
            <w:t xml:space="preserve">: </w:t>
          </w:r>
          <w:proofErr w:type="spellStart"/>
          <w:r w:rsidRPr="007D143C">
            <w:rPr>
              <w:rFonts w:asciiTheme="minorBidi" w:hAnsiTheme="minorBidi"/>
              <w:sz w:val="40"/>
              <w:szCs w:val="40"/>
            </w:rPr>
            <w:t>Sehrish</w:t>
          </w:r>
          <w:proofErr w:type="spellEnd"/>
          <w:r w:rsidRPr="007D143C">
            <w:rPr>
              <w:rFonts w:asciiTheme="minorBidi" w:hAnsiTheme="minorBidi"/>
              <w:sz w:val="40"/>
              <w:szCs w:val="40"/>
            </w:rPr>
            <w:t xml:space="preserve"> </w:t>
          </w:r>
          <w:proofErr w:type="spellStart"/>
          <w:r w:rsidRPr="007D143C">
            <w:rPr>
              <w:rFonts w:asciiTheme="minorBidi" w:hAnsiTheme="minorBidi"/>
              <w:sz w:val="40"/>
              <w:szCs w:val="40"/>
            </w:rPr>
            <w:t>kayani</w:t>
          </w:r>
          <w:proofErr w:type="spellEnd"/>
        </w:p>
        <w:p w14:paraId="576D2D24" w14:textId="265DD016" w:rsidR="007D143C" w:rsidRPr="00ED08FB" w:rsidRDefault="007D143C"/>
        <w:p w14:paraId="2CEC5B92" w14:textId="3834AF07" w:rsidR="007D143C" w:rsidRPr="00ED08FB" w:rsidRDefault="007D143C">
          <w:pPr>
            <w:spacing w:line="259" w:lineRule="auto"/>
            <w:jc w:val="left"/>
            <w:rPr>
              <w:rFonts w:ascii="Times New Roman" w:eastAsia="Calibri Light" w:hAnsi="Times New Roman" w:cs="Times New Roman"/>
              <w:b/>
              <w:kern w:val="0"/>
              <w:sz w:val="24"/>
              <w:szCs w:val="24"/>
              <w:lang w:eastAsia="en-GB" w:bidi="en-GB"/>
              <w14:ligatures w14:val="none"/>
            </w:rPr>
          </w:pPr>
          <w:r w:rsidRPr="00ED08FB">
            <w:rPr>
              <w:rFonts w:ascii="Times New Roman" w:hAnsi="Times New Roman" w:cs="Times New Roman"/>
              <w:sz w:val="24"/>
              <w:szCs w:val="24"/>
            </w:rPr>
            <w:br w:type="page"/>
          </w:r>
        </w:p>
      </w:sdtContent>
    </w:sdt>
    <w:p w14:paraId="69941E5D" w14:textId="3E03A561" w:rsidR="00EF6341" w:rsidRPr="00B02508" w:rsidRDefault="00730C3C" w:rsidP="00EA5A90">
      <w:pPr>
        <w:pStyle w:val="Heading1"/>
        <w:numPr>
          <w:ilvl w:val="0"/>
          <w:numId w:val="2"/>
        </w:numPr>
        <w:spacing w:before="240" w:after="240" w:line="360" w:lineRule="auto"/>
        <w:rPr>
          <w:rFonts w:asciiTheme="minorBidi" w:hAnsiTheme="minorBidi" w:cstheme="minorBidi"/>
          <w:b w:val="0"/>
          <w:sz w:val="24"/>
          <w:szCs w:val="24"/>
        </w:rPr>
      </w:pPr>
      <w:r w:rsidRPr="00B02508">
        <w:rPr>
          <w:rFonts w:asciiTheme="minorBidi" w:hAnsiTheme="minorBidi" w:cstheme="minorBidi"/>
          <w:sz w:val="24"/>
          <w:szCs w:val="24"/>
        </w:rPr>
        <w:lastRenderedPageBreak/>
        <w:t>CHAPTER 1: Introduction</w:t>
      </w:r>
    </w:p>
    <w:p w14:paraId="7EB24CC9" w14:textId="552B3BFA" w:rsidR="00BD2909" w:rsidRPr="00B02508" w:rsidRDefault="00BD2909" w:rsidP="00EA5A90">
      <w:pPr>
        <w:pStyle w:val="Heading2"/>
        <w:numPr>
          <w:ilvl w:val="1"/>
          <w:numId w:val="3"/>
        </w:numPr>
        <w:spacing w:before="240" w:after="240"/>
        <w:jc w:val="left"/>
        <w:rPr>
          <w:rFonts w:asciiTheme="minorBidi" w:hAnsiTheme="minorBidi" w:cstheme="minorBidi"/>
          <w:b/>
          <w:bCs/>
          <w:color w:val="auto"/>
          <w:szCs w:val="24"/>
        </w:rPr>
      </w:pPr>
      <w:r w:rsidRPr="00B02508">
        <w:rPr>
          <w:rStyle w:val="normaltextrun"/>
          <w:rFonts w:asciiTheme="minorBidi" w:hAnsiTheme="minorBidi" w:cstheme="minorBidi"/>
          <w:b/>
          <w:bCs/>
          <w:color w:val="auto"/>
          <w:szCs w:val="24"/>
        </w:rPr>
        <w:t>Introduction</w:t>
      </w:r>
    </w:p>
    <w:p w14:paraId="2CEC2DDB" w14:textId="64D60048" w:rsidR="00B3504F" w:rsidRPr="00B02508" w:rsidRDefault="00A422F9" w:rsidP="00195C3C">
      <w:pPr>
        <w:spacing w:before="240" w:after="240"/>
        <w:jc w:val="left"/>
        <w:rPr>
          <w:rFonts w:asciiTheme="minorBidi" w:hAnsiTheme="minorBidi"/>
          <w:sz w:val="24"/>
          <w:szCs w:val="24"/>
        </w:rPr>
      </w:pPr>
      <w:r w:rsidRPr="00B02508">
        <w:rPr>
          <w:rFonts w:asciiTheme="minorBidi" w:hAnsiTheme="minorBidi"/>
          <w:sz w:val="24"/>
          <w:szCs w:val="24"/>
        </w:rPr>
        <w:t xml:space="preserve">The psychological health of the aged has become a </w:t>
      </w:r>
      <w:r w:rsidR="003B5877" w:rsidRPr="00B02508">
        <w:rPr>
          <w:rFonts w:asciiTheme="minorBidi" w:hAnsiTheme="minorBidi"/>
          <w:sz w:val="24"/>
          <w:szCs w:val="24"/>
        </w:rPr>
        <w:t>prevalent</w:t>
      </w:r>
      <w:r w:rsidRPr="00B02508">
        <w:rPr>
          <w:rFonts w:asciiTheme="minorBidi" w:hAnsiTheme="minorBidi"/>
          <w:sz w:val="24"/>
          <w:szCs w:val="24"/>
        </w:rPr>
        <w:t xml:space="preserve"> world health issue, especially in long-term care homes (LTCFs) where people have been found to be more susceptible to psychological traumas</w:t>
      </w:r>
      <w:r w:rsidR="003D41D0" w:rsidRPr="00B02508">
        <w:rPr>
          <w:rFonts w:asciiTheme="minorBidi" w:hAnsiTheme="minorBidi"/>
          <w:sz w:val="24"/>
          <w:szCs w:val="24"/>
        </w:rPr>
        <w:t xml:space="preserve"> (Cohen et al., 2024)</w:t>
      </w:r>
      <w:r w:rsidRPr="00B02508">
        <w:rPr>
          <w:rFonts w:asciiTheme="minorBidi" w:hAnsiTheme="minorBidi"/>
          <w:sz w:val="24"/>
          <w:szCs w:val="24"/>
        </w:rPr>
        <w:t xml:space="preserve">. </w:t>
      </w:r>
      <w:r w:rsidR="008A79DC" w:rsidRPr="00B02508">
        <w:rPr>
          <w:rFonts w:asciiTheme="minorBidi" w:hAnsiTheme="minorBidi"/>
          <w:sz w:val="24"/>
          <w:szCs w:val="24"/>
        </w:rPr>
        <w:t>I</w:t>
      </w:r>
      <w:r w:rsidRPr="00B02508">
        <w:rPr>
          <w:rFonts w:asciiTheme="minorBidi" w:hAnsiTheme="minorBidi"/>
          <w:sz w:val="24"/>
          <w:szCs w:val="24"/>
        </w:rPr>
        <w:t>n adults that are 60 years old and older, a mental disorder is experienced by about 14</w:t>
      </w:r>
      <w:r w:rsidR="005D1DE2" w:rsidRPr="00B02508">
        <w:rPr>
          <w:rFonts w:asciiTheme="minorBidi" w:hAnsiTheme="minorBidi"/>
          <w:sz w:val="24"/>
          <w:szCs w:val="24"/>
        </w:rPr>
        <w:t xml:space="preserve">% </w:t>
      </w:r>
      <w:r w:rsidRPr="00B02508">
        <w:rPr>
          <w:rFonts w:asciiTheme="minorBidi" w:hAnsiTheme="minorBidi"/>
          <w:sz w:val="24"/>
          <w:szCs w:val="24"/>
        </w:rPr>
        <w:t>of people, with depression and anxiety being the most common</w:t>
      </w:r>
      <w:r w:rsidR="00A356CA" w:rsidRPr="00B02508">
        <w:rPr>
          <w:rFonts w:asciiTheme="minorBidi" w:hAnsiTheme="minorBidi"/>
          <w:sz w:val="24"/>
          <w:szCs w:val="24"/>
        </w:rPr>
        <w:t xml:space="preserve"> (World Health Organization, 2023)</w:t>
      </w:r>
      <w:r w:rsidRPr="00B02508">
        <w:rPr>
          <w:rFonts w:asciiTheme="minorBidi" w:hAnsiTheme="minorBidi"/>
          <w:sz w:val="24"/>
          <w:szCs w:val="24"/>
        </w:rPr>
        <w:t>. Mental health may be considered as a state of psychological and emotional calmness that helps an individual to be in a position to handle the daily stresses of life whereas, social support is a term that is used to describe the emotional, information and practical help that is given by social networks like family, peer and care givers. Poor mental health outcomes are closely related to loneliness and isolation, which are the key contributors to poor mental health in LTCFs due to lack of family contact, loss of independence and institutional settings that act as significant contributors</w:t>
      </w:r>
      <w:r w:rsidR="00C179F9" w:rsidRPr="00B02508">
        <w:rPr>
          <w:rFonts w:asciiTheme="minorBidi" w:hAnsiTheme="minorBidi"/>
          <w:sz w:val="24"/>
          <w:szCs w:val="24"/>
        </w:rPr>
        <w:t xml:space="preserve"> (Li et al., 2025)</w:t>
      </w:r>
      <w:r w:rsidRPr="00B02508">
        <w:rPr>
          <w:rFonts w:asciiTheme="minorBidi" w:hAnsiTheme="minorBidi"/>
          <w:sz w:val="24"/>
          <w:szCs w:val="24"/>
        </w:rPr>
        <w:t>.</w:t>
      </w:r>
    </w:p>
    <w:p w14:paraId="18072CD8" w14:textId="54A083C6" w:rsidR="00BD2909" w:rsidRPr="00B02508" w:rsidRDefault="00A422F9" w:rsidP="00195C3C">
      <w:pPr>
        <w:spacing w:before="240" w:after="240"/>
        <w:jc w:val="left"/>
        <w:rPr>
          <w:rFonts w:asciiTheme="minorBidi" w:hAnsiTheme="minorBidi"/>
          <w:sz w:val="24"/>
          <w:szCs w:val="24"/>
        </w:rPr>
      </w:pPr>
      <w:r w:rsidRPr="00B02508">
        <w:rPr>
          <w:rFonts w:asciiTheme="minorBidi" w:hAnsiTheme="minorBidi"/>
          <w:sz w:val="24"/>
          <w:szCs w:val="24"/>
        </w:rPr>
        <w:t xml:space="preserve">The proposed dissertation will explore how social support influences the mental well-being of elderly people in long-term homes. In particular, it tries to examine the effect of various types of support on depression, anxiety, and emotional well-being. The research will serve the purpose of making an impact in the field of health and social care by giving evidence-based information that will improve practice of person-centred care, advance the practice of policy and practice implementation and improve the quality of life of the older adults in institutions. </w:t>
      </w:r>
      <w:r w:rsidR="00BD2909" w:rsidRPr="00B02508">
        <w:rPr>
          <w:rStyle w:val="eop"/>
          <w:rFonts w:asciiTheme="minorBidi" w:hAnsiTheme="minorBidi"/>
          <w:sz w:val="24"/>
          <w:szCs w:val="24"/>
        </w:rPr>
        <w:t> </w:t>
      </w:r>
    </w:p>
    <w:p w14:paraId="66501BF4" w14:textId="3DF36DA2" w:rsidR="00BD2909" w:rsidRPr="00B02508" w:rsidRDefault="00BD2909" w:rsidP="00EA5A90">
      <w:pPr>
        <w:pStyle w:val="Heading2"/>
        <w:numPr>
          <w:ilvl w:val="1"/>
          <w:numId w:val="3"/>
        </w:numPr>
        <w:spacing w:before="240" w:after="240"/>
        <w:jc w:val="left"/>
        <w:rPr>
          <w:rFonts w:asciiTheme="minorBidi" w:hAnsiTheme="minorBidi" w:cstheme="minorBidi"/>
          <w:b/>
          <w:bCs/>
          <w:color w:val="auto"/>
          <w:szCs w:val="24"/>
        </w:rPr>
      </w:pPr>
      <w:r w:rsidRPr="00B02508">
        <w:rPr>
          <w:rStyle w:val="normaltextrun"/>
          <w:rFonts w:asciiTheme="minorBidi" w:hAnsiTheme="minorBidi" w:cstheme="minorBidi"/>
          <w:b/>
          <w:bCs/>
          <w:color w:val="auto"/>
          <w:szCs w:val="24"/>
        </w:rPr>
        <w:t>Definitions and Terminology</w:t>
      </w:r>
    </w:p>
    <w:p w14:paraId="63FFEBD1" w14:textId="7FD7BD2B" w:rsidR="00653158" w:rsidRPr="00B02508" w:rsidRDefault="00CF3F8C" w:rsidP="00195C3C">
      <w:pPr>
        <w:spacing w:before="240" w:after="240"/>
        <w:jc w:val="left"/>
        <w:rPr>
          <w:rFonts w:asciiTheme="minorBidi" w:hAnsiTheme="minorBidi"/>
          <w:sz w:val="24"/>
          <w:szCs w:val="24"/>
        </w:rPr>
      </w:pPr>
      <w:r w:rsidRPr="00B02508">
        <w:rPr>
          <w:rFonts w:asciiTheme="minorBidi" w:hAnsiTheme="minorBidi"/>
          <w:sz w:val="24"/>
          <w:szCs w:val="24"/>
        </w:rPr>
        <w:t>To make sense of this study, it is important to have an understanding of important terminology. Social support is considered to be the emotional, informational, and practical support that individuals are accorded by the social networks such as family, friends, and caregivers</w:t>
      </w:r>
      <w:r w:rsidR="00881BFD" w:rsidRPr="00B02508">
        <w:rPr>
          <w:rFonts w:asciiTheme="minorBidi" w:eastAsia="Times New Roman" w:hAnsiTheme="minorBidi"/>
          <w:kern w:val="0"/>
          <w:sz w:val="24"/>
          <w:szCs w:val="24"/>
          <w:lang w:eastAsia="en-US"/>
          <w14:ligatures w14:val="none"/>
        </w:rPr>
        <w:t xml:space="preserve"> </w:t>
      </w:r>
      <w:r w:rsidR="00881BFD" w:rsidRPr="00B02508">
        <w:rPr>
          <w:rFonts w:asciiTheme="minorBidi" w:hAnsiTheme="minorBidi"/>
          <w:sz w:val="24"/>
          <w:szCs w:val="24"/>
        </w:rPr>
        <w:t>(Drageset, 2021)</w:t>
      </w:r>
      <w:r w:rsidRPr="00B02508">
        <w:rPr>
          <w:rFonts w:asciiTheme="minorBidi" w:hAnsiTheme="minorBidi"/>
          <w:sz w:val="24"/>
          <w:szCs w:val="24"/>
        </w:rPr>
        <w:t xml:space="preserve">. It is central in this research since the support or lack of support have direct effects in the psychological outcomes of older adults. </w:t>
      </w:r>
      <w:r w:rsidR="00BC6532" w:rsidRPr="00B02508">
        <w:rPr>
          <w:rFonts w:asciiTheme="minorBidi" w:hAnsiTheme="minorBidi"/>
          <w:sz w:val="24"/>
          <w:szCs w:val="24"/>
        </w:rPr>
        <w:t>M</w:t>
      </w:r>
      <w:r w:rsidRPr="00B02508">
        <w:rPr>
          <w:rFonts w:asciiTheme="minorBidi" w:hAnsiTheme="minorBidi"/>
          <w:sz w:val="24"/>
          <w:szCs w:val="24"/>
        </w:rPr>
        <w:t>ental health refers to a condition where a person achieves their potential, responds to standard stressors, and performs effectively (WHO, 2023). This idea is the basis of the focus on depression, anxiety and emotional well-being of the study.</w:t>
      </w:r>
    </w:p>
    <w:p w14:paraId="62BE4730" w14:textId="3D27261D" w:rsidR="003E1229" w:rsidRPr="00B02508" w:rsidRDefault="00CF3F8C" w:rsidP="00195C3C">
      <w:pPr>
        <w:spacing w:before="240" w:after="240"/>
        <w:jc w:val="left"/>
        <w:rPr>
          <w:rFonts w:asciiTheme="minorBidi" w:hAnsiTheme="minorBidi"/>
          <w:sz w:val="24"/>
          <w:szCs w:val="24"/>
        </w:rPr>
      </w:pPr>
      <w:r w:rsidRPr="00B02508">
        <w:rPr>
          <w:rFonts w:asciiTheme="minorBidi" w:hAnsiTheme="minorBidi"/>
          <w:sz w:val="24"/>
          <w:szCs w:val="24"/>
        </w:rPr>
        <w:lastRenderedPageBreak/>
        <w:t>The elderly people are generally considered to be individuals who are 65 years and older, which is considered to be more vulnerable to social isolation and deterioration. Long-term care facilities (LTCFs) are institutional facilities like nursing homes or residential care homes that offer the permanent care of residents that are not able to live on their own</w:t>
      </w:r>
      <w:r w:rsidR="00862A75" w:rsidRPr="00B02508">
        <w:rPr>
          <w:rFonts w:asciiTheme="minorBidi" w:hAnsiTheme="minorBidi"/>
          <w:sz w:val="24"/>
          <w:szCs w:val="24"/>
        </w:rPr>
        <w:t xml:space="preserve"> (National Institute on Aging, 2023)</w:t>
      </w:r>
      <w:r w:rsidRPr="00B02508">
        <w:rPr>
          <w:rFonts w:asciiTheme="minorBidi" w:hAnsiTheme="minorBidi"/>
          <w:sz w:val="24"/>
          <w:szCs w:val="24"/>
        </w:rPr>
        <w:t xml:space="preserve">. These environments are very relevant because they influence the social interaction as well as mental health experiences. </w:t>
      </w:r>
      <w:r w:rsidR="0090294F" w:rsidRPr="00B02508">
        <w:rPr>
          <w:rFonts w:asciiTheme="minorBidi" w:hAnsiTheme="minorBidi"/>
          <w:sz w:val="24"/>
          <w:szCs w:val="24"/>
        </w:rPr>
        <w:t>D</w:t>
      </w:r>
      <w:r w:rsidRPr="00B02508">
        <w:rPr>
          <w:rFonts w:asciiTheme="minorBidi" w:hAnsiTheme="minorBidi"/>
          <w:sz w:val="24"/>
          <w:szCs w:val="24"/>
        </w:rPr>
        <w:t>epression is a mood disorder which is marked by constant sadness and lack of interest whereas anxiety is marked by excessive worry and fear which are both prevalent among institutionalised elderly populations</w:t>
      </w:r>
      <w:r w:rsidR="008C5944" w:rsidRPr="00B02508">
        <w:rPr>
          <w:rFonts w:asciiTheme="minorBidi" w:hAnsiTheme="minorBidi"/>
          <w:sz w:val="24"/>
          <w:szCs w:val="24"/>
        </w:rPr>
        <w:t xml:space="preserve"> (Chand and Arif, 2023)</w:t>
      </w:r>
      <w:r w:rsidRPr="00B02508">
        <w:rPr>
          <w:rFonts w:asciiTheme="minorBidi" w:hAnsiTheme="minorBidi"/>
          <w:sz w:val="24"/>
          <w:szCs w:val="24"/>
        </w:rPr>
        <w:t>.</w:t>
      </w:r>
    </w:p>
    <w:p w14:paraId="75344C9B" w14:textId="5EF05438" w:rsidR="00D2170F" w:rsidRPr="00B02508" w:rsidRDefault="003E1229" w:rsidP="00195C3C">
      <w:pPr>
        <w:spacing w:before="240" w:after="240"/>
        <w:jc w:val="left"/>
        <w:rPr>
          <w:rFonts w:asciiTheme="minorBidi" w:hAnsiTheme="minorBidi"/>
          <w:b/>
          <w:bCs/>
          <w:sz w:val="24"/>
          <w:szCs w:val="24"/>
        </w:rPr>
      </w:pPr>
      <w:r w:rsidRPr="00B02508">
        <w:rPr>
          <w:rFonts w:asciiTheme="minorBidi" w:hAnsiTheme="minorBidi"/>
          <w:b/>
          <w:bCs/>
          <w:sz w:val="24"/>
          <w:szCs w:val="24"/>
        </w:rPr>
        <w:t xml:space="preserve">Key </w:t>
      </w:r>
      <w:r w:rsidR="001A1454" w:rsidRPr="00B02508">
        <w:rPr>
          <w:rFonts w:asciiTheme="minorBidi" w:hAnsiTheme="minorBidi"/>
          <w:b/>
          <w:bCs/>
          <w:sz w:val="24"/>
          <w:szCs w:val="24"/>
        </w:rPr>
        <w:t>A</w:t>
      </w:r>
      <w:r w:rsidRPr="00B02508">
        <w:rPr>
          <w:rFonts w:asciiTheme="minorBidi" w:hAnsiTheme="minorBidi"/>
          <w:b/>
          <w:bCs/>
          <w:sz w:val="24"/>
          <w:szCs w:val="24"/>
        </w:rPr>
        <w:t>cronyms</w:t>
      </w:r>
    </w:p>
    <w:p w14:paraId="007D72B9" w14:textId="77777777" w:rsidR="00341B0E" w:rsidRPr="00B02508" w:rsidRDefault="003E1229" w:rsidP="00195C3C">
      <w:pPr>
        <w:spacing w:before="240" w:after="240"/>
        <w:jc w:val="left"/>
        <w:rPr>
          <w:rFonts w:asciiTheme="minorBidi" w:hAnsiTheme="minorBidi"/>
          <w:sz w:val="24"/>
          <w:szCs w:val="24"/>
        </w:rPr>
      </w:pPr>
      <w:r w:rsidRPr="00B02508">
        <w:rPr>
          <w:rStyle w:val="Strong"/>
          <w:rFonts w:asciiTheme="minorBidi" w:hAnsiTheme="minorBidi"/>
          <w:sz w:val="24"/>
          <w:szCs w:val="24"/>
        </w:rPr>
        <w:t>LTCFs</w:t>
      </w:r>
      <w:r w:rsidRPr="00B02508">
        <w:rPr>
          <w:rFonts w:asciiTheme="minorBidi" w:hAnsiTheme="minorBidi"/>
          <w:sz w:val="24"/>
          <w:szCs w:val="24"/>
        </w:rPr>
        <w:t xml:space="preserve"> (Long-Term Care Facilities)</w:t>
      </w:r>
    </w:p>
    <w:p w14:paraId="718F0CF5" w14:textId="77777777" w:rsidR="000D46DB" w:rsidRPr="00B02508" w:rsidRDefault="003E1229" w:rsidP="00195C3C">
      <w:pPr>
        <w:spacing w:before="240" w:after="240"/>
        <w:jc w:val="left"/>
        <w:rPr>
          <w:rFonts w:asciiTheme="minorBidi" w:hAnsiTheme="minorBidi"/>
          <w:sz w:val="24"/>
          <w:szCs w:val="24"/>
        </w:rPr>
      </w:pPr>
      <w:r w:rsidRPr="00B02508">
        <w:rPr>
          <w:rStyle w:val="Strong"/>
          <w:rFonts w:asciiTheme="minorBidi" w:hAnsiTheme="minorBidi"/>
          <w:sz w:val="24"/>
          <w:szCs w:val="24"/>
        </w:rPr>
        <w:t>WHO</w:t>
      </w:r>
      <w:r w:rsidRPr="00B02508">
        <w:rPr>
          <w:rFonts w:asciiTheme="minorBidi" w:hAnsiTheme="minorBidi"/>
          <w:sz w:val="24"/>
          <w:szCs w:val="24"/>
        </w:rPr>
        <w:t xml:space="preserve"> (World Health Organization)</w:t>
      </w:r>
    </w:p>
    <w:p w14:paraId="4BC66D2F" w14:textId="5FF070E3" w:rsidR="00BD2909" w:rsidRPr="00B02508" w:rsidRDefault="000D46DB" w:rsidP="00195C3C">
      <w:pPr>
        <w:spacing w:before="240" w:after="240"/>
        <w:jc w:val="left"/>
        <w:rPr>
          <w:rFonts w:asciiTheme="minorBidi" w:hAnsiTheme="minorBidi"/>
          <w:sz w:val="24"/>
          <w:szCs w:val="24"/>
        </w:rPr>
      </w:pPr>
      <w:r w:rsidRPr="00B02508">
        <w:rPr>
          <w:rFonts w:asciiTheme="minorBidi" w:hAnsiTheme="minorBidi"/>
          <w:sz w:val="24"/>
          <w:szCs w:val="24"/>
        </w:rPr>
        <w:t>S</w:t>
      </w:r>
      <w:r w:rsidR="003E1229" w:rsidRPr="00B02508">
        <w:rPr>
          <w:rStyle w:val="Strong"/>
          <w:rFonts w:asciiTheme="minorBidi" w:hAnsiTheme="minorBidi"/>
          <w:sz w:val="24"/>
          <w:szCs w:val="24"/>
        </w:rPr>
        <w:t>MH</w:t>
      </w:r>
      <w:r w:rsidR="003E1229" w:rsidRPr="00B02508">
        <w:rPr>
          <w:rFonts w:asciiTheme="minorBidi" w:hAnsiTheme="minorBidi"/>
          <w:sz w:val="24"/>
          <w:szCs w:val="24"/>
        </w:rPr>
        <w:t xml:space="preserve"> (Mental Health).</w:t>
      </w:r>
      <w:r w:rsidR="00BD2909" w:rsidRPr="00B02508">
        <w:rPr>
          <w:rStyle w:val="eop"/>
          <w:rFonts w:asciiTheme="minorBidi" w:hAnsiTheme="minorBidi"/>
          <w:sz w:val="24"/>
          <w:szCs w:val="24"/>
        </w:rPr>
        <w:t>   </w:t>
      </w:r>
    </w:p>
    <w:p w14:paraId="165773A7" w14:textId="08E5A58E" w:rsidR="00BD2909" w:rsidRPr="00B02508" w:rsidRDefault="00BD2909" w:rsidP="00EA5A90">
      <w:pPr>
        <w:pStyle w:val="Heading2"/>
        <w:numPr>
          <w:ilvl w:val="1"/>
          <w:numId w:val="3"/>
        </w:numPr>
        <w:spacing w:before="240" w:after="240"/>
        <w:jc w:val="left"/>
        <w:rPr>
          <w:rFonts w:asciiTheme="minorBidi" w:hAnsiTheme="minorBidi" w:cstheme="minorBidi"/>
          <w:b/>
          <w:bCs/>
          <w:color w:val="auto"/>
          <w:szCs w:val="24"/>
        </w:rPr>
      </w:pPr>
      <w:r w:rsidRPr="00B02508">
        <w:rPr>
          <w:rStyle w:val="normaltextrun"/>
          <w:rFonts w:asciiTheme="minorBidi" w:hAnsiTheme="minorBidi" w:cstheme="minorBidi"/>
          <w:b/>
          <w:bCs/>
          <w:color w:val="auto"/>
          <w:szCs w:val="24"/>
        </w:rPr>
        <w:t>Rationale for Research</w:t>
      </w:r>
    </w:p>
    <w:p w14:paraId="75E17D56" w14:textId="57D48AA4" w:rsidR="00BD2909" w:rsidRPr="00B02508" w:rsidRDefault="00DB1D7F" w:rsidP="00195C3C">
      <w:pPr>
        <w:spacing w:before="240" w:after="240"/>
        <w:jc w:val="left"/>
        <w:rPr>
          <w:rFonts w:asciiTheme="minorBidi" w:hAnsiTheme="minorBidi"/>
          <w:sz w:val="24"/>
          <w:szCs w:val="24"/>
        </w:rPr>
      </w:pPr>
      <w:r w:rsidRPr="00B02508">
        <w:rPr>
          <w:rFonts w:asciiTheme="minorBidi" w:hAnsiTheme="minorBidi"/>
          <w:sz w:val="24"/>
          <w:szCs w:val="24"/>
        </w:rPr>
        <w:t>The rationale of the study is informed by the fact that mental health among older adults who are admitted in long term care facilities (LTCFs) has not been given serious consideration even though it has been found to have a profound effect on quality of life. As the global trends in ageing gain momentum, the available literature constantly shows high rates of depression, anxiety, and loneliness in the case of institutionalised ageing populations</w:t>
      </w:r>
      <w:r w:rsidR="00FD22BB" w:rsidRPr="00B02508">
        <w:rPr>
          <w:rFonts w:asciiTheme="minorBidi" w:hAnsiTheme="minorBidi"/>
          <w:sz w:val="24"/>
          <w:szCs w:val="24"/>
        </w:rPr>
        <w:t xml:space="preserve"> </w:t>
      </w:r>
      <w:r w:rsidR="00982F0F" w:rsidRPr="00B02508">
        <w:rPr>
          <w:rFonts w:asciiTheme="minorBidi" w:hAnsiTheme="minorBidi"/>
          <w:sz w:val="24"/>
          <w:szCs w:val="24"/>
        </w:rPr>
        <w:t>(Underwood et al., 2013)</w:t>
      </w:r>
      <w:r w:rsidRPr="00B02508">
        <w:rPr>
          <w:rFonts w:asciiTheme="minorBidi" w:hAnsiTheme="minorBidi"/>
          <w:sz w:val="24"/>
          <w:szCs w:val="24"/>
        </w:rPr>
        <w:t xml:space="preserve">. Current care models, however, in LTCFs are still heavily physical health-oriented, and psychosocial aspects, including social support, have been overlooked, which has empirically been associated with better mental health outcomes. More importantly, though the need of social interaction is recognized by prior research, there is no detailed study that </w:t>
      </w:r>
      <w:proofErr w:type="spellStart"/>
      <w:r w:rsidRPr="00B02508">
        <w:rPr>
          <w:rFonts w:asciiTheme="minorBidi" w:hAnsiTheme="minorBidi"/>
          <w:sz w:val="24"/>
          <w:szCs w:val="24"/>
        </w:rPr>
        <w:t>analyzes</w:t>
      </w:r>
      <w:proofErr w:type="spellEnd"/>
      <w:r w:rsidRPr="00B02508">
        <w:rPr>
          <w:rFonts w:asciiTheme="minorBidi" w:hAnsiTheme="minorBidi"/>
          <w:sz w:val="24"/>
          <w:szCs w:val="24"/>
        </w:rPr>
        <w:t xml:space="preserve"> the role of various types and levels of social support in the context of how it directly affects the psychological well being in the institution. In addition, there is a lack of the assessment of the effectiveness of the current policies and care practices in incorporating social support into the regular care. This poses a great research gap between the theoretical knowledge and the applied results. Thus, the </w:t>
      </w:r>
      <w:r w:rsidR="002B3A55" w:rsidRPr="00B02508">
        <w:rPr>
          <w:rFonts w:asciiTheme="minorBidi" w:hAnsiTheme="minorBidi"/>
          <w:sz w:val="24"/>
          <w:szCs w:val="24"/>
        </w:rPr>
        <w:t>research</w:t>
      </w:r>
      <w:r w:rsidR="00923F65" w:rsidRPr="00B02508">
        <w:rPr>
          <w:rFonts w:asciiTheme="minorBidi" w:hAnsiTheme="minorBidi"/>
          <w:sz w:val="24"/>
          <w:szCs w:val="24"/>
        </w:rPr>
        <w:t xml:space="preserve"> </w:t>
      </w:r>
      <w:r w:rsidRPr="00B02508">
        <w:rPr>
          <w:rFonts w:asciiTheme="minorBidi" w:hAnsiTheme="minorBidi"/>
          <w:sz w:val="24"/>
          <w:szCs w:val="24"/>
        </w:rPr>
        <w:t xml:space="preserve">is right to fill this gap by critically examining the connection between social support and mental health outcomes, as well as to review the current practice and provide evidence-based recommendations. Through this, the research would help in pertinent discussions about person-centred care as well as in the scholarly requirement of the holistic approach to elderly care in LTCFs. </w:t>
      </w:r>
      <w:r w:rsidR="00BD2909" w:rsidRPr="00B02508">
        <w:rPr>
          <w:rStyle w:val="eop"/>
          <w:rFonts w:asciiTheme="minorBidi" w:hAnsiTheme="minorBidi"/>
          <w:sz w:val="24"/>
          <w:szCs w:val="24"/>
        </w:rPr>
        <w:t> </w:t>
      </w:r>
    </w:p>
    <w:p w14:paraId="669241A7" w14:textId="64819BD1" w:rsidR="00BD2909" w:rsidRPr="00B02508" w:rsidRDefault="00BD2909" w:rsidP="00EA5A90">
      <w:pPr>
        <w:pStyle w:val="Heading2"/>
        <w:numPr>
          <w:ilvl w:val="1"/>
          <w:numId w:val="3"/>
        </w:numPr>
        <w:spacing w:before="240" w:after="240"/>
        <w:jc w:val="left"/>
        <w:rPr>
          <w:rFonts w:asciiTheme="minorBidi" w:hAnsiTheme="minorBidi" w:cstheme="minorBidi"/>
          <w:b/>
          <w:bCs/>
          <w:color w:val="auto"/>
          <w:szCs w:val="24"/>
        </w:rPr>
      </w:pPr>
      <w:r w:rsidRPr="00B02508">
        <w:rPr>
          <w:rStyle w:val="normaltextrun"/>
          <w:rFonts w:asciiTheme="minorBidi" w:hAnsiTheme="minorBidi" w:cstheme="minorBidi"/>
          <w:b/>
          <w:bCs/>
          <w:color w:val="auto"/>
          <w:szCs w:val="24"/>
        </w:rPr>
        <w:t xml:space="preserve"> Aim and Objectives</w:t>
      </w:r>
    </w:p>
    <w:p w14:paraId="71061781" w14:textId="77777777" w:rsidR="00E02FC4" w:rsidRPr="00B02508" w:rsidRDefault="00BD2909" w:rsidP="00195C3C">
      <w:pPr>
        <w:pStyle w:val="paragraph"/>
        <w:spacing w:before="240" w:beforeAutospacing="0" w:after="240" w:afterAutospacing="0" w:line="360" w:lineRule="auto"/>
        <w:textAlignment w:val="baseline"/>
        <w:rPr>
          <w:rStyle w:val="normaltextrun"/>
          <w:rFonts w:asciiTheme="minorBidi" w:hAnsiTheme="minorBidi" w:cstheme="minorBidi"/>
          <w:b/>
          <w:bCs/>
        </w:rPr>
      </w:pPr>
      <w:r w:rsidRPr="00B02508">
        <w:rPr>
          <w:rStyle w:val="normaltextrun"/>
          <w:rFonts w:asciiTheme="minorBidi" w:hAnsiTheme="minorBidi" w:cstheme="minorBidi"/>
          <w:b/>
          <w:bCs/>
        </w:rPr>
        <w:t>Research Aim</w:t>
      </w:r>
    </w:p>
    <w:p w14:paraId="4FD7DFC7" w14:textId="2E1B8690" w:rsidR="00414125" w:rsidRPr="00B02508" w:rsidRDefault="005E4C2C" w:rsidP="00195C3C">
      <w:pPr>
        <w:pStyle w:val="paragraph"/>
        <w:spacing w:before="240" w:beforeAutospacing="0" w:after="240" w:afterAutospacing="0" w:line="360" w:lineRule="auto"/>
        <w:textAlignment w:val="baseline"/>
        <w:rPr>
          <w:rFonts w:asciiTheme="minorBidi" w:hAnsiTheme="minorBidi" w:cstheme="minorBidi"/>
        </w:rPr>
      </w:pPr>
      <w:r w:rsidRPr="00B02508">
        <w:rPr>
          <w:rFonts w:asciiTheme="minorBidi" w:hAnsiTheme="minorBidi" w:cstheme="minorBidi"/>
          <w:lang w:eastAsia="en-US"/>
        </w:rPr>
        <w:t xml:space="preserve">The main objective of the study is to </w:t>
      </w:r>
      <w:proofErr w:type="spellStart"/>
      <w:r w:rsidRPr="00B02508">
        <w:rPr>
          <w:rFonts w:asciiTheme="minorBidi" w:hAnsiTheme="minorBidi" w:cstheme="minorBidi"/>
          <w:lang w:eastAsia="en-US"/>
        </w:rPr>
        <w:t>analyze</w:t>
      </w:r>
      <w:proofErr w:type="spellEnd"/>
      <w:r w:rsidRPr="00B02508">
        <w:rPr>
          <w:rFonts w:asciiTheme="minorBidi" w:hAnsiTheme="minorBidi" w:cstheme="minorBidi"/>
          <w:lang w:eastAsia="en-US"/>
        </w:rPr>
        <w:t xml:space="preserve"> how social support can be used to enhance the mental health of elderly people in a long-term care facility. The research will examine the impact of the different levels and type of social support on the psychological wellbeing of the residents such as depression, anxiety, and emotional strength in general.</w:t>
      </w:r>
    </w:p>
    <w:p w14:paraId="27B0A40B" w14:textId="1F2857E0" w:rsidR="00414125" w:rsidRPr="00B02508" w:rsidRDefault="00592D79" w:rsidP="00195C3C">
      <w:pPr>
        <w:spacing w:before="240" w:after="240"/>
        <w:jc w:val="left"/>
        <w:rPr>
          <w:rFonts w:asciiTheme="minorBidi" w:hAnsiTheme="minorBidi"/>
          <w:b/>
          <w:bCs/>
          <w:sz w:val="24"/>
          <w:szCs w:val="24"/>
        </w:rPr>
      </w:pPr>
      <w:r w:rsidRPr="00B02508">
        <w:rPr>
          <w:rFonts w:asciiTheme="minorBidi" w:hAnsiTheme="minorBidi"/>
          <w:b/>
          <w:bCs/>
          <w:sz w:val="24"/>
          <w:szCs w:val="24"/>
        </w:rPr>
        <w:t xml:space="preserve">Research </w:t>
      </w:r>
      <w:r w:rsidR="00414125" w:rsidRPr="00B02508">
        <w:rPr>
          <w:rFonts w:asciiTheme="minorBidi" w:hAnsiTheme="minorBidi"/>
          <w:b/>
          <w:bCs/>
          <w:sz w:val="24"/>
          <w:szCs w:val="24"/>
        </w:rPr>
        <w:t>Objectives</w:t>
      </w:r>
    </w:p>
    <w:p w14:paraId="3E92102A" w14:textId="77777777" w:rsidR="00414125" w:rsidRPr="00B02508" w:rsidRDefault="00414125" w:rsidP="00EA5A90">
      <w:pPr>
        <w:numPr>
          <w:ilvl w:val="0"/>
          <w:numId w:val="1"/>
        </w:numPr>
        <w:spacing w:before="240" w:after="240"/>
        <w:contextualSpacing/>
        <w:jc w:val="left"/>
        <w:rPr>
          <w:rFonts w:asciiTheme="minorBidi" w:hAnsiTheme="minorBidi"/>
          <w:sz w:val="24"/>
          <w:szCs w:val="24"/>
        </w:rPr>
      </w:pPr>
      <w:r w:rsidRPr="00B02508">
        <w:rPr>
          <w:rFonts w:asciiTheme="minorBidi" w:hAnsiTheme="minorBidi"/>
          <w:sz w:val="24"/>
          <w:szCs w:val="24"/>
        </w:rPr>
        <w:t>To define and explain the concept of social support and its relevance among the older adults within the long-term care facilities.</w:t>
      </w:r>
    </w:p>
    <w:p w14:paraId="0482F0C1" w14:textId="77777777" w:rsidR="00414125" w:rsidRPr="00B02508" w:rsidRDefault="00414125" w:rsidP="00EA5A90">
      <w:pPr>
        <w:numPr>
          <w:ilvl w:val="0"/>
          <w:numId w:val="1"/>
        </w:numPr>
        <w:spacing w:before="240" w:after="240"/>
        <w:contextualSpacing/>
        <w:jc w:val="left"/>
        <w:rPr>
          <w:rFonts w:asciiTheme="minorBidi" w:hAnsiTheme="minorBidi"/>
          <w:sz w:val="24"/>
          <w:szCs w:val="24"/>
        </w:rPr>
      </w:pPr>
      <w:r w:rsidRPr="00B02508">
        <w:rPr>
          <w:rFonts w:asciiTheme="minorBidi" w:hAnsiTheme="minorBidi"/>
          <w:sz w:val="24"/>
          <w:szCs w:val="24"/>
        </w:rPr>
        <w:t>To analyse the correlation between social support and mental health results, (depression, anxiety and emotional well-being).</w:t>
      </w:r>
    </w:p>
    <w:p w14:paraId="2E5AD942" w14:textId="77777777" w:rsidR="00414125" w:rsidRPr="00B02508" w:rsidRDefault="00414125" w:rsidP="00EA5A90">
      <w:pPr>
        <w:numPr>
          <w:ilvl w:val="0"/>
          <w:numId w:val="1"/>
        </w:numPr>
        <w:spacing w:before="240" w:after="240"/>
        <w:contextualSpacing/>
        <w:jc w:val="left"/>
        <w:rPr>
          <w:rFonts w:asciiTheme="minorBidi" w:hAnsiTheme="minorBidi"/>
          <w:sz w:val="24"/>
          <w:szCs w:val="24"/>
        </w:rPr>
      </w:pPr>
      <w:r w:rsidRPr="00B02508">
        <w:rPr>
          <w:rFonts w:asciiTheme="minorBidi" w:hAnsiTheme="minorBidi"/>
          <w:sz w:val="24"/>
          <w:szCs w:val="24"/>
        </w:rPr>
        <w:t>To evaluate existing policies, care practices and interventions that ought to enhance social support in the long term care setting.</w:t>
      </w:r>
    </w:p>
    <w:p w14:paraId="7FA3F3C5" w14:textId="0A750AA8" w:rsidR="00BD2909" w:rsidRPr="00B02508" w:rsidRDefault="00414125" w:rsidP="00EA5A90">
      <w:pPr>
        <w:numPr>
          <w:ilvl w:val="0"/>
          <w:numId w:val="1"/>
        </w:numPr>
        <w:spacing w:before="240" w:after="240"/>
        <w:contextualSpacing/>
        <w:jc w:val="left"/>
        <w:rPr>
          <w:rFonts w:asciiTheme="minorBidi" w:hAnsiTheme="minorBidi"/>
          <w:sz w:val="24"/>
          <w:szCs w:val="24"/>
        </w:rPr>
      </w:pPr>
      <w:r w:rsidRPr="00B02508">
        <w:rPr>
          <w:rFonts w:asciiTheme="minorBidi" w:hAnsiTheme="minorBidi"/>
          <w:sz w:val="24"/>
          <w:szCs w:val="24"/>
        </w:rPr>
        <w:t>To provide recommendations on how to improve mental health outcome through the improvement of social networks and supportive care plans.</w:t>
      </w:r>
      <w:r w:rsidR="00BD2909" w:rsidRPr="00B02508">
        <w:rPr>
          <w:rStyle w:val="eop"/>
          <w:rFonts w:asciiTheme="minorBidi" w:hAnsiTheme="minorBidi"/>
          <w:sz w:val="24"/>
          <w:szCs w:val="24"/>
        </w:rPr>
        <w:t> </w:t>
      </w:r>
    </w:p>
    <w:p w14:paraId="4FCBBEC2" w14:textId="12F0BB30" w:rsidR="00BD2909" w:rsidRPr="00B02508" w:rsidRDefault="00BD2909" w:rsidP="00EA5A90">
      <w:pPr>
        <w:pStyle w:val="Heading2"/>
        <w:numPr>
          <w:ilvl w:val="1"/>
          <w:numId w:val="3"/>
        </w:numPr>
        <w:spacing w:before="240" w:after="240"/>
        <w:jc w:val="left"/>
        <w:rPr>
          <w:rFonts w:asciiTheme="minorBidi" w:hAnsiTheme="minorBidi" w:cstheme="minorBidi"/>
          <w:b/>
          <w:bCs/>
          <w:color w:val="auto"/>
          <w:szCs w:val="24"/>
        </w:rPr>
      </w:pPr>
      <w:r w:rsidRPr="00B02508">
        <w:rPr>
          <w:rStyle w:val="normaltextrun"/>
          <w:rFonts w:asciiTheme="minorBidi" w:hAnsiTheme="minorBidi" w:cstheme="minorBidi"/>
          <w:b/>
          <w:bCs/>
          <w:color w:val="auto"/>
          <w:szCs w:val="24"/>
        </w:rPr>
        <w:t>Conclusion</w:t>
      </w:r>
    </w:p>
    <w:p w14:paraId="379C53E1" w14:textId="2D059BB7" w:rsidR="00BD2909" w:rsidRPr="00B02508" w:rsidRDefault="00780388" w:rsidP="00195C3C">
      <w:pPr>
        <w:spacing w:before="240" w:after="240"/>
        <w:jc w:val="left"/>
        <w:rPr>
          <w:rFonts w:asciiTheme="minorBidi" w:hAnsiTheme="minorBidi"/>
          <w:sz w:val="24"/>
          <w:szCs w:val="24"/>
        </w:rPr>
      </w:pPr>
      <w:r w:rsidRPr="00B02508">
        <w:rPr>
          <w:rFonts w:asciiTheme="minorBidi" w:hAnsiTheme="minorBidi"/>
          <w:sz w:val="24"/>
          <w:szCs w:val="24"/>
        </w:rPr>
        <w:t xml:space="preserve">This chapter has presented the research context, which includes the importance of mental health among elderly in the long-term care facilities, and the importance of social support. The main concepts and terms were identified, and the justification indicated gaps in the existing research and practice. This goal and objectives were set to help direct the research in investigating the association between social support and mental health outcomes. In the following chapter, the literature review will be provided with a critical analysis of the available studies, theories, and evidence on social support and mental health in the context of long-term care. </w:t>
      </w:r>
      <w:r w:rsidR="00BD2909" w:rsidRPr="00B02508">
        <w:rPr>
          <w:rStyle w:val="eop"/>
          <w:rFonts w:asciiTheme="minorBidi" w:hAnsiTheme="minorBidi"/>
          <w:sz w:val="24"/>
          <w:szCs w:val="24"/>
        </w:rPr>
        <w:t> </w:t>
      </w:r>
    </w:p>
    <w:p w14:paraId="1E1A58B1" w14:textId="57672391" w:rsidR="00804B94" w:rsidRPr="00B02508" w:rsidRDefault="00BD2909" w:rsidP="00195C3C">
      <w:pPr>
        <w:pStyle w:val="paragraph"/>
        <w:spacing w:before="240" w:beforeAutospacing="0" w:after="240" w:afterAutospacing="0" w:line="360" w:lineRule="auto"/>
        <w:textAlignment w:val="baseline"/>
        <w:rPr>
          <w:rStyle w:val="eop"/>
          <w:rFonts w:asciiTheme="minorBidi" w:hAnsiTheme="minorBidi" w:cstheme="minorBidi"/>
        </w:rPr>
      </w:pPr>
      <w:r w:rsidRPr="00B02508">
        <w:rPr>
          <w:rStyle w:val="eop"/>
          <w:rFonts w:asciiTheme="minorBidi" w:hAnsiTheme="minorBidi" w:cstheme="minorBidi"/>
        </w:rPr>
        <w:t> </w:t>
      </w:r>
    </w:p>
    <w:p w14:paraId="13D1E987" w14:textId="77777777" w:rsidR="00F010A8" w:rsidRPr="00B02508" w:rsidRDefault="00F010A8" w:rsidP="00195C3C">
      <w:pPr>
        <w:pStyle w:val="paragraph"/>
        <w:spacing w:before="240" w:beforeAutospacing="0" w:after="240" w:afterAutospacing="0" w:line="360" w:lineRule="auto"/>
        <w:textAlignment w:val="baseline"/>
        <w:rPr>
          <w:rStyle w:val="eop"/>
          <w:rFonts w:asciiTheme="minorBidi" w:hAnsiTheme="minorBidi" w:cstheme="minorBidi"/>
        </w:rPr>
      </w:pPr>
    </w:p>
    <w:p w14:paraId="385191B9" w14:textId="77777777" w:rsidR="00F010A8" w:rsidRPr="00B02508" w:rsidRDefault="00F010A8" w:rsidP="00195C3C">
      <w:pPr>
        <w:pStyle w:val="paragraph"/>
        <w:spacing w:before="240" w:beforeAutospacing="0" w:after="240" w:afterAutospacing="0" w:line="360" w:lineRule="auto"/>
        <w:textAlignment w:val="baseline"/>
        <w:rPr>
          <w:rFonts w:asciiTheme="minorBidi" w:hAnsiTheme="minorBidi" w:cstheme="minorBidi"/>
        </w:rPr>
      </w:pPr>
    </w:p>
    <w:p w14:paraId="6BA7DF87" w14:textId="297F0DFC" w:rsidR="00BD2909" w:rsidRPr="00B02508" w:rsidRDefault="000D0641" w:rsidP="00EA5A90">
      <w:pPr>
        <w:pStyle w:val="Heading1"/>
        <w:numPr>
          <w:ilvl w:val="0"/>
          <w:numId w:val="3"/>
        </w:numPr>
        <w:spacing w:before="240" w:after="240" w:line="360" w:lineRule="auto"/>
        <w:rPr>
          <w:rFonts w:asciiTheme="minorBidi" w:hAnsiTheme="minorBidi" w:cstheme="minorBidi"/>
          <w:sz w:val="24"/>
          <w:szCs w:val="24"/>
        </w:rPr>
      </w:pPr>
      <w:r w:rsidRPr="00B02508">
        <w:rPr>
          <w:rFonts w:asciiTheme="minorBidi" w:hAnsiTheme="minorBidi" w:cstheme="minorBidi"/>
          <w:sz w:val="24"/>
          <w:szCs w:val="24"/>
        </w:rPr>
        <w:t xml:space="preserve">CHAPTER 2 – </w:t>
      </w:r>
      <w:r w:rsidR="00BD2909" w:rsidRPr="00B02508">
        <w:rPr>
          <w:rFonts w:asciiTheme="minorBidi" w:hAnsiTheme="minorBidi" w:cstheme="minorBidi"/>
          <w:sz w:val="24"/>
          <w:szCs w:val="24"/>
        </w:rPr>
        <w:t xml:space="preserve">Background </w:t>
      </w:r>
      <w:r w:rsidR="00F44833" w:rsidRPr="00B02508">
        <w:rPr>
          <w:rFonts w:asciiTheme="minorBidi" w:hAnsiTheme="minorBidi" w:cstheme="minorBidi"/>
          <w:sz w:val="24"/>
          <w:szCs w:val="24"/>
        </w:rPr>
        <w:t xml:space="preserve">Information and </w:t>
      </w:r>
      <w:r w:rsidR="00BD2909" w:rsidRPr="00B02508">
        <w:rPr>
          <w:rFonts w:asciiTheme="minorBidi" w:hAnsiTheme="minorBidi" w:cstheme="minorBidi"/>
          <w:sz w:val="24"/>
          <w:szCs w:val="24"/>
        </w:rPr>
        <w:t>Analysis</w:t>
      </w:r>
    </w:p>
    <w:p w14:paraId="223734F5" w14:textId="135F0204" w:rsidR="00BD2909" w:rsidRPr="00B02508" w:rsidRDefault="00BD2909" w:rsidP="00EA5A90">
      <w:pPr>
        <w:pStyle w:val="Heading2"/>
        <w:numPr>
          <w:ilvl w:val="1"/>
          <w:numId w:val="3"/>
        </w:numPr>
        <w:spacing w:before="240" w:after="240"/>
        <w:jc w:val="left"/>
        <w:rPr>
          <w:rFonts w:asciiTheme="minorBidi" w:hAnsiTheme="minorBidi" w:cstheme="minorBidi"/>
          <w:b/>
          <w:bCs/>
          <w:color w:val="auto"/>
          <w:szCs w:val="24"/>
        </w:rPr>
      </w:pPr>
      <w:r w:rsidRPr="00B02508">
        <w:rPr>
          <w:rStyle w:val="normaltextrun"/>
          <w:rFonts w:asciiTheme="minorBidi" w:hAnsiTheme="minorBidi" w:cstheme="minorBidi"/>
          <w:b/>
          <w:bCs/>
          <w:color w:val="auto"/>
          <w:szCs w:val="24"/>
        </w:rPr>
        <w:t>Introduction</w:t>
      </w:r>
    </w:p>
    <w:p w14:paraId="1ADF7C27" w14:textId="50CA9577" w:rsidR="00BD2909" w:rsidRPr="00B02508" w:rsidRDefault="008B6CEF" w:rsidP="00195C3C">
      <w:pPr>
        <w:spacing w:before="240" w:after="240"/>
        <w:jc w:val="left"/>
        <w:rPr>
          <w:rFonts w:asciiTheme="minorBidi" w:eastAsia="Calibri Light" w:hAnsiTheme="minorBidi"/>
          <w:sz w:val="24"/>
          <w:szCs w:val="24"/>
        </w:rPr>
      </w:pPr>
      <w:r w:rsidRPr="00B02508">
        <w:rPr>
          <w:rFonts w:asciiTheme="minorBidi" w:eastAsia="Calibri Light" w:hAnsiTheme="minorBidi"/>
          <w:sz w:val="24"/>
          <w:szCs w:val="24"/>
        </w:rPr>
        <w:t xml:space="preserve">The chapter gives the background and contextual base of the research in the investigation of the broader issues of mental health, and social support among elderly in long term care facilities. It examines the pertinent historical trends, theoretical approaches and contemporary trends in the field of health and social care in order to provide the clear picture of the topic. This chapter tries to place the study in the broader academic and practical context by reviewing the existing knowledge and contextual factors. This background analysis will facilitate the following chapters, as it will provide an exhaustive insight into the major problems that affect the mental outcomes of people subjected to institutional care. </w:t>
      </w:r>
      <w:r w:rsidR="00BD2909" w:rsidRPr="00B02508">
        <w:rPr>
          <w:rStyle w:val="normaltextrun"/>
          <w:rFonts w:asciiTheme="minorBidi" w:hAnsiTheme="minorBidi"/>
          <w:sz w:val="24"/>
          <w:szCs w:val="24"/>
        </w:rPr>
        <w:t> </w:t>
      </w:r>
    </w:p>
    <w:p w14:paraId="52457009" w14:textId="7CF3CB84" w:rsidR="00BD2909" w:rsidRPr="00B02508" w:rsidRDefault="00BD2909" w:rsidP="00EA5A90">
      <w:pPr>
        <w:pStyle w:val="Heading2"/>
        <w:numPr>
          <w:ilvl w:val="1"/>
          <w:numId w:val="3"/>
        </w:numPr>
        <w:spacing w:before="240" w:after="240"/>
        <w:jc w:val="left"/>
        <w:rPr>
          <w:rFonts w:asciiTheme="minorBidi" w:hAnsiTheme="minorBidi" w:cstheme="minorBidi"/>
          <w:b/>
          <w:bCs/>
          <w:color w:val="auto"/>
          <w:szCs w:val="24"/>
        </w:rPr>
      </w:pPr>
      <w:r w:rsidRPr="00B02508">
        <w:rPr>
          <w:rStyle w:val="normaltextrun"/>
          <w:rFonts w:asciiTheme="minorBidi" w:hAnsiTheme="minorBidi" w:cstheme="minorBidi"/>
          <w:b/>
          <w:bCs/>
          <w:color w:val="auto"/>
          <w:szCs w:val="24"/>
        </w:rPr>
        <w:t>Historical Background</w:t>
      </w:r>
    </w:p>
    <w:p w14:paraId="34C2FC3D" w14:textId="7854C44B" w:rsidR="006A0EEA" w:rsidRPr="00B02508" w:rsidRDefault="00C51316" w:rsidP="00195C3C">
      <w:pPr>
        <w:spacing w:before="240" w:after="240"/>
        <w:jc w:val="left"/>
        <w:rPr>
          <w:rFonts w:asciiTheme="minorBidi" w:hAnsiTheme="minorBidi"/>
          <w:sz w:val="24"/>
          <w:szCs w:val="24"/>
        </w:rPr>
      </w:pPr>
      <w:r w:rsidRPr="00B02508">
        <w:rPr>
          <w:rFonts w:asciiTheme="minorBidi" w:hAnsiTheme="minorBidi"/>
          <w:sz w:val="24"/>
          <w:szCs w:val="24"/>
        </w:rPr>
        <w:t>The evolution of mental health care among the elderly has come in a number of historical phases. At the beginning of the 19</w:t>
      </w:r>
      <w:r w:rsidRPr="00B02508">
        <w:rPr>
          <w:rFonts w:asciiTheme="minorBidi" w:hAnsiTheme="minorBidi"/>
          <w:sz w:val="24"/>
          <w:szCs w:val="24"/>
          <w:vertAlign w:val="superscript"/>
        </w:rPr>
        <w:t>th</w:t>
      </w:r>
      <w:r w:rsidR="00D70789" w:rsidRPr="00B02508">
        <w:rPr>
          <w:rFonts w:asciiTheme="minorBidi" w:hAnsiTheme="minorBidi"/>
          <w:sz w:val="24"/>
          <w:szCs w:val="24"/>
        </w:rPr>
        <w:t xml:space="preserve"> </w:t>
      </w:r>
      <w:r w:rsidRPr="00B02508">
        <w:rPr>
          <w:rFonts w:asciiTheme="minorBidi" w:hAnsiTheme="minorBidi"/>
          <w:sz w:val="24"/>
          <w:szCs w:val="24"/>
        </w:rPr>
        <w:t>century, elderly care were informal and given by families or in poorhouses, and little attention was paid to mental health issues. One of the earliest significant changes towards institutional care was the creation of asylum in Europe and North America in the middle of nineteenth century</w:t>
      </w:r>
      <w:r w:rsidR="005E6446" w:rsidRPr="00B02508">
        <w:rPr>
          <w:rFonts w:asciiTheme="minorBidi" w:hAnsiTheme="minorBidi"/>
          <w:sz w:val="24"/>
          <w:szCs w:val="24"/>
        </w:rPr>
        <w:t xml:space="preserve"> (D’Antonio, 2011)</w:t>
      </w:r>
      <w:r w:rsidRPr="00B02508">
        <w:rPr>
          <w:rFonts w:asciiTheme="minorBidi" w:hAnsiTheme="minorBidi"/>
          <w:sz w:val="24"/>
          <w:szCs w:val="24"/>
        </w:rPr>
        <w:t>. Nevertheless, these facilities were usually overpopulated and aimed at confining people instead of treating them. Another defining moment was the moral treatment movement (late 18</w:t>
      </w:r>
      <w:r w:rsidRPr="00B02508">
        <w:rPr>
          <w:rFonts w:asciiTheme="minorBidi" w:hAnsiTheme="minorBidi"/>
          <w:sz w:val="24"/>
          <w:szCs w:val="24"/>
          <w:vertAlign w:val="superscript"/>
        </w:rPr>
        <w:t>th</w:t>
      </w:r>
      <w:r w:rsidR="00861A4D" w:rsidRPr="00B02508">
        <w:rPr>
          <w:rFonts w:asciiTheme="minorBidi" w:hAnsiTheme="minorBidi"/>
          <w:sz w:val="24"/>
          <w:szCs w:val="24"/>
        </w:rPr>
        <w:t xml:space="preserve"> </w:t>
      </w:r>
      <w:r w:rsidRPr="00B02508">
        <w:rPr>
          <w:rFonts w:asciiTheme="minorBidi" w:hAnsiTheme="minorBidi"/>
          <w:sz w:val="24"/>
          <w:szCs w:val="24"/>
        </w:rPr>
        <w:t>mid</w:t>
      </w:r>
      <w:r w:rsidR="00861A4D" w:rsidRPr="00B02508">
        <w:rPr>
          <w:rFonts w:asciiTheme="minorBidi" w:hAnsiTheme="minorBidi"/>
          <w:sz w:val="24"/>
          <w:szCs w:val="24"/>
        </w:rPr>
        <w:t xml:space="preserve"> </w:t>
      </w:r>
      <w:r w:rsidRPr="00B02508">
        <w:rPr>
          <w:rFonts w:asciiTheme="minorBidi" w:hAnsiTheme="minorBidi"/>
          <w:sz w:val="24"/>
          <w:szCs w:val="24"/>
        </w:rPr>
        <w:t>19</w:t>
      </w:r>
      <w:r w:rsidRPr="00B02508">
        <w:rPr>
          <w:rFonts w:asciiTheme="minorBidi" w:hAnsiTheme="minorBidi"/>
          <w:sz w:val="24"/>
          <w:szCs w:val="24"/>
          <w:vertAlign w:val="superscript"/>
        </w:rPr>
        <w:t>th</w:t>
      </w:r>
      <w:r w:rsidR="00861A4D" w:rsidRPr="00B02508">
        <w:rPr>
          <w:rFonts w:asciiTheme="minorBidi" w:hAnsiTheme="minorBidi"/>
          <w:sz w:val="24"/>
          <w:szCs w:val="24"/>
        </w:rPr>
        <w:t xml:space="preserve"> </w:t>
      </w:r>
      <w:r w:rsidRPr="00B02508">
        <w:rPr>
          <w:rFonts w:asciiTheme="minorBidi" w:hAnsiTheme="minorBidi"/>
          <w:sz w:val="24"/>
          <w:szCs w:val="24"/>
        </w:rPr>
        <w:t>century), which encouraged humane treatment, interaction with others, and routine</w:t>
      </w:r>
      <w:r w:rsidR="00157106" w:rsidRPr="00B02508">
        <w:rPr>
          <w:rFonts w:asciiTheme="minorBidi" w:hAnsiTheme="minorBidi"/>
          <w:sz w:val="24"/>
          <w:szCs w:val="24"/>
        </w:rPr>
        <w:t xml:space="preserve"> (Khan, 2022)</w:t>
      </w:r>
      <w:r w:rsidRPr="00B02508">
        <w:rPr>
          <w:rFonts w:asciiTheme="minorBidi" w:hAnsiTheme="minorBidi"/>
          <w:sz w:val="24"/>
          <w:szCs w:val="24"/>
        </w:rPr>
        <w:t>. Nonetheless, at the beginning of the 20th century, the institutional care was once again highly medicalised, with the focus on physical health rather than emotional and social well-being.</w:t>
      </w:r>
    </w:p>
    <w:p w14:paraId="0BEFECE2" w14:textId="674A75D8" w:rsidR="00F82C5E" w:rsidRPr="00B02508" w:rsidRDefault="00C51316" w:rsidP="00195C3C">
      <w:pPr>
        <w:spacing w:before="240" w:after="240"/>
        <w:jc w:val="left"/>
        <w:rPr>
          <w:rFonts w:asciiTheme="minorBidi" w:hAnsiTheme="minorBidi"/>
          <w:sz w:val="24"/>
          <w:szCs w:val="24"/>
        </w:rPr>
      </w:pPr>
      <w:r w:rsidRPr="00B02508">
        <w:rPr>
          <w:rFonts w:asciiTheme="minorBidi" w:hAnsiTheme="minorBidi"/>
          <w:sz w:val="24"/>
          <w:szCs w:val="24"/>
        </w:rPr>
        <w:t xml:space="preserve">Another significant shift came in the </w:t>
      </w:r>
      <w:r w:rsidR="002541D9" w:rsidRPr="00B02508">
        <w:rPr>
          <w:rFonts w:asciiTheme="minorBidi" w:hAnsiTheme="minorBidi"/>
          <w:sz w:val="24"/>
          <w:szCs w:val="24"/>
        </w:rPr>
        <w:t>mid-20th</w:t>
      </w:r>
      <w:r w:rsidRPr="00B02508">
        <w:rPr>
          <w:rFonts w:asciiTheme="minorBidi" w:hAnsiTheme="minorBidi"/>
          <w:sz w:val="24"/>
          <w:szCs w:val="24"/>
        </w:rPr>
        <w:t xml:space="preserve"> century, with the process of deinstitutionalisation (1950s</w:t>
      </w:r>
      <w:r w:rsidR="002A63D0" w:rsidRPr="00B02508">
        <w:rPr>
          <w:rFonts w:asciiTheme="minorBidi" w:hAnsiTheme="minorBidi"/>
          <w:sz w:val="24"/>
          <w:szCs w:val="24"/>
        </w:rPr>
        <w:t>-</w:t>
      </w:r>
      <w:r w:rsidRPr="00B02508">
        <w:rPr>
          <w:rFonts w:asciiTheme="minorBidi" w:hAnsiTheme="minorBidi"/>
          <w:sz w:val="24"/>
          <w:szCs w:val="24"/>
        </w:rPr>
        <w:t>1970s), especially in the United States and the United Kingdom, with the massive psychiatric institutions gradually being shut down and their place being occupied with community-based services</w:t>
      </w:r>
      <w:r w:rsidR="00CA0522" w:rsidRPr="00B02508">
        <w:rPr>
          <w:rFonts w:asciiTheme="minorBidi" w:hAnsiTheme="minorBidi"/>
          <w:sz w:val="24"/>
          <w:szCs w:val="24"/>
        </w:rPr>
        <w:t xml:space="preserve"> (Montenegro Cortés et al., 2023)</w:t>
      </w:r>
      <w:r w:rsidRPr="00B02508">
        <w:rPr>
          <w:rFonts w:asciiTheme="minorBidi" w:hAnsiTheme="minorBidi"/>
          <w:sz w:val="24"/>
          <w:szCs w:val="24"/>
        </w:rPr>
        <w:t>. This was predetermined by the increasing criticism of the institutional conditions and the new research of the significance of social environments on mental health. This was also influenced by theoretical contributions, such as the works of Émile Durkheim (1897), which showed that weak social integration makes a person more susceptible to mental distress</w:t>
      </w:r>
      <w:r w:rsidR="006E1FBB" w:rsidRPr="00B02508">
        <w:rPr>
          <w:rFonts w:asciiTheme="minorBidi" w:hAnsiTheme="minorBidi"/>
          <w:sz w:val="24"/>
          <w:szCs w:val="24"/>
        </w:rPr>
        <w:t xml:space="preserve"> (Crossman, 2020)</w:t>
      </w:r>
      <w:r w:rsidR="003A2EDF" w:rsidRPr="00B02508">
        <w:rPr>
          <w:rFonts w:asciiTheme="minorBidi" w:hAnsiTheme="minorBidi"/>
          <w:sz w:val="24"/>
          <w:szCs w:val="24"/>
        </w:rPr>
        <w:t>. W</w:t>
      </w:r>
      <w:r w:rsidRPr="00B02508">
        <w:rPr>
          <w:rFonts w:asciiTheme="minorBidi" w:hAnsiTheme="minorBidi"/>
          <w:sz w:val="24"/>
          <w:szCs w:val="24"/>
        </w:rPr>
        <w:t>orks by John Bowlby (1950s), who emphasized that emotional bonds and relationships can be of great importance throughout a human life</w:t>
      </w:r>
      <w:r w:rsidR="00174BE3" w:rsidRPr="00B02508">
        <w:rPr>
          <w:rFonts w:asciiTheme="minorBidi" w:hAnsiTheme="minorBidi"/>
          <w:sz w:val="24"/>
          <w:szCs w:val="24"/>
        </w:rPr>
        <w:t xml:space="preserve"> </w:t>
      </w:r>
      <w:r w:rsidR="0064640D" w:rsidRPr="00B02508">
        <w:rPr>
          <w:rFonts w:asciiTheme="minorBidi" w:hAnsiTheme="minorBidi"/>
          <w:sz w:val="24"/>
          <w:szCs w:val="24"/>
        </w:rPr>
        <w:t>(Horst, Rosmalen and Veer, 2024)</w:t>
      </w:r>
      <w:r w:rsidRPr="00B02508">
        <w:rPr>
          <w:rFonts w:asciiTheme="minorBidi" w:hAnsiTheme="minorBidi"/>
          <w:sz w:val="24"/>
          <w:szCs w:val="24"/>
        </w:rPr>
        <w:t>. These trends supported the perception that interacting with others is the key to psychological health, especially when it comes to vulnerable populations like the elderly.</w:t>
      </w:r>
    </w:p>
    <w:p w14:paraId="4D42201B" w14:textId="338422FE" w:rsidR="00BD2909" w:rsidRPr="00B02508" w:rsidRDefault="00C51316" w:rsidP="00195C3C">
      <w:pPr>
        <w:spacing w:before="240" w:after="240"/>
        <w:jc w:val="left"/>
        <w:rPr>
          <w:rFonts w:asciiTheme="minorBidi" w:hAnsiTheme="minorBidi"/>
          <w:sz w:val="24"/>
          <w:szCs w:val="24"/>
        </w:rPr>
      </w:pPr>
      <w:r w:rsidRPr="00B02508">
        <w:rPr>
          <w:rFonts w:asciiTheme="minorBidi" w:hAnsiTheme="minorBidi"/>
          <w:sz w:val="24"/>
          <w:szCs w:val="24"/>
        </w:rPr>
        <w:t>Since the end of the 20th century, this emphasis has changed the goal towards enhancing the quality of care in the field of long-term care facilities (LTCFs). In the 90s and the first years of the 2000s, the models of person-centred care came into focus with their accent on dignity, autonomy, and social engagement as the primary aspects of care delivery</w:t>
      </w:r>
      <w:r w:rsidR="00840EBD" w:rsidRPr="00B02508">
        <w:rPr>
          <w:rFonts w:asciiTheme="minorBidi" w:hAnsiTheme="minorBidi"/>
          <w:sz w:val="24"/>
          <w:szCs w:val="24"/>
        </w:rPr>
        <w:t xml:space="preserve"> (</w:t>
      </w:r>
      <w:proofErr w:type="spellStart"/>
      <w:r w:rsidR="00840EBD" w:rsidRPr="00B02508">
        <w:rPr>
          <w:rFonts w:asciiTheme="minorBidi" w:hAnsiTheme="minorBidi"/>
          <w:sz w:val="24"/>
          <w:szCs w:val="24"/>
        </w:rPr>
        <w:t>Švab</w:t>
      </w:r>
      <w:proofErr w:type="spellEnd"/>
      <w:r w:rsidR="00840EBD" w:rsidRPr="00B02508">
        <w:rPr>
          <w:rFonts w:asciiTheme="minorBidi" w:hAnsiTheme="minorBidi"/>
          <w:sz w:val="24"/>
          <w:szCs w:val="24"/>
        </w:rPr>
        <w:t xml:space="preserve"> and </w:t>
      </w:r>
      <w:proofErr w:type="spellStart"/>
      <w:r w:rsidR="00840EBD" w:rsidRPr="00B02508">
        <w:rPr>
          <w:rFonts w:asciiTheme="minorBidi" w:hAnsiTheme="minorBidi"/>
          <w:sz w:val="24"/>
          <w:szCs w:val="24"/>
        </w:rPr>
        <w:t>Cerovečki</w:t>
      </w:r>
      <w:proofErr w:type="spellEnd"/>
      <w:r w:rsidR="00840EBD" w:rsidRPr="00B02508">
        <w:rPr>
          <w:rFonts w:asciiTheme="minorBidi" w:hAnsiTheme="minorBidi"/>
          <w:sz w:val="24"/>
          <w:szCs w:val="24"/>
        </w:rPr>
        <w:t>, 2024)</w:t>
      </w:r>
      <w:r w:rsidRPr="00B02508">
        <w:rPr>
          <w:rFonts w:asciiTheme="minorBidi" w:hAnsiTheme="minorBidi"/>
          <w:sz w:val="24"/>
          <w:szCs w:val="24"/>
        </w:rPr>
        <w:t>. Other organisations, including the World Health Organization, also promoted this agenda by developing programmes like the Active Ageing Framework (2002) that identified social participation as a (health) determinant</w:t>
      </w:r>
      <w:r w:rsidR="00692855" w:rsidRPr="00B02508">
        <w:rPr>
          <w:rFonts w:asciiTheme="minorBidi" w:hAnsiTheme="minorBidi"/>
          <w:sz w:val="24"/>
          <w:szCs w:val="24"/>
        </w:rPr>
        <w:t xml:space="preserve"> (World Health Organization, 2002)</w:t>
      </w:r>
      <w:r w:rsidRPr="00B02508">
        <w:rPr>
          <w:rFonts w:asciiTheme="minorBidi" w:hAnsiTheme="minorBidi"/>
          <w:sz w:val="24"/>
          <w:szCs w:val="24"/>
        </w:rPr>
        <w:t>. More recently, the COVID-19 pandemic (2020</w:t>
      </w:r>
      <w:r w:rsidR="00832C54" w:rsidRPr="00B02508">
        <w:rPr>
          <w:rFonts w:asciiTheme="minorBidi" w:hAnsiTheme="minorBidi"/>
          <w:sz w:val="24"/>
          <w:szCs w:val="24"/>
        </w:rPr>
        <w:t>-</w:t>
      </w:r>
      <w:r w:rsidRPr="00B02508">
        <w:rPr>
          <w:rFonts w:asciiTheme="minorBidi" w:hAnsiTheme="minorBidi"/>
          <w:sz w:val="24"/>
          <w:szCs w:val="24"/>
        </w:rPr>
        <w:t>2022) revealed extreme vulnerabilities of LTCFs, with visitation bans causing even more isolation, depression, and anxiety in the residents</w:t>
      </w:r>
      <w:r w:rsidR="002826D0" w:rsidRPr="00B02508">
        <w:rPr>
          <w:rFonts w:asciiTheme="minorBidi" w:hAnsiTheme="minorBidi"/>
          <w:sz w:val="24"/>
          <w:szCs w:val="24"/>
        </w:rPr>
        <w:t xml:space="preserve"> (Benzinger et al., 2023)</w:t>
      </w:r>
      <w:r w:rsidRPr="00B02508">
        <w:rPr>
          <w:rFonts w:asciiTheme="minorBidi" w:hAnsiTheme="minorBidi"/>
          <w:sz w:val="24"/>
          <w:szCs w:val="24"/>
        </w:rPr>
        <w:t>. These historical processes show that there is a clear trend of institutional control to a more holistic concept of care, in which social support is currently identified as a core mental health element in older adults.</w:t>
      </w:r>
    </w:p>
    <w:p w14:paraId="4C48092F" w14:textId="3D6DB971" w:rsidR="00BD2909" w:rsidRPr="00B02508" w:rsidRDefault="00BD2909" w:rsidP="00EA5A90">
      <w:pPr>
        <w:pStyle w:val="Heading2"/>
        <w:numPr>
          <w:ilvl w:val="1"/>
          <w:numId w:val="3"/>
        </w:numPr>
        <w:spacing w:before="240" w:after="240"/>
        <w:jc w:val="left"/>
        <w:rPr>
          <w:rFonts w:asciiTheme="minorBidi" w:hAnsiTheme="minorBidi" w:cstheme="minorBidi"/>
          <w:b/>
          <w:bCs/>
          <w:color w:val="auto"/>
          <w:szCs w:val="24"/>
        </w:rPr>
      </w:pPr>
      <w:r w:rsidRPr="00B02508">
        <w:rPr>
          <w:rStyle w:val="normaltextrun"/>
          <w:rFonts w:asciiTheme="minorBidi" w:hAnsiTheme="minorBidi" w:cstheme="minorBidi"/>
          <w:b/>
          <w:bCs/>
          <w:color w:val="auto"/>
          <w:szCs w:val="24"/>
        </w:rPr>
        <w:t>Theoretical Background</w:t>
      </w:r>
      <w:r w:rsidRPr="00B02508">
        <w:rPr>
          <w:rStyle w:val="eop"/>
          <w:rFonts w:asciiTheme="minorBidi" w:eastAsia="Calibri Light" w:hAnsiTheme="minorBidi" w:cstheme="minorBidi"/>
          <w:b/>
          <w:bCs/>
          <w:color w:val="auto"/>
          <w:szCs w:val="24"/>
        </w:rPr>
        <w:t> </w:t>
      </w:r>
    </w:p>
    <w:p w14:paraId="2B374C40" w14:textId="5A0A33AA" w:rsidR="009A7017" w:rsidRPr="00B02508" w:rsidRDefault="009A7017" w:rsidP="00195C3C">
      <w:pPr>
        <w:spacing w:before="240" w:after="240"/>
        <w:jc w:val="left"/>
        <w:rPr>
          <w:rFonts w:asciiTheme="minorBidi" w:hAnsiTheme="minorBidi"/>
          <w:sz w:val="24"/>
          <w:szCs w:val="24"/>
        </w:rPr>
      </w:pPr>
      <w:r w:rsidRPr="00B02508">
        <w:rPr>
          <w:rFonts w:asciiTheme="minorBidi" w:hAnsiTheme="minorBidi"/>
          <w:sz w:val="24"/>
          <w:szCs w:val="24"/>
        </w:rPr>
        <w:t>Several key theories underpin this research on social support and mental health among older adults in long-term care facilities. Social Support Theory is central, suggesting that emotional, informational, and instrumental support directly influence psychological well-being</w:t>
      </w:r>
      <w:r w:rsidR="003616A6" w:rsidRPr="00B02508">
        <w:rPr>
          <w:rFonts w:asciiTheme="minorBidi" w:hAnsiTheme="minorBidi"/>
          <w:sz w:val="24"/>
          <w:szCs w:val="24"/>
        </w:rPr>
        <w:t xml:space="preserve"> (L. Boyar et al., 2014)</w:t>
      </w:r>
      <w:r w:rsidRPr="00B02508">
        <w:rPr>
          <w:rFonts w:asciiTheme="minorBidi" w:hAnsiTheme="minorBidi"/>
          <w:sz w:val="24"/>
          <w:szCs w:val="24"/>
        </w:rPr>
        <w:t>. This is closely linked to the Stress Buffering Hypothesis</w:t>
      </w:r>
      <w:r w:rsidR="007E07D3" w:rsidRPr="00B02508">
        <w:rPr>
          <w:rFonts w:asciiTheme="minorBidi" w:hAnsiTheme="minorBidi"/>
          <w:sz w:val="24"/>
          <w:szCs w:val="24"/>
        </w:rPr>
        <w:t xml:space="preserve">, </w:t>
      </w:r>
      <w:r w:rsidRPr="00B02508">
        <w:rPr>
          <w:rFonts w:asciiTheme="minorBidi" w:hAnsiTheme="minorBidi"/>
          <w:sz w:val="24"/>
          <w:szCs w:val="24"/>
        </w:rPr>
        <w:t>which proposes that social support protects individuals from the negative effects of stress, such as depression and anxiety</w:t>
      </w:r>
      <w:r w:rsidR="006F4546" w:rsidRPr="00B02508">
        <w:rPr>
          <w:rFonts w:asciiTheme="minorBidi" w:hAnsiTheme="minorBidi"/>
          <w:sz w:val="24"/>
          <w:szCs w:val="24"/>
        </w:rPr>
        <w:t xml:space="preserve"> (Acoba, 2024)</w:t>
      </w:r>
      <w:r w:rsidRPr="00B02508">
        <w:rPr>
          <w:rFonts w:asciiTheme="minorBidi" w:hAnsiTheme="minorBidi"/>
          <w:sz w:val="24"/>
          <w:szCs w:val="24"/>
        </w:rPr>
        <w:t>. Additionally, Attachment Theory, developed by John Bowlby, highlights the importance of secure emotional bonds throughout the lifespan, including in later life</w:t>
      </w:r>
      <w:r w:rsidR="002364B9" w:rsidRPr="00B02508">
        <w:rPr>
          <w:rFonts w:asciiTheme="minorBidi" w:hAnsiTheme="minorBidi"/>
          <w:sz w:val="24"/>
          <w:szCs w:val="24"/>
        </w:rPr>
        <w:t xml:space="preserve"> (McLeod, 2025)</w:t>
      </w:r>
      <w:r w:rsidRPr="00B02508">
        <w:rPr>
          <w:rFonts w:asciiTheme="minorBidi" w:hAnsiTheme="minorBidi"/>
          <w:sz w:val="24"/>
          <w:szCs w:val="24"/>
        </w:rPr>
        <w:t>. These theories collectively emphasise that social relationships are fundamental determinants of mental health, particularly for vulnerable populations such as older adults in institutional settings.</w:t>
      </w:r>
    </w:p>
    <w:p w14:paraId="0374F63D" w14:textId="60169500" w:rsidR="009A7017" w:rsidRPr="00B02508" w:rsidRDefault="009A7017" w:rsidP="00195C3C">
      <w:pPr>
        <w:spacing w:before="240" w:after="240"/>
        <w:jc w:val="left"/>
        <w:rPr>
          <w:rFonts w:asciiTheme="minorBidi" w:hAnsiTheme="minorBidi"/>
          <w:sz w:val="24"/>
          <w:szCs w:val="24"/>
        </w:rPr>
      </w:pPr>
      <w:r w:rsidRPr="00B02508">
        <w:rPr>
          <w:rFonts w:asciiTheme="minorBidi" w:hAnsiTheme="minorBidi"/>
          <w:sz w:val="24"/>
          <w:szCs w:val="24"/>
        </w:rPr>
        <w:t xml:space="preserve">These theories have been widely applied in research examining mental health outcomes in older adults. </w:t>
      </w:r>
      <w:r w:rsidR="00C33A30" w:rsidRPr="00B02508">
        <w:rPr>
          <w:rFonts w:asciiTheme="minorBidi" w:hAnsiTheme="minorBidi"/>
          <w:sz w:val="24"/>
          <w:szCs w:val="24"/>
        </w:rPr>
        <w:t>S</w:t>
      </w:r>
      <w:r w:rsidRPr="00B02508">
        <w:rPr>
          <w:rFonts w:asciiTheme="minorBidi" w:hAnsiTheme="minorBidi"/>
          <w:sz w:val="24"/>
          <w:szCs w:val="24"/>
        </w:rPr>
        <w:t>tudies based on Social Support Theory have demonstrated that residents in long-term care facilities with frequent family visits and strong peer relationships report lower levels of depression and higher life satisfaction (Underwood et al., 2013). Similarly, the Stress Buffering Hypothesis has been applied to show that social engagement activities</w:t>
      </w:r>
      <w:r w:rsidR="00380657" w:rsidRPr="00B02508">
        <w:rPr>
          <w:rFonts w:asciiTheme="minorBidi" w:hAnsiTheme="minorBidi"/>
          <w:sz w:val="24"/>
          <w:szCs w:val="24"/>
        </w:rPr>
        <w:t xml:space="preserve">, </w:t>
      </w:r>
      <w:r w:rsidRPr="00B02508">
        <w:rPr>
          <w:rFonts w:asciiTheme="minorBidi" w:hAnsiTheme="minorBidi"/>
          <w:sz w:val="24"/>
          <w:szCs w:val="24"/>
        </w:rPr>
        <w:t>such as group programmes and caregiver interaction</w:t>
      </w:r>
      <w:r w:rsidR="00212A65" w:rsidRPr="00B02508">
        <w:rPr>
          <w:rFonts w:asciiTheme="minorBidi" w:hAnsiTheme="minorBidi"/>
          <w:sz w:val="24"/>
          <w:szCs w:val="24"/>
        </w:rPr>
        <w:t xml:space="preserve">, </w:t>
      </w:r>
      <w:r w:rsidRPr="00B02508">
        <w:rPr>
          <w:rFonts w:asciiTheme="minorBidi" w:hAnsiTheme="minorBidi"/>
          <w:sz w:val="24"/>
          <w:szCs w:val="24"/>
        </w:rPr>
        <w:t>reduce anxiety and emotional distress among elderly residents</w:t>
      </w:r>
      <w:r w:rsidR="00A76CEE" w:rsidRPr="00B02508">
        <w:rPr>
          <w:rFonts w:asciiTheme="minorBidi" w:hAnsiTheme="minorBidi"/>
          <w:sz w:val="24"/>
          <w:szCs w:val="24"/>
        </w:rPr>
        <w:t xml:space="preserve"> (</w:t>
      </w:r>
      <w:proofErr w:type="spellStart"/>
      <w:r w:rsidR="00A76CEE" w:rsidRPr="00B02508">
        <w:rPr>
          <w:rFonts w:asciiTheme="minorBidi" w:hAnsiTheme="minorBidi"/>
          <w:sz w:val="24"/>
          <w:szCs w:val="24"/>
        </w:rPr>
        <w:t>Smulowitz</w:t>
      </w:r>
      <w:proofErr w:type="spellEnd"/>
      <w:r w:rsidR="00A76CEE" w:rsidRPr="00B02508">
        <w:rPr>
          <w:rFonts w:asciiTheme="minorBidi" w:hAnsiTheme="minorBidi"/>
          <w:sz w:val="24"/>
          <w:szCs w:val="24"/>
        </w:rPr>
        <w:t xml:space="preserve"> et al., 2023)</w:t>
      </w:r>
      <w:r w:rsidRPr="00B02508">
        <w:rPr>
          <w:rFonts w:asciiTheme="minorBidi" w:hAnsiTheme="minorBidi"/>
          <w:sz w:val="24"/>
          <w:szCs w:val="24"/>
        </w:rPr>
        <w:t>. Attachment Theory has also been used to explain how the loss of close relationships or reduced family contact in LTCFs can lead to feelings of insecurity, loneliness, and psychological decline. These applications highlight how theoretical frameworks directly inform interventions aimed at improving mental health through enhanced social support systems.</w:t>
      </w:r>
    </w:p>
    <w:p w14:paraId="1787DF7C" w14:textId="511A0A0D" w:rsidR="00BD2909" w:rsidRPr="00B02508" w:rsidRDefault="009A7017" w:rsidP="00195C3C">
      <w:pPr>
        <w:spacing w:before="240" w:after="240"/>
        <w:jc w:val="left"/>
        <w:rPr>
          <w:rFonts w:asciiTheme="minorBidi" w:hAnsiTheme="minorBidi"/>
          <w:sz w:val="24"/>
          <w:szCs w:val="24"/>
        </w:rPr>
      </w:pPr>
      <w:r w:rsidRPr="00B02508">
        <w:rPr>
          <w:rFonts w:asciiTheme="minorBidi" w:hAnsiTheme="minorBidi"/>
          <w:sz w:val="24"/>
          <w:szCs w:val="24"/>
        </w:rPr>
        <w:t>While these theories provide valuable insights, they also have limitations. Social Support Theory and the Stress Buffering Hypothesis often assume that all forms of support are beneficial, overlooking the potential for negative or inadequate support. Attachment Theory has been criticised for its strong focus on early-life relationships, which may not fully account for changing social dynamics in older adulthood</w:t>
      </w:r>
      <w:r w:rsidR="007F307C" w:rsidRPr="00B02508">
        <w:rPr>
          <w:rFonts w:asciiTheme="minorBidi" w:hAnsiTheme="minorBidi"/>
          <w:sz w:val="24"/>
          <w:szCs w:val="24"/>
        </w:rPr>
        <w:t xml:space="preserve"> (Thompson, Simpson and Berlin, 2022)</w:t>
      </w:r>
      <w:r w:rsidRPr="00B02508">
        <w:rPr>
          <w:rFonts w:asciiTheme="minorBidi" w:hAnsiTheme="minorBidi"/>
          <w:sz w:val="24"/>
          <w:szCs w:val="24"/>
        </w:rPr>
        <w:t>. Similarly, Maslow’s Hierarchy has been challenged for its lack of empirical consistency and cultural bias. There is also ongoing debate regarding whether social support acts as a direct determinant of mental health or as a mediating factor influenced by individual and environmental variables</w:t>
      </w:r>
      <w:r w:rsidR="00657200" w:rsidRPr="00B02508">
        <w:rPr>
          <w:rFonts w:asciiTheme="minorBidi" w:hAnsiTheme="minorBidi"/>
          <w:sz w:val="24"/>
          <w:szCs w:val="24"/>
        </w:rPr>
        <w:t xml:space="preserve"> (Cohen, 2004)</w:t>
      </w:r>
      <w:r w:rsidRPr="00B02508">
        <w:rPr>
          <w:rFonts w:asciiTheme="minorBidi" w:hAnsiTheme="minorBidi"/>
          <w:sz w:val="24"/>
          <w:szCs w:val="24"/>
        </w:rPr>
        <w:t>. Therefore, while these theories offer a strong foundation, a more integrated and context-specific approach is necessary when applying them to long-term care settings.</w:t>
      </w:r>
      <w:r w:rsidR="00BD2909" w:rsidRPr="00B02508">
        <w:rPr>
          <w:rStyle w:val="eop"/>
          <w:rFonts w:asciiTheme="minorBidi" w:eastAsia="Calibri Light" w:hAnsiTheme="minorBidi"/>
          <w:sz w:val="24"/>
          <w:szCs w:val="24"/>
        </w:rPr>
        <w:t> </w:t>
      </w:r>
    </w:p>
    <w:p w14:paraId="529565AC" w14:textId="7B662BD0" w:rsidR="00BD2909" w:rsidRPr="00B02508" w:rsidRDefault="00BD2909" w:rsidP="00EA5A90">
      <w:pPr>
        <w:pStyle w:val="Heading2"/>
        <w:numPr>
          <w:ilvl w:val="1"/>
          <w:numId w:val="3"/>
        </w:numPr>
        <w:spacing w:before="240" w:after="240"/>
        <w:jc w:val="left"/>
        <w:rPr>
          <w:rFonts w:asciiTheme="minorBidi" w:hAnsiTheme="minorBidi" w:cstheme="minorBidi"/>
          <w:b/>
          <w:bCs/>
          <w:color w:val="auto"/>
          <w:szCs w:val="24"/>
        </w:rPr>
      </w:pPr>
      <w:r w:rsidRPr="00B02508">
        <w:rPr>
          <w:rStyle w:val="normaltextrun"/>
          <w:rFonts w:asciiTheme="minorBidi" w:hAnsiTheme="minorBidi" w:cstheme="minorBidi"/>
          <w:b/>
          <w:bCs/>
          <w:color w:val="auto"/>
          <w:szCs w:val="24"/>
        </w:rPr>
        <w:t>International Context</w:t>
      </w:r>
    </w:p>
    <w:p w14:paraId="5236CB58" w14:textId="483F19AB" w:rsidR="0023286B" w:rsidRPr="00B02508" w:rsidRDefault="00A54987" w:rsidP="00195C3C">
      <w:pPr>
        <w:spacing w:before="240" w:after="240"/>
        <w:jc w:val="left"/>
        <w:rPr>
          <w:rFonts w:asciiTheme="minorBidi" w:eastAsia="Calibri Light" w:hAnsiTheme="minorBidi"/>
          <w:sz w:val="24"/>
          <w:szCs w:val="24"/>
        </w:rPr>
      </w:pPr>
      <w:r w:rsidRPr="00B02508">
        <w:rPr>
          <w:rFonts w:asciiTheme="minorBidi" w:eastAsia="Calibri Light" w:hAnsiTheme="minorBidi"/>
          <w:sz w:val="24"/>
          <w:szCs w:val="24"/>
        </w:rPr>
        <w:t>On a national level, mental health of older people in long-term care facilities (LTCFs) is becoming a social health issue of concern due to the high rate of population ageing. The World Health Organization claimed that the percentage of individuals aged 60 to 80 and above is increasing in all countries, and it is likely to rise by 2050</w:t>
      </w:r>
      <w:r w:rsidR="00654D0D" w:rsidRPr="00B02508">
        <w:rPr>
          <w:rFonts w:asciiTheme="minorBidi" w:eastAsia="Calibri Light" w:hAnsiTheme="minorBidi"/>
          <w:sz w:val="24"/>
          <w:szCs w:val="24"/>
        </w:rPr>
        <w:t xml:space="preserve"> (WHO, 2024)</w:t>
      </w:r>
      <w:r w:rsidRPr="00B02508">
        <w:rPr>
          <w:rFonts w:asciiTheme="minorBidi" w:eastAsia="Calibri Light" w:hAnsiTheme="minorBidi"/>
          <w:sz w:val="24"/>
          <w:szCs w:val="24"/>
        </w:rPr>
        <w:t>. Awareness in the role of social support and person-centred care in elderly care in the international context is increasing. The concept of social participation, inclusion and mental well-being has become a priority in such policies, including the WHO Active Ageing Framework (2002) and Decade of Healthy Ageing (2021</w:t>
      </w:r>
      <w:r w:rsidR="000972BC" w:rsidRPr="00B02508">
        <w:rPr>
          <w:rFonts w:asciiTheme="minorBidi" w:eastAsia="Calibri Light" w:hAnsiTheme="minorBidi"/>
          <w:sz w:val="24"/>
          <w:szCs w:val="24"/>
        </w:rPr>
        <w:t>-</w:t>
      </w:r>
      <w:r w:rsidRPr="00B02508">
        <w:rPr>
          <w:rFonts w:asciiTheme="minorBidi" w:eastAsia="Calibri Light" w:hAnsiTheme="minorBidi"/>
          <w:sz w:val="24"/>
          <w:szCs w:val="24"/>
        </w:rPr>
        <w:t>2030)</w:t>
      </w:r>
      <w:r w:rsidR="003B597E" w:rsidRPr="00B02508">
        <w:rPr>
          <w:rFonts w:asciiTheme="minorBidi" w:eastAsia="Calibri Light" w:hAnsiTheme="minorBidi"/>
          <w:sz w:val="24"/>
          <w:szCs w:val="24"/>
        </w:rPr>
        <w:t xml:space="preserve"> (WHO, 2020)</w:t>
      </w:r>
      <w:r w:rsidRPr="00B02508">
        <w:rPr>
          <w:rFonts w:asciiTheme="minorBidi" w:eastAsia="Calibri Light" w:hAnsiTheme="minorBidi"/>
          <w:sz w:val="24"/>
          <w:szCs w:val="24"/>
        </w:rPr>
        <w:t>. On the same line, high income nations like the UK, Sweden and Japan have come up with national plans to alleviate loneliness and enhance the social interactions of elderly people, there is a close relationship between the social isolation and mental health outcomes</w:t>
      </w:r>
      <w:r w:rsidR="006C2BA7" w:rsidRPr="00B02508">
        <w:rPr>
          <w:rFonts w:asciiTheme="minorBidi" w:eastAsia="Calibri Light" w:hAnsiTheme="minorBidi"/>
          <w:sz w:val="24"/>
          <w:szCs w:val="24"/>
        </w:rPr>
        <w:t xml:space="preserve"> (Dahlberg et al., 2024)</w:t>
      </w:r>
      <w:r w:rsidRPr="00B02508">
        <w:rPr>
          <w:rFonts w:asciiTheme="minorBidi" w:eastAsia="Calibri Light" w:hAnsiTheme="minorBidi"/>
          <w:sz w:val="24"/>
          <w:szCs w:val="24"/>
        </w:rPr>
        <w:t>.</w:t>
      </w:r>
    </w:p>
    <w:p w14:paraId="3495CB42" w14:textId="3B6E2884" w:rsidR="00D71358" w:rsidRPr="00B02508" w:rsidRDefault="00A54987" w:rsidP="00195C3C">
      <w:pPr>
        <w:spacing w:before="240" w:after="240"/>
        <w:jc w:val="left"/>
        <w:rPr>
          <w:rFonts w:asciiTheme="minorBidi" w:eastAsia="Calibri Light" w:hAnsiTheme="minorBidi"/>
          <w:sz w:val="24"/>
          <w:szCs w:val="24"/>
        </w:rPr>
      </w:pPr>
      <w:r w:rsidRPr="00B02508">
        <w:rPr>
          <w:rFonts w:asciiTheme="minorBidi" w:eastAsia="Calibri Light" w:hAnsiTheme="minorBidi"/>
          <w:sz w:val="24"/>
          <w:szCs w:val="24"/>
        </w:rPr>
        <w:t>Comparative analysis has shown that there is a great difference in the way countries confront this issue. In Scandinavian countries including Sweden, LTCFs follow a very personal and socially based model, where the residents are stimulated to engage in community-based activities and have autonomy</w:t>
      </w:r>
      <w:r w:rsidR="00C74FE2" w:rsidRPr="00B02508">
        <w:rPr>
          <w:rFonts w:asciiTheme="minorBidi" w:eastAsia="Calibri Light" w:hAnsiTheme="minorBidi"/>
          <w:sz w:val="24"/>
          <w:szCs w:val="24"/>
        </w:rPr>
        <w:t xml:space="preserve"> (Rostgaard et al., 2022)</w:t>
      </w:r>
      <w:r w:rsidRPr="00B02508">
        <w:rPr>
          <w:rFonts w:asciiTheme="minorBidi" w:eastAsia="Calibri Light" w:hAnsiTheme="minorBidi"/>
          <w:sz w:val="24"/>
          <w:szCs w:val="24"/>
        </w:rPr>
        <w:t>. Conversely, such nations as Japan, though having one of the oldest populations in the world, have difficulties connected with the workforce shortages and the need to offer more and more institutional care, which can restrict one one-on-one social interaction</w:t>
      </w:r>
      <w:r w:rsidR="00191A9C" w:rsidRPr="00B02508">
        <w:rPr>
          <w:rFonts w:asciiTheme="minorBidi" w:eastAsia="Calibri Light" w:hAnsiTheme="minorBidi"/>
          <w:sz w:val="24"/>
          <w:szCs w:val="24"/>
        </w:rPr>
        <w:t xml:space="preserve"> (Edmond and North, 2023)</w:t>
      </w:r>
      <w:r w:rsidRPr="00B02508">
        <w:rPr>
          <w:rFonts w:asciiTheme="minorBidi" w:eastAsia="Calibri Light" w:hAnsiTheme="minorBidi"/>
          <w:sz w:val="24"/>
          <w:szCs w:val="24"/>
        </w:rPr>
        <w:t>. The UK policies on the topic include the Care Act 2014, which focuses on well-being and social inclusion, but the availability of resources can be used to influence the uniformity of the implementation procedure</w:t>
      </w:r>
      <w:r w:rsidR="00BA12BA" w:rsidRPr="00B02508">
        <w:rPr>
          <w:rFonts w:asciiTheme="minorBidi" w:eastAsia="Calibri Light" w:hAnsiTheme="minorBidi"/>
          <w:sz w:val="24"/>
          <w:szCs w:val="24"/>
        </w:rPr>
        <w:t xml:space="preserve"> (Care Act, 2014)</w:t>
      </w:r>
      <w:r w:rsidRPr="00B02508">
        <w:rPr>
          <w:rFonts w:asciiTheme="minorBidi" w:eastAsia="Calibri Light" w:hAnsiTheme="minorBidi"/>
          <w:sz w:val="24"/>
          <w:szCs w:val="24"/>
        </w:rPr>
        <w:t>. Formal LTCFs are less developed in the lower</w:t>
      </w:r>
      <w:r w:rsidR="00680AAD" w:rsidRPr="00B02508">
        <w:rPr>
          <w:rFonts w:asciiTheme="minorBidi" w:eastAsia="Calibri Light" w:hAnsiTheme="minorBidi"/>
          <w:sz w:val="24"/>
          <w:szCs w:val="24"/>
        </w:rPr>
        <w:t xml:space="preserve"> </w:t>
      </w:r>
      <w:r w:rsidRPr="00B02508">
        <w:rPr>
          <w:rFonts w:asciiTheme="minorBidi" w:eastAsia="Calibri Light" w:hAnsiTheme="minorBidi"/>
          <w:sz w:val="24"/>
          <w:szCs w:val="24"/>
        </w:rPr>
        <w:t>and middle-income countries, with other parts of South Asia included, with the elderly traditionally being family-centred, though the support systems are increasingly being sapped by urbanisation and shifting social frameworks</w:t>
      </w:r>
      <w:r w:rsidR="00B46546" w:rsidRPr="00B02508">
        <w:rPr>
          <w:rFonts w:asciiTheme="minorBidi" w:eastAsia="Calibri Light" w:hAnsiTheme="minorBidi"/>
          <w:sz w:val="24"/>
          <w:szCs w:val="24"/>
        </w:rPr>
        <w:t xml:space="preserve"> (Jahangir et al., 2025)</w:t>
      </w:r>
      <w:r w:rsidRPr="00B02508">
        <w:rPr>
          <w:rFonts w:asciiTheme="minorBidi" w:eastAsia="Calibri Light" w:hAnsiTheme="minorBidi"/>
          <w:sz w:val="24"/>
          <w:szCs w:val="24"/>
        </w:rPr>
        <w:t>. This brings out a worldwide gap between policy wish and operational implementation.</w:t>
      </w:r>
    </w:p>
    <w:p w14:paraId="302C6B72" w14:textId="3C3D2C55" w:rsidR="00BD2909" w:rsidRPr="00B02508" w:rsidRDefault="00A54987" w:rsidP="00195C3C">
      <w:pPr>
        <w:spacing w:before="240" w:after="240"/>
        <w:jc w:val="left"/>
        <w:rPr>
          <w:rFonts w:asciiTheme="minorBidi" w:eastAsia="Calibri Light" w:hAnsiTheme="minorBidi"/>
          <w:sz w:val="24"/>
          <w:szCs w:val="24"/>
        </w:rPr>
      </w:pPr>
      <w:r w:rsidRPr="00B02508">
        <w:rPr>
          <w:rFonts w:asciiTheme="minorBidi" w:eastAsia="Calibri Light" w:hAnsiTheme="minorBidi"/>
          <w:sz w:val="24"/>
          <w:szCs w:val="24"/>
        </w:rPr>
        <w:t xml:space="preserve">The differences are also demonstrated by real-life case studies. The </w:t>
      </w:r>
      <w:proofErr w:type="spellStart"/>
      <w:r w:rsidRPr="00B02508">
        <w:rPr>
          <w:rFonts w:asciiTheme="minorBidi" w:eastAsia="Calibri Light" w:hAnsiTheme="minorBidi"/>
          <w:sz w:val="24"/>
          <w:szCs w:val="24"/>
        </w:rPr>
        <w:t>Hogeweyk</w:t>
      </w:r>
      <w:proofErr w:type="spellEnd"/>
      <w:r w:rsidRPr="00B02508">
        <w:rPr>
          <w:rFonts w:asciiTheme="minorBidi" w:eastAsia="Calibri Light" w:hAnsiTheme="minorBidi"/>
          <w:sz w:val="24"/>
          <w:szCs w:val="24"/>
        </w:rPr>
        <w:t xml:space="preserve"> Dementia Village model in the Netherlands has received worldwide popularity due to its development of a community-based living and care model in which the residents are exposed to normal social interactions leading to better well-being and minimized anxiety</w:t>
      </w:r>
      <w:r w:rsidR="00213D64" w:rsidRPr="00B02508">
        <w:rPr>
          <w:rFonts w:asciiTheme="minorBidi" w:eastAsia="Calibri Light" w:hAnsiTheme="minorBidi"/>
          <w:sz w:val="24"/>
          <w:szCs w:val="24"/>
        </w:rPr>
        <w:t xml:space="preserve"> (Dementia Alliance International, 2025)</w:t>
      </w:r>
      <w:r w:rsidRPr="00B02508">
        <w:rPr>
          <w:rFonts w:asciiTheme="minorBidi" w:eastAsia="Calibri Light" w:hAnsiTheme="minorBidi"/>
          <w:sz w:val="24"/>
          <w:szCs w:val="24"/>
        </w:rPr>
        <w:t>. Likewise, in the UK, social prescribing, and other related initiatives, enable someone to refer older adults to a social group or other community</w:t>
      </w:r>
      <w:r w:rsidR="00AF417C" w:rsidRPr="00B02508">
        <w:rPr>
          <w:rFonts w:asciiTheme="minorBidi" w:eastAsia="Calibri Light" w:hAnsiTheme="minorBidi"/>
          <w:sz w:val="24"/>
          <w:szCs w:val="24"/>
        </w:rPr>
        <w:t xml:space="preserve"> </w:t>
      </w:r>
      <w:r w:rsidRPr="00B02508">
        <w:rPr>
          <w:rFonts w:asciiTheme="minorBidi" w:eastAsia="Calibri Light" w:hAnsiTheme="minorBidi"/>
          <w:sz w:val="24"/>
          <w:szCs w:val="24"/>
        </w:rPr>
        <w:t>level activities, and these have been reported to have positive effects in alleviating loneliness</w:t>
      </w:r>
      <w:r w:rsidR="00A549ED" w:rsidRPr="00B02508">
        <w:rPr>
          <w:rFonts w:asciiTheme="minorBidi" w:eastAsia="Calibri Light" w:hAnsiTheme="minorBidi"/>
          <w:sz w:val="24"/>
          <w:szCs w:val="24"/>
        </w:rPr>
        <w:t xml:space="preserve"> (Liebmann et al., 2022)</w:t>
      </w:r>
      <w:r w:rsidRPr="00B02508">
        <w:rPr>
          <w:rFonts w:asciiTheme="minorBidi" w:eastAsia="Calibri Light" w:hAnsiTheme="minorBidi"/>
          <w:sz w:val="24"/>
          <w:szCs w:val="24"/>
        </w:rPr>
        <w:t>. Nonetheless, the COVID-19 crisis revealed some of the biggest flaws in the world; for instance, the high rates of depression and mental loss in LTCF residents were caused by the strict restrictions on visitation in Europe and North America</w:t>
      </w:r>
      <w:r w:rsidR="00A17C88" w:rsidRPr="00B02508">
        <w:rPr>
          <w:rFonts w:asciiTheme="minorBidi" w:eastAsia="Calibri Light" w:hAnsiTheme="minorBidi"/>
          <w:sz w:val="24"/>
          <w:szCs w:val="24"/>
        </w:rPr>
        <w:t xml:space="preserve"> (Thompson et al., 2020)</w:t>
      </w:r>
      <w:r w:rsidRPr="00B02508">
        <w:rPr>
          <w:rFonts w:asciiTheme="minorBidi" w:eastAsia="Calibri Light" w:hAnsiTheme="minorBidi"/>
          <w:sz w:val="24"/>
          <w:szCs w:val="24"/>
        </w:rPr>
        <w:t xml:space="preserve">. </w:t>
      </w:r>
      <w:r w:rsidR="00C00FC1" w:rsidRPr="00B02508">
        <w:rPr>
          <w:rFonts w:asciiTheme="minorBidi" w:eastAsia="Calibri Light" w:hAnsiTheme="minorBidi"/>
          <w:sz w:val="24"/>
          <w:szCs w:val="24"/>
        </w:rPr>
        <w:t>D</w:t>
      </w:r>
      <w:r w:rsidRPr="00B02508">
        <w:rPr>
          <w:rFonts w:asciiTheme="minorBidi" w:eastAsia="Calibri Light" w:hAnsiTheme="minorBidi"/>
          <w:sz w:val="24"/>
          <w:szCs w:val="24"/>
        </w:rPr>
        <w:t xml:space="preserve">espite </w:t>
      </w:r>
      <w:r w:rsidR="004C4465" w:rsidRPr="00B02508">
        <w:rPr>
          <w:rFonts w:asciiTheme="minorBidi" w:eastAsia="Calibri Light" w:hAnsiTheme="minorBidi"/>
          <w:sz w:val="24"/>
          <w:szCs w:val="24"/>
        </w:rPr>
        <w:t>having</w:t>
      </w:r>
      <w:r w:rsidRPr="00B02508">
        <w:rPr>
          <w:rFonts w:asciiTheme="minorBidi" w:eastAsia="Calibri Light" w:hAnsiTheme="minorBidi"/>
          <w:sz w:val="24"/>
          <w:szCs w:val="24"/>
        </w:rPr>
        <w:t xml:space="preserve"> innovative practices, the effectiveness of social support intervention in the world is still hampered by factors like the lack of funds, staffing, and the implementation of policies. </w:t>
      </w:r>
      <w:r w:rsidR="00C30AF4" w:rsidRPr="00B02508">
        <w:rPr>
          <w:rFonts w:asciiTheme="minorBidi" w:eastAsia="Calibri Light" w:hAnsiTheme="minorBidi"/>
          <w:sz w:val="24"/>
          <w:szCs w:val="24"/>
        </w:rPr>
        <w:t xml:space="preserve"> </w:t>
      </w:r>
      <w:r w:rsidR="00BD2909" w:rsidRPr="00B02508">
        <w:rPr>
          <w:rStyle w:val="eop"/>
          <w:rFonts w:asciiTheme="minorBidi" w:eastAsia="Calibri Light" w:hAnsiTheme="minorBidi"/>
          <w:sz w:val="24"/>
          <w:szCs w:val="24"/>
        </w:rPr>
        <w:t> </w:t>
      </w:r>
    </w:p>
    <w:p w14:paraId="3322C689" w14:textId="179F0BF3" w:rsidR="00BD2909" w:rsidRPr="00B02508" w:rsidRDefault="00BD2909" w:rsidP="00EA5A90">
      <w:pPr>
        <w:pStyle w:val="Heading2"/>
        <w:numPr>
          <w:ilvl w:val="1"/>
          <w:numId w:val="3"/>
        </w:numPr>
        <w:spacing w:before="240" w:after="240"/>
        <w:jc w:val="left"/>
        <w:rPr>
          <w:rFonts w:asciiTheme="minorBidi" w:hAnsiTheme="minorBidi" w:cstheme="minorBidi"/>
          <w:b/>
          <w:bCs/>
          <w:color w:val="auto"/>
          <w:szCs w:val="24"/>
        </w:rPr>
      </w:pPr>
      <w:r w:rsidRPr="00B02508">
        <w:rPr>
          <w:rStyle w:val="normaltextrun"/>
          <w:rFonts w:asciiTheme="minorBidi" w:hAnsiTheme="minorBidi" w:cstheme="minorBidi"/>
          <w:b/>
          <w:bCs/>
          <w:color w:val="auto"/>
          <w:szCs w:val="24"/>
        </w:rPr>
        <w:t>National UK Context</w:t>
      </w:r>
    </w:p>
    <w:p w14:paraId="6F4A2D85" w14:textId="141212A7" w:rsidR="00986C8E" w:rsidRPr="00B02508" w:rsidRDefault="00FE42F6" w:rsidP="00195C3C">
      <w:pPr>
        <w:spacing w:before="240" w:after="240"/>
        <w:jc w:val="left"/>
        <w:rPr>
          <w:rFonts w:asciiTheme="minorBidi" w:eastAsia="Calibri Light" w:hAnsiTheme="minorBidi"/>
          <w:sz w:val="24"/>
          <w:szCs w:val="24"/>
        </w:rPr>
      </w:pPr>
      <w:r w:rsidRPr="00B02508">
        <w:rPr>
          <w:rFonts w:asciiTheme="minorBidi" w:eastAsia="Calibri Light" w:hAnsiTheme="minorBidi"/>
          <w:sz w:val="24"/>
          <w:szCs w:val="24"/>
        </w:rPr>
        <w:t xml:space="preserve">The mental health of older adults in long-term care facilities (LTCFs) is becoming an increasingly demanding issue in the UK, especially considering that loneliness and depression are on high among the residents. </w:t>
      </w:r>
      <w:r w:rsidR="00391C9C" w:rsidRPr="00B02508">
        <w:rPr>
          <w:rFonts w:asciiTheme="minorBidi" w:eastAsia="Calibri Light" w:hAnsiTheme="minorBidi"/>
          <w:sz w:val="24"/>
          <w:szCs w:val="24"/>
        </w:rPr>
        <w:t>A</w:t>
      </w:r>
      <w:r w:rsidRPr="00B02508">
        <w:rPr>
          <w:rFonts w:asciiTheme="minorBidi" w:eastAsia="Calibri Light" w:hAnsiTheme="minorBidi"/>
          <w:sz w:val="24"/>
          <w:szCs w:val="24"/>
        </w:rPr>
        <w:t xml:space="preserve"> considerable percentage of the care home residents exhibit depressive symptoms, which are usually associated with lowered socialization and loss of autonomy </w:t>
      </w:r>
      <w:r w:rsidR="002A12FE" w:rsidRPr="00B02508">
        <w:rPr>
          <w:rFonts w:asciiTheme="minorBidi" w:eastAsia="Calibri Light" w:hAnsiTheme="minorBidi"/>
          <w:sz w:val="24"/>
          <w:szCs w:val="24"/>
        </w:rPr>
        <w:t>(NHS England, 2025)</w:t>
      </w:r>
      <w:r w:rsidRPr="00B02508">
        <w:rPr>
          <w:rFonts w:asciiTheme="minorBidi" w:eastAsia="Calibri Light" w:hAnsiTheme="minorBidi"/>
          <w:sz w:val="24"/>
          <w:szCs w:val="24"/>
        </w:rPr>
        <w:t xml:space="preserve">. </w:t>
      </w:r>
      <w:r w:rsidR="00A4619D" w:rsidRPr="00B02508">
        <w:rPr>
          <w:rFonts w:asciiTheme="minorBidi" w:eastAsia="Calibri Light" w:hAnsiTheme="minorBidi"/>
          <w:sz w:val="24"/>
          <w:szCs w:val="24"/>
        </w:rPr>
        <w:t>T</w:t>
      </w:r>
      <w:r w:rsidRPr="00B02508">
        <w:rPr>
          <w:rFonts w:asciiTheme="minorBidi" w:eastAsia="Calibri Light" w:hAnsiTheme="minorBidi"/>
          <w:sz w:val="24"/>
          <w:szCs w:val="24"/>
        </w:rPr>
        <w:t>he UK health and social care system has progressively turned to a person-centred care approach that lays stress not only on physical care but emotional well-being and social interaction as well. Nevertheless, irrespective of this change, the problem of staff shortages, high demands of care, and funding remains to impact the stable provision of the holistic care.</w:t>
      </w:r>
    </w:p>
    <w:p w14:paraId="661F9FD0" w14:textId="1F6C5B2B" w:rsidR="009C58E4" w:rsidRPr="00B02508" w:rsidRDefault="00FE42F6" w:rsidP="00195C3C">
      <w:pPr>
        <w:spacing w:before="240" w:after="240"/>
        <w:jc w:val="left"/>
        <w:rPr>
          <w:rFonts w:asciiTheme="minorBidi" w:eastAsia="Calibri Light" w:hAnsiTheme="minorBidi"/>
          <w:sz w:val="24"/>
          <w:szCs w:val="24"/>
        </w:rPr>
      </w:pPr>
      <w:r w:rsidRPr="00B02508">
        <w:rPr>
          <w:rFonts w:asciiTheme="minorBidi" w:eastAsia="Calibri Light" w:hAnsiTheme="minorBidi"/>
          <w:sz w:val="24"/>
          <w:szCs w:val="24"/>
        </w:rPr>
        <w:t>The Care Act 2014 is at the heart of policy level as it entails the local authorities to ensure well-being, which include mental health and social involvement. This can also be supported by the NHS England Long Term Plan which puts the emphasis on the idea of integrated mental health services provided to older adults</w:t>
      </w:r>
      <w:r w:rsidR="002639D5" w:rsidRPr="00B02508">
        <w:rPr>
          <w:rFonts w:asciiTheme="minorBidi" w:eastAsia="Calibri Light" w:hAnsiTheme="minorBidi"/>
          <w:sz w:val="24"/>
          <w:szCs w:val="24"/>
        </w:rPr>
        <w:t xml:space="preserve"> (NHS England, 2020)</w:t>
      </w:r>
      <w:r w:rsidRPr="00B02508">
        <w:rPr>
          <w:rFonts w:asciiTheme="minorBidi" w:eastAsia="Calibri Light" w:hAnsiTheme="minorBidi"/>
          <w:sz w:val="24"/>
          <w:szCs w:val="24"/>
        </w:rPr>
        <w:t>. Moreover, Care Quality Commission (CQC) monitors the compliance of care homes with the standards of emotional and social needs of residents</w:t>
      </w:r>
      <w:r w:rsidR="00BD2B84" w:rsidRPr="00B02508">
        <w:rPr>
          <w:rFonts w:asciiTheme="minorBidi" w:eastAsia="Calibri Light" w:hAnsiTheme="minorBidi"/>
          <w:sz w:val="24"/>
          <w:szCs w:val="24"/>
        </w:rPr>
        <w:t xml:space="preserve"> </w:t>
      </w:r>
      <w:r w:rsidR="00523418" w:rsidRPr="00B02508">
        <w:rPr>
          <w:rFonts w:asciiTheme="minorBidi" w:eastAsia="Calibri Light" w:hAnsiTheme="minorBidi"/>
          <w:sz w:val="24"/>
          <w:szCs w:val="24"/>
        </w:rPr>
        <w:t>(Care Quality Commission, 2024)</w:t>
      </w:r>
      <w:r w:rsidRPr="00B02508">
        <w:rPr>
          <w:rFonts w:asciiTheme="minorBidi" w:eastAsia="Calibri Light" w:hAnsiTheme="minorBidi"/>
          <w:sz w:val="24"/>
          <w:szCs w:val="24"/>
        </w:rPr>
        <w:t>.</w:t>
      </w:r>
    </w:p>
    <w:p w14:paraId="786445F4" w14:textId="14EA9EA3" w:rsidR="008973CD" w:rsidRPr="00B02508" w:rsidRDefault="00FE42F6" w:rsidP="00195C3C">
      <w:pPr>
        <w:spacing w:before="240" w:after="240"/>
        <w:jc w:val="left"/>
        <w:rPr>
          <w:rFonts w:asciiTheme="minorBidi" w:eastAsia="Calibri Light" w:hAnsiTheme="minorBidi"/>
          <w:sz w:val="24"/>
          <w:szCs w:val="24"/>
        </w:rPr>
      </w:pPr>
      <w:r w:rsidRPr="00B02508">
        <w:rPr>
          <w:rFonts w:asciiTheme="minorBidi" w:eastAsia="Calibri Light" w:hAnsiTheme="minorBidi"/>
          <w:sz w:val="24"/>
          <w:szCs w:val="24"/>
        </w:rPr>
        <w:t xml:space="preserve">At the local level, there are a few examples of how social support is applied in practice. </w:t>
      </w:r>
      <w:r w:rsidR="00801DAE" w:rsidRPr="00B02508">
        <w:rPr>
          <w:rFonts w:asciiTheme="minorBidi" w:eastAsia="Calibri Light" w:hAnsiTheme="minorBidi"/>
          <w:sz w:val="24"/>
          <w:szCs w:val="24"/>
        </w:rPr>
        <w:t>T</w:t>
      </w:r>
      <w:r w:rsidRPr="00B02508">
        <w:rPr>
          <w:rFonts w:asciiTheme="minorBidi" w:eastAsia="Calibri Light" w:hAnsiTheme="minorBidi"/>
          <w:sz w:val="24"/>
          <w:szCs w:val="24"/>
        </w:rPr>
        <w:t>he Social Prescribing programme that is commonly used throughout NHS primary care networks allows general practitioners to refer older adults to the community-based activities of walking groups, art therapy, and befriending services</w:t>
      </w:r>
      <w:r w:rsidR="005F223D" w:rsidRPr="00B02508">
        <w:rPr>
          <w:rFonts w:asciiTheme="minorBidi" w:eastAsia="Calibri Light" w:hAnsiTheme="minorBidi"/>
          <w:sz w:val="24"/>
          <w:szCs w:val="24"/>
        </w:rPr>
        <w:t xml:space="preserve"> (NHS England, 2024)</w:t>
      </w:r>
      <w:r w:rsidRPr="00B02508">
        <w:rPr>
          <w:rFonts w:asciiTheme="minorBidi" w:eastAsia="Calibri Light" w:hAnsiTheme="minorBidi"/>
          <w:sz w:val="24"/>
          <w:szCs w:val="24"/>
        </w:rPr>
        <w:t xml:space="preserve">. </w:t>
      </w:r>
      <w:r w:rsidR="000A74CA" w:rsidRPr="00B02508">
        <w:rPr>
          <w:rFonts w:asciiTheme="minorBidi" w:eastAsia="Calibri Light" w:hAnsiTheme="minorBidi"/>
          <w:sz w:val="24"/>
          <w:szCs w:val="24"/>
        </w:rPr>
        <w:t>O</w:t>
      </w:r>
      <w:r w:rsidRPr="00B02508">
        <w:rPr>
          <w:rFonts w:asciiTheme="minorBidi" w:eastAsia="Calibri Light" w:hAnsiTheme="minorBidi"/>
          <w:sz w:val="24"/>
          <w:szCs w:val="24"/>
        </w:rPr>
        <w:t>rganisations such as the Age UK operate befriending, where volunteers call in to offer regular companionship to older adults; assessment of the programs demonstrates that loneliness levels decrease and the overall mental health outcomes improve</w:t>
      </w:r>
      <w:r w:rsidR="003E115F" w:rsidRPr="00B02508">
        <w:rPr>
          <w:rFonts w:asciiTheme="minorBidi" w:eastAsia="Calibri Light" w:hAnsiTheme="minorBidi"/>
          <w:sz w:val="24"/>
          <w:szCs w:val="24"/>
        </w:rPr>
        <w:t xml:space="preserve"> (Age UK, 2025)</w:t>
      </w:r>
      <w:r w:rsidRPr="00B02508">
        <w:rPr>
          <w:rFonts w:asciiTheme="minorBidi" w:eastAsia="Calibri Light" w:hAnsiTheme="minorBidi"/>
          <w:sz w:val="24"/>
          <w:szCs w:val="24"/>
        </w:rPr>
        <w:t>. Music for Dementia 2020, where music-focused interventions are encouraged in the care facilities throughout the UK, and the results indicate the decreased levels of agitation and anxiety in patients with dementia</w:t>
      </w:r>
      <w:r w:rsidR="003E2564" w:rsidRPr="00B02508">
        <w:rPr>
          <w:rFonts w:asciiTheme="minorBidi" w:eastAsia="Calibri Light" w:hAnsiTheme="minorBidi"/>
          <w:sz w:val="24"/>
          <w:szCs w:val="24"/>
        </w:rPr>
        <w:t xml:space="preserve"> (van der Steen et al., 2025)</w:t>
      </w:r>
      <w:r w:rsidRPr="00B02508">
        <w:rPr>
          <w:rFonts w:asciiTheme="minorBidi" w:eastAsia="Calibri Light" w:hAnsiTheme="minorBidi"/>
          <w:sz w:val="24"/>
          <w:szCs w:val="24"/>
        </w:rPr>
        <w:t>.</w:t>
      </w:r>
    </w:p>
    <w:p w14:paraId="09099AFE" w14:textId="53C99BA1" w:rsidR="00BD2909" w:rsidRPr="00B02508" w:rsidRDefault="00FE42F6" w:rsidP="00195C3C">
      <w:pPr>
        <w:spacing w:before="240" w:after="240"/>
        <w:jc w:val="left"/>
        <w:rPr>
          <w:rFonts w:asciiTheme="minorBidi" w:eastAsia="Calibri Light" w:hAnsiTheme="minorBidi"/>
          <w:sz w:val="24"/>
          <w:szCs w:val="24"/>
        </w:rPr>
      </w:pPr>
      <w:r w:rsidRPr="00B02508">
        <w:rPr>
          <w:rFonts w:asciiTheme="minorBidi" w:eastAsia="Calibri Light" w:hAnsiTheme="minorBidi"/>
          <w:sz w:val="24"/>
          <w:szCs w:val="24"/>
        </w:rPr>
        <w:t>In spite of such achievements, regional disparities are still noticeable. Cities tend to have an advantage of such programmes whereas the countryside is hampered by fewer means of transport and a lack of community resources. There is also the problem of workforce pressure in the care homes that may restrict time in which meaningful social interaction can be done. Thus, though the UK has high-quality policy frameworks and local innovativeness, the success of the social support interventions remains largely contingent on the availability of resources and the local implementation.  </w:t>
      </w:r>
      <w:r w:rsidR="00236D1A" w:rsidRPr="00B02508">
        <w:rPr>
          <w:rFonts w:asciiTheme="minorBidi" w:eastAsia="Calibri Light" w:hAnsiTheme="minorBidi"/>
          <w:sz w:val="24"/>
          <w:szCs w:val="24"/>
        </w:rPr>
        <w:t xml:space="preserve"> </w:t>
      </w:r>
      <w:r w:rsidR="00BD2909" w:rsidRPr="00B02508">
        <w:rPr>
          <w:rStyle w:val="eop"/>
          <w:rFonts w:asciiTheme="minorBidi" w:eastAsia="Calibri Light" w:hAnsiTheme="minorBidi"/>
          <w:sz w:val="24"/>
          <w:szCs w:val="24"/>
        </w:rPr>
        <w:t>  </w:t>
      </w:r>
    </w:p>
    <w:p w14:paraId="1CD397E1" w14:textId="24DF677B" w:rsidR="00BD2909" w:rsidRPr="00B02508" w:rsidRDefault="00BD2909" w:rsidP="00EA5A90">
      <w:pPr>
        <w:pStyle w:val="Heading2"/>
        <w:numPr>
          <w:ilvl w:val="1"/>
          <w:numId w:val="3"/>
        </w:numPr>
        <w:spacing w:before="240" w:after="240"/>
        <w:jc w:val="left"/>
        <w:rPr>
          <w:rFonts w:asciiTheme="minorBidi" w:hAnsiTheme="minorBidi" w:cstheme="minorBidi"/>
          <w:b/>
          <w:bCs/>
          <w:color w:val="auto"/>
          <w:szCs w:val="24"/>
        </w:rPr>
      </w:pPr>
      <w:r w:rsidRPr="00B02508">
        <w:rPr>
          <w:rStyle w:val="normaltextrun"/>
          <w:rFonts w:asciiTheme="minorBidi" w:hAnsiTheme="minorBidi" w:cstheme="minorBidi"/>
          <w:b/>
          <w:bCs/>
          <w:color w:val="auto"/>
          <w:szCs w:val="24"/>
        </w:rPr>
        <w:t>Conclusion</w:t>
      </w:r>
    </w:p>
    <w:p w14:paraId="70C7CA0C" w14:textId="568A816E" w:rsidR="008C38C3" w:rsidRPr="00B02508" w:rsidRDefault="006E5253" w:rsidP="00195C3C">
      <w:pPr>
        <w:spacing w:before="240" w:after="240"/>
        <w:jc w:val="left"/>
        <w:rPr>
          <w:rFonts w:asciiTheme="minorBidi" w:hAnsiTheme="minorBidi"/>
          <w:sz w:val="24"/>
          <w:szCs w:val="24"/>
        </w:rPr>
      </w:pPr>
      <w:r w:rsidRPr="00B02508">
        <w:rPr>
          <w:rFonts w:asciiTheme="minorBidi" w:hAnsiTheme="minorBidi"/>
          <w:sz w:val="24"/>
          <w:szCs w:val="24"/>
        </w:rPr>
        <w:t xml:space="preserve">The chapter has presented the whole background of the research as it has shown the historical background, essential theoretical frameworks as well as the international and UK-specific context of the social support and mental health of the long-term care facilities. It pointed out the development of the topic with time and the increasing significance of socially supportive, person-centred care. It was also revealed in the discussion that there are differences in policy and practice depending on the context as well as the challenges present. This background plays a central role in knowing how difficult the research issue is. The following chapter will describe the research methodology, the way the study will be carried out and how such contextual knowledge will be utilized in the research methodology. </w:t>
      </w:r>
    </w:p>
    <w:p w14:paraId="41204326" w14:textId="7EB888BF" w:rsidR="009969FC" w:rsidRPr="00B02508" w:rsidRDefault="009969FC" w:rsidP="00EA5A90">
      <w:pPr>
        <w:pStyle w:val="Heading1"/>
        <w:numPr>
          <w:ilvl w:val="0"/>
          <w:numId w:val="3"/>
        </w:numPr>
        <w:spacing w:before="240" w:after="240" w:line="360" w:lineRule="auto"/>
        <w:rPr>
          <w:rFonts w:asciiTheme="minorBidi" w:hAnsiTheme="minorBidi" w:cstheme="minorBidi"/>
          <w:sz w:val="24"/>
          <w:szCs w:val="24"/>
        </w:rPr>
      </w:pPr>
      <w:r w:rsidRPr="00B02508">
        <w:rPr>
          <w:rFonts w:asciiTheme="minorBidi" w:hAnsiTheme="minorBidi" w:cstheme="minorBidi"/>
          <w:sz w:val="24"/>
          <w:szCs w:val="24"/>
        </w:rPr>
        <w:t>References</w:t>
      </w:r>
    </w:p>
    <w:p w14:paraId="347CCC75"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Acoba, E.F. (2024). Social Support and Mental health: The Mediating Role of Perceived Stress. </w:t>
      </w:r>
      <w:r w:rsidRPr="00B02508">
        <w:rPr>
          <w:rFonts w:asciiTheme="minorBidi" w:hAnsiTheme="minorBidi" w:cstheme="minorBidi"/>
          <w:i/>
          <w:iCs/>
        </w:rPr>
        <w:t>Frontiers in Psychology</w:t>
      </w:r>
      <w:r w:rsidRPr="00B02508">
        <w:rPr>
          <w:rFonts w:asciiTheme="minorBidi" w:hAnsiTheme="minorBidi" w:cstheme="minorBidi"/>
        </w:rPr>
        <w:t xml:space="preserve">, 15(15), pp.1–12. </w:t>
      </w:r>
      <w:proofErr w:type="spellStart"/>
      <w:r w:rsidRPr="00B02508">
        <w:rPr>
          <w:rFonts w:asciiTheme="minorBidi" w:hAnsiTheme="minorBidi" w:cstheme="minorBidi"/>
        </w:rPr>
        <w:t>doi:https</w:t>
      </w:r>
      <w:proofErr w:type="spellEnd"/>
      <w:r w:rsidRPr="00B02508">
        <w:rPr>
          <w:rFonts w:asciiTheme="minorBidi" w:hAnsiTheme="minorBidi" w:cstheme="minorBidi"/>
        </w:rPr>
        <w:t>://doi.org/10.3389/fpsyg.2024.1330720.</w:t>
      </w:r>
    </w:p>
    <w:p w14:paraId="32BC694A"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Age UK (2025). </w:t>
      </w:r>
      <w:r w:rsidRPr="00B02508">
        <w:rPr>
          <w:rFonts w:asciiTheme="minorBidi" w:hAnsiTheme="minorBidi" w:cstheme="minorBidi"/>
          <w:i/>
          <w:iCs/>
        </w:rPr>
        <w:t>Reducing loneliness | Programmes and innovation</w:t>
      </w:r>
      <w:r w:rsidRPr="00B02508">
        <w:rPr>
          <w:rFonts w:asciiTheme="minorBidi" w:hAnsiTheme="minorBidi" w:cstheme="minorBidi"/>
        </w:rPr>
        <w:t>. [online] Age UK. Available at: https://www.ageuk.org.uk/our-impact/programmes/reducing-loneliness/.</w:t>
      </w:r>
    </w:p>
    <w:p w14:paraId="01200BFC"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Benzinger, P., Wahl, H.-W., Bauer, J.M., Keilhauer, A., </w:t>
      </w:r>
      <w:proofErr w:type="spellStart"/>
      <w:r w:rsidRPr="00B02508">
        <w:rPr>
          <w:rFonts w:asciiTheme="minorBidi" w:hAnsiTheme="minorBidi" w:cstheme="minorBidi"/>
        </w:rPr>
        <w:t>Dutzi</w:t>
      </w:r>
      <w:proofErr w:type="spellEnd"/>
      <w:r w:rsidRPr="00B02508">
        <w:rPr>
          <w:rFonts w:asciiTheme="minorBidi" w:hAnsiTheme="minorBidi" w:cstheme="minorBidi"/>
        </w:rPr>
        <w:t xml:space="preserve">, I., Maier, S., Hölzer, N., Achterberg, W.P. and Denninger, N.-E. (2023). Consequences of contact restrictions for long-term care residents during the first months of COVID-19 pandemic: a scoping review. </w:t>
      </w:r>
      <w:r w:rsidRPr="00B02508">
        <w:rPr>
          <w:rFonts w:asciiTheme="minorBidi" w:hAnsiTheme="minorBidi" w:cstheme="minorBidi"/>
          <w:i/>
          <w:iCs/>
        </w:rPr>
        <w:t>European Journal of Ageing</w:t>
      </w:r>
      <w:r w:rsidRPr="00B02508">
        <w:rPr>
          <w:rFonts w:asciiTheme="minorBidi" w:hAnsiTheme="minorBidi" w:cstheme="minorBidi"/>
        </w:rPr>
        <w:t xml:space="preserve">, [online] 20(1), p.39.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://doi.org/10.1007/s10433-023-00787-6.</w:t>
      </w:r>
    </w:p>
    <w:p w14:paraId="45787CB1"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Care Act (2014). </w:t>
      </w:r>
      <w:r w:rsidRPr="00B02508">
        <w:rPr>
          <w:rFonts w:asciiTheme="minorBidi" w:hAnsiTheme="minorBidi" w:cstheme="minorBidi"/>
          <w:i/>
          <w:iCs/>
        </w:rPr>
        <w:t>Care Act 2014</w:t>
      </w:r>
      <w:r w:rsidRPr="00B02508">
        <w:rPr>
          <w:rFonts w:asciiTheme="minorBidi" w:hAnsiTheme="minorBidi" w:cstheme="minorBidi"/>
        </w:rPr>
        <w:t>. [online] Legislation.gov.uk. Available at: https://www.legislation.gov.uk/ukpga/2014/23/contents.</w:t>
      </w:r>
    </w:p>
    <w:p w14:paraId="3A546A58"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Care Quality Commission (2024). </w:t>
      </w:r>
      <w:r w:rsidRPr="00B02508">
        <w:rPr>
          <w:rFonts w:asciiTheme="minorBidi" w:hAnsiTheme="minorBidi" w:cstheme="minorBidi"/>
          <w:i/>
          <w:iCs/>
        </w:rPr>
        <w:t>The Fundamental Standards - Care Quality Commission</w:t>
      </w:r>
      <w:r w:rsidRPr="00B02508">
        <w:rPr>
          <w:rFonts w:asciiTheme="minorBidi" w:hAnsiTheme="minorBidi" w:cstheme="minorBidi"/>
        </w:rPr>
        <w:t>. [online] www.cqc.org.uk. Available at: https://www.cqc.org.uk/about-us/fundamental-standards.</w:t>
      </w:r>
    </w:p>
    <w:p w14:paraId="53808151"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Chand, S. and Arif, H. (2023). </w:t>
      </w:r>
      <w:r w:rsidRPr="00B02508">
        <w:rPr>
          <w:rFonts w:asciiTheme="minorBidi" w:hAnsiTheme="minorBidi" w:cstheme="minorBidi"/>
          <w:i/>
          <w:iCs/>
        </w:rPr>
        <w:t>Depression</w:t>
      </w:r>
      <w:r w:rsidRPr="00B02508">
        <w:rPr>
          <w:rFonts w:asciiTheme="minorBidi" w:hAnsiTheme="minorBidi" w:cstheme="minorBidi"/>
        </w:rPr>
        <w:t>. [online] National Library of Medicine. Available at: https://www.ncbi.nlm.nih.gov/books/NBK430847/.</w:t>
      </w:r>
    </w:p>
    <w:p w14:paraId="03EDE7FB"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Cohen, C., Abt, M., Bélanger, L. and </w:t>
      </w:r>
      <w:proofErr w:type="spellStart"/>
      <w:r w:rsidRPr="00B02508">
        <w:rPr>
          <w:rFonts w:asciiTheme="minorBidi" w:hAnsiTheme="minorBidi" w:cstheme="minorBidi"/>
        </w:rPr>
        <w:t>Ortoleva</w:t>
      </w:r>
      <w:proofErr w:type="spellEnd"/>
      <w:r w:rsidRPr="00B02508">
        <w:rPr>
          <w:rFonts w:asciiTheme="minorBidi" w:hAnsiTheme="minorBidi" w:cstheme="minorBidi"/>
        </w:rPr>
        <w:t xml:space="preserve"> Bucher, C. (2024). COVID </w:t>
      </w:r>
      <w:r w:rsidRPr="00B02508">
        <w:rPr>
          <w:rFonts w:ascii="Cambria Math" w:hAnsi="Cambria Math" w:cs="Cambria Math"/>
        </w:rPr>
        <w:t>‐</w:t>
      </w:r>
      <w:r w:rsidRPr="00B02508">
        <w:rPr>
          <w:rFonts w:asciiTheme="minorBidi" w:hAnsiTheme="minorBidi" w:cstheme="minorBidi"/>
        </w:rPr>
        <w:t>19</w:t>
      </w:r>
      <w:r w:rsidRPr="00B02508">
        <w:rPr>
          <w:rFonts w:ascii="Arial" w:hAnsi="Arial" w:cs="Arial"/>
        </w:rPr>
        <w:t>’</w:t>
      </w:r>
      <w:r w:rsidRPr="00B02508">
        <w:rPr>
          <w:rFonts w:asciiTheme="minorBidi" w:hAnsiTheme="minorBidi" w:cstheme="minorBidi"/>
        </w:rPr>
        <w:t>s Impact in Long</w:t>
      </w:r>
      <w:r w:rsidRPr="00B02508">
        <w:rPr>
          <w:rFonts w:ascii="Cambria Math" w:hAnsi="Cambria Math" w:cs="Cambria Math"/>
        </w:rPr>
        <w:t>‐</w:t>
      </w:r>
      <w:r w:rsidRPr="00B02508">
        <w:rPr>
          <w:rFonts w:asciiTheme="minorBidi" w:hAnsiTheme="minorBidi" w:cstheme="minorBidi"/>
        </w:rPr>
        <w:t xml:space="preserve">Term Care Facilities: The Health and Coping Strategies of Older Adults and Their Families. </w:t>
      </w:r>
      <w:r w:rsidRPr="00B02508">
        <w:rPr>
          <w:rFonts w:asciiTheme="minorBidi" w:hAnsiTheme="minorBidi" w:cstheme="minorBidi"/>
          <w:i/>
          <w:iCs/>
        </w:rPr>
        <w:t>Journal of Advanced Nursing</w:t>
      </w:r>
      <w:r w:rsidRPr="00B02508">
        <w:rPr>
          <w:rFonts w:asciiTheme="minorBidi" w:hAnsiTheme="minorBidi" w:cstheme="minorBidi"/>
        </w:rPr>
        <w:t xml:space="preserve">, [online] 81(6), pp.3226–3239.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://doi.org/10.1111/jan.16530.</w:t>
      </w:r>
    </w:p>
    <w:p w14:paraId="58E93CB5"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Cohen, S. (2004). </w:t>
      </w:r>
      <w:r w:rsidRPr="00B02508">
        <w:rPr>
          <w:rFonts w:asciiTheme="minorBidi" w:hAnsiTheme="minorBidi" w:cstheme="minorBidi"/>
          <w:i/>
          <w:iCs/>
        </w:rPr>
        <w:t xml:space="preserve">APA </w:t>
      </w:r>
      <w:proofErr w:type="spellStart"/>
      <w:r w:rsidRPr="00B02508">
        <w:rPr>
          <w:rFonts w:asciiTheme="minorBidi" w:hAnsiTheme="minorBidi" w:cstheme="minorBidi"/>
          <w:i/>
          <w:iCs/>
        </w:rPr>
        <w:t>PsycNet</w:t>
      </w:r>
      <w:proofErr w:type="spellEnd"/>
      <w:r w:rsidRPr="00B02508">
        <w:rPr>
          <w:rFonts w:asciiTheme="minorBidi" w:hAnsiTheme="minorBidi" w:cstheme="minorBidi"/>
        </w:rPr>
        <w:t>. [online] psycnet.apa.org. Available at: https://psycnet.apa.org/record/2004-20395-002.</w:t>
      </w:r>
    </w:p>
    <w:p w14:paraId="06CAD242"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Crossman, A. (2020). </w:t>
      </w:r>
      <w:r w:rsidRPr="00B02508">
        <w:rPr>
          <w:rFonts w:asciiTheme="minorBidi" w:hAnsiTheme="minorBidi" w:cstheme="minorBidi"/>
          <w:i/>
          <w:iCs/>
        </w:rPr>
        <w:t>Learn About Emile Durkheim’s Classic Study of Suicide in Sociology</w:t>
      </w:r>
      <w:r w:rsidRPr="00B02508">
        <w:rPr>
          <w:rFonts w:asciiTheme="minorBidi" w:hAnsiTheme="minorBidi" w:cstheme="minorBidi"/>
        </w:rPr>
        <w:t>. [online] ThoughtCo. Available at: https://www.thoughtco.com/study-of-suicide-by-emile-durkheim-3026758.</w:t>
      </w:r>
    </w:p>
    <w:p w14:paraId="2DF0F409"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D’Antonio, P. (2011). </w:t>
      </w:r>
      <w:r w:rsidRPr="00B02508">
        <w:rPr>
          <w:rFonts w:asciiTheme="minorBidi" w:hAnsiTheme="minorBidi" w:cstheme="minorBidi"/>
          <w:i/>
          <w:iCs/>
        </w:rPr>
        <w:t>History of Psychiatric Hospitals</w:t>
      </w:r>
      <w:r w:rsidRPr="00B02508">
        <w:rPr>
          <w:rFonts w:asciiTheme="minorBidi" w:hAnsiTheme="minorBidi" w:cstheme="minorBidi"/>
        </w:rPr>
        <w:t>. [online] upenn.edu. Available at: https://www.nursing.upenn.edu/nhhc/nurses-institutions-caring/history-of-psychiatric-hospitals/.</w:t>
      </w:r>
    </w:p>
    <w:p w14:paraId="0FCED0BE"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Dahlberg, L., Isabelle von Saenger, Naseer, M., Lennartsson, C. and Agahi, N. (2024). National trends in loneliness and social isolation in older adults: an examination of subgroup trends over three decades in Sweden. </w:t>
      </w:r>
      <w:r w:rsidRPr="00B02508">
        <w:rPr>
          <w:rFonts w:asciiTheme="minorBidi" w:hAnsiTheme="minorBidi" w:cstheme="minorBidi"/>
          <w:i/>
          <w:iCs/>
        </w:rPr>
        <w:t>Frontiers in Public Health</w:t>
      </w:r>
      <w:r w:rsidRPr="00B02508">
        <w:rPr>
          <w:rFonts w:asciiTheme="minorBidi" w:hAnsiTheme="minorBidi" w:cstheme="minorBidi"/>
        </w:rPr>
        <w:t xml:space="preserve">, 12. </w:t>
      </w:r>
      <w:proofErr w:type="spellStart"/>
      <w:r w:rsidRPr="00B02508">
        <w:rPr>
          <w:rFonts w:asciiTheme="minorBidi" w:hAnsiTheme="minorBidi" w:cstheme="minorBidi"/>
        </w:rPr>
        <w:t>doi:https</w:t>
      </w:r>
      <w:proofErr w:type="spellEnd"/>
      <w:r w:rsidRPr="00B02508">
        <w:rPr>
          <w:rFonts w:asciiTheme="minorBidi" w:hAnsiTheme="minorBidi" w:cstheme="minorBidi"/>
        </w:rPr>
        <w:t>://doi.org/10.3389/fpubh.2024.1444990.</w:t>
      </w:r>
    </w:p>
    <w:p w14:paraId="0C2AC9D7"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Dementia Alliance International (2025). </w:t>
      </w:r>
      <w:r w:rsidRPr="00B02508">
        <w:rPr>
          <w:rFonts w:asciiTheme="minorBidi" w:hAnsiTheme="minorBidi" w:cstheme="minorBidi"/>
          <w:i/>
          <w:iCs/>
        </w:rPr>
        <w:t xml:space="preserve">The Remarkable De </w:t>
      </w:r>
      <w:proofErr w:type="spellStart"/>
      <w:r w:rsidRPr="00B02508">
        <w:rPr>
          <w:rFonts w:asciiTheme="minorBidi" w:hAnsiTheme="minorBidi" w:cstheme="minorBidi"/>
          <w:i/>
          <w:iCs/>
        </w:rPr>
        <w:t>Hogeweyk</w:t>
      </w:r>
      <w:proofErr w:type="spellEnd"/>
      <w:r w:rsidRPr="00B02508">
        <w:rPr>
          <w:rFonts w:asciiTheme="minorBidi" w:hAnsiTheme="minorBidi" w:cstheme="minorBidi"/>
          <w:i/>
          <w:iCs/>
        </w:rPr>
        <w:t xml:space="preserve"> ‘Dementia Village’- A Blueprint For Living With End Stage Dementia</w:t>
      </w:r>
      <w:r w:rsidRPr="00B02508">
        <w:rPr>
          <w:rFonts w:asciiTheme="minorBidi" w:hAnsiTheme="minorBidi" w:cstheme="minorBidi"/>
        </w:rPr>
        <w:t>. [online] Dementia Alliance International. Available at: https://dementiaallianceinternational.org/blog/the-remarkable-de-hogeweyk-dementia-village-a-blueprint-for-living-with-end-stage-dementia.</w:t>
      </w:r>
    </w:p>
    <w:p w14:paraId="608DF526"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Drageset, J. (2021). </w:t>
      </w:r>
      <w:r w:rsidRPr="00B02508">
        <w:rPr>
          <w:rFonts w:asciiTheme="minorBidi" w:hAnsiTheme="minorBidi" w:cstheme="minorBidi"/>
          <w:i/>
          <w:iCs/>
        </w:rPr>
        <w:t>Social Support</w:t>
      </w:r>
      <w:r w:rsidRPr="00B02508">
        <w:rPr>
          <w:rFonts w:asciiTheme="minorBidi" w:hAnsiTheme="minorBidi" w:cstheme="minorBidi"/>
        </w:rPr>
        <w:t>. [online] PubMed. Available at: https://www.ncbi.nlm.nih.gov/books/NBK585650/.</w:t>
      </w:r>
    </w:p>
    <w:p w14:paraId="4102ADEA"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Edmond, C. and North, M. (2023). </w:t>
      </w:r>
      <w:r w:rsidRPr="00B02508">
        <w:rPr>
          <w:rFonts w:asciiTheme="minorBidi" w:hAnsiTheme="minorBidi" w:cstheme="minorBidi"/>
          <w:i/>
          <w:iCs/>
        </w:rPr>
        <w:t>More than 1 in 10 People in Japan Are Aged 80 or over. Here’s How Its Ageing Population Is Reshaping the Country</w:t>
      </w:r>
      <w:r w:rsidRPr="00B02508">
        <w:rPr>
          <w:rFonts w:asciiTheme="minorBidi" w:hAnsiTheme="minorBidi" w:cstheme="minorBidi"/>
        </w:rPr>
        <w:t>. [online] World Economic Forum. Available at: https://www.weforum.org/stories/2023/09/elderly-oldest-population-world-japan/.</w:t>
      </w:r>
    </w:p>
    <w:p w14:paraId="1ED6AE32"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Horst, F.C.P. van der, Rosmalen, L. van and Veer, R. van der (2024). The American contribution to attachment theory: John Bowlby’s WHO trip to the USA in 1950 and the development of his ideas on separation and attachment. </w:t>
      </w:r>
      <w:r w:rsidRPr="00B02508">
        <w:rPr>
          <w:rFonts w:asciiTheme="minorBidi" w:hAnsiTheme="minorBidi" w:cstheme="minorBidi"/>
          <w:i/>
          <w:iCs/>
        </w:rPr>
        <w:t>Attachment &amp; human development</w:t>
      </w:r>
      <w:r w:rsidRPr="00B02508">
        <w:rPr>
          <w:rFonts w:asciiTheme="minorBidi" w:hAnsiTheme="minorBidi" w:cstheme="minorBidi"/>
        </w:rPr>
        <w:t xml:space="preserve">, pp.1–22.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://doi.org/10.1080/14616734.2024.2342665.</w:t>
      </w:r>
    </w:p>
    <w:p w14:paraId="2CE572E1"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Jahangir, S., Patil, D.S., Gangopadhyay, J. and Vogt, T.C. (2025). Understanding intergenerational dynamics and social support’s impact on health and well-being of older adults in South Asia: a scoping review. </w:t>
      </w:r>
      <w:r w:rsidRPr="00B02508">
        <w:rPr>
          <w:rFonts w:asciiTheme="minorBidi" w:hAnsiTheme="minorBidi" w:cstheme="minorBidi"/>
          <w:i/>
          <w:iCs/>
        </w:rPr>
        <w:t>Systematic Reviews</w:t>
      </w:r>
      <w:r w:rsidRPr="00B02508">
        <w:rPr>
          <w:rFonts w:asciiTheme="minorBidi" w:hAnsiTheme="minorBidi" w:cstheme="minorBidi"/>
        </w:rPr>
        <w:t xml:space="preserve">, 14(1).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://doi.org/10.1186/s13643-025-02833-z.</w:t>
      </w:r>
    </w:p>
    <w:p w14:paraId="7974FCD9"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Khan, S. (2022). Medicine and the critique of war: military psychiatry, social classification and the malingering patient in colonial India. </w:t>
      </w:r>
      <w:r w:rsidRPr="00B02508">
        <w:rPr>
          <w:rFonts w:asciiTheme="minorBidi" w:hAnsiTheme="minorBidi" w:cstheme="minorBidi"/>
          <w:i/>
          <w:iCs/>
        </w:rPr>
        <w:t>Medical History</w:t>
      </w:r>
      <w:r w:rsidRPr="00B02508">
        <w:rPr>
          <w:rFonts w:asciiTheme="minorBidi" w:hAnsiTheme="minorBidi" w:cstheme="minorBidi"/>
        </w:rPr>
        <w:t xml:space="preserve">, 66(1), pp.47–63.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://doi.org/10.1017/mdh.2021.38.</w:t>
      </w:r>
    </w:p>
    <w:p w14:paraId="18150C3E"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L. Boyar, S., S. Campbell, N., C. Mosley Jr, D. and M. Carson, C. (2014). Development of a work/family social support measure. </w:t>
      </w:r>
      <w:r w:rsidRPr="00B02508">
        <w:rPr>
          <w:rFonts w:asciiTheme="minorBidi" w:hAnsiTheme="minorBidi" w:cstheme="minorBidi"/>
          <w:i/>
          <w:iCs/>
        </w:rPr>
        <w:t>Journal of Managerial Psychology</w:t>
      </w:r>
      <w:r w:rsidRPr="00B02508">
        <w:rPr>
          <w:rFonts w:asciiTheme="minorBidi" w:hAnsiTheme="minorBidi" w:cstheme="minorBidi"/>
        </w:rPr>
        <w:t xml:space="preserve">, 29(7), pp.901–920.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://doi.org/10.1108/jmp-06-2012-0189.</w:t>
      </w:r>
    </w:p>
    <w:p w14:paraId="7A83604A"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Li, W., Wang, M., Tu, W., Zhao, Y., Song, Y., Yang, W., Mei, Z., Ding, Z., Xu, G. and Bai, Y. (2025). Social isolation risks and preventive strategies for residents in long-term care facilities in China: an interview-based study with staff in facilities. </w:t>
      </w:r>
      <w:r w:rsidRPr="00B02508">
        <w:rPr>
          <w:rFonts w:asciiTheme="minorBidi" w:hAnsiTheme="minorBidi" w:cstheme="minorBidi"/>
          <w:i/>
          <w:iCs/>
        </w:rPr>
        <w:t>BMC Geriatrics</w:t>
      </w:r>
      <w:r w:rsidRPr="00B02508">
        <w:rPr>
          <w:rFonts w:asciiTheme="minorBidi" w:hAnsiTheme="minorBidi" w:cstheme="minorBidi"/>
        </w:rPr>
        <w:t xml:space="preserve">, 25(1), pp.823–823.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://doi.org/10.1186/s12877-025-05991-w.</w:t>
      </w:r>
    </w:p>
    <w:p w14:paraId="1D11F8D0"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Liebmann, M., Pitman, A., Hsueh, Y.-C., Bertotti, M. and Pearce, E. (2022). Do people perceive benefits in the use of social prescribing to address loneliness and/or social isolation? A qualitative meta-synthesis of the literature. </w:t>
      </w:r>
      <w:r w:rsidRPr="00B02508">
        <w:rPr>
          <w:rFonts w:asciiTheme="minorBidi" w:hAnsiTheme="minorBidi" w:cstheme="minorBidi"/>
          <w:i/>
          <w:iCs/>
        </w:rPr>
        <w:t>BMC Health Services Research</w:t>
      </w:r>
      <w:r w:rsidRPr="00B02508">
        <w:rPr>
          <w:rFonts w:asciiTheme="minorBidi" w:hAnsiTheme="minorBidi" w:cstheme="minorBidi"/>
        </w:rPr>
        <w:t xml:space="preserve">, [online] 22(1).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://doi.org/10.1186/s12913-022-08656-1.</w:t>
      </w:r>
    </w:p>
    <w:p w14:paraId="5582F5D7"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McLeod, S. (2025). </w:t>
      </w:r>
      <w:r w:rsidRPr="00B02508">
        <w:rPr>
          <w:rFonts w:asciiTheme="minorBidi" w:hAnsiTheme="minorBidi" w:cstheme="minorBidi"/>
          <w:i/>
          <w:iCs/>
        </w:rPr>
        <w:t>John Bowlby’s Attachment Theory</w:t>
      </w:r>
      <w:r w:rsidRPr="00B02508">
        <w:rPr>
          <w:rFonts w:asciiTheme="minorBidi" w:hAnsiTheme="minorBidi" w:cstheme="minorBidi"/>
        </w:rPr>
        <w:t>. [online] Simply Psychology. Available at: https://www.simplypsychology.org/bowlby.html.</w:t>
      </w:r>
    </w:p>
    <w:p w14:paraId="1C1E0E60"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Montenegro Cortés, C., González Moller, J., Irarrázaval Dominguez, M., Thomas, F. and Urrutia Ortiz, J. (2023). Moving psychiatric deinstitutionalisation forward: A scoping review of barriers and facilitators. </w:t>
      </w:r>
      <w:r w:rsidRPr="00B02508">
        <w:rPr>
          <w:rFonts w:asciiTheme="minorBidi" w:hAnsiTheme="minorBidi" w:cstheme="minorBidi"/>
          <w:i/>
          <w:iCs/>
        </w:rPr>
        <w:t>Cambridge Prisms: Global Mental Health</w:t>
      </w:r>
      <w:r w:rsidRPr="00B02508">
        <w:rPr>
          <w:rFonts w:asciiTheme="minorBidi" w:hAnsiTheme="minorBidi" w:cstheme="minorBidi"/>
        </w:rPr>
        <w:t xml:space="preserve">, 10(e29), pp.1–26.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://doi.org/10.1017/gmh.2023.18.</w:t>
      </w:r>
    </w:p>
    <w:p w14:paraId="481A477A"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National Institute on Aging (2023). </w:t>
      </w:r>
      <w:r w:rsidRPr="00B02508">
        <w:rPr>
          <w:rFonts w:asciiTheme="minorBidi" w:hAnsiTheme="minorBidi" w:cstheme="minorBidi"/>
          <w:i/>
          <w:iCs/>
        </w:rPr>
        <w:t>Long-Term care facilities: Assisted living, nursing homes, and other residential care</w:t>
      </w:r>
      <w:r w:rsidRPr="00B02508">
        <w:rPr>
          <w:rFonts w:asciiTheme="minorBidi" w:hAnsiTheme="minorBidi" w:cstheme="minorBidi"/>
        </w:rPr>
        <w:t>. [online] National Institute on Aging. Available at: https://www.nia.nih.gov/health/assisted-living-and-nursing-homes/long-term-care-facilities-assisted-living-nursing-homes.</w:t>
      </w:r>
    </w:p>
    <w:p w14:paraId="3334DB8D"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NHS England (2020). </w:t>
      </w:r>
      <w:r w:rsidRPr="00B02508">
        <w:rPr>
          <w:rFonts w:asciiTheme="minorBidi" w:hAnsiTheme="minorBidi" w:cstheme="minorBidi"/>
          <w:i/>
          <w:iCs/>
        </w:rPr>
        <w:t>Adult and older adult mental health</w:t>
      </w:r>
      <w:r w:rsidRPr="00B02508">
        <w:rPr>
          <w:rFonts w:asciiTheme="minorBidi" w:hAnsiTheme="minorBidi" w:cstheme="minorBidi"/>
        </w:rPr>
        <w:t>. [online] NHS England. Available at: https://www.england.nhs.uk/mental-health/adults/.</w:t>
      </w:r>
    </w:p>
    <w:p w14:paraId="0DD78DF6"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NHS England (2024). </w:t>
      </w:r>
      <w:r w:rsidRPr="00B02508">
        <w:rPr>
          <w:rFonts w:asciiTheme="minorBidi" w:hAnsiTheme="minorBidi" w:cstheme="minorBidi"/>
          <w:i/>
          <w:iCs/>
        </w:rPr>
        <w:t>Social Prescribing</w:t>
      </w:r>
      <w:r w:rsidRPr="00B02508">
        <w:rPr>
          <w:rFonts w:asciiTheme="minorBidi" w:hAnsiTheme="minorBidi" w:cstheme="minorBidi"/>
        </w:rPr>
        <w:t>. [online] NHS England. Available at: https://www.england.nhs.uk/personalisedcare/social-prescribing/.</w:t>
      </w:r>
    </w:p>
    <w:p w14:paraId="216DD2C3"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NHS England (2025). </w:t>
      </w:r>
      <w:r w:rsidRPr="00B02508">
        <w:rPr>
          <w:rFonts w:asciiTheme="minorBidi" w:hAnsiTheme="minorBidi" w:cstheme="minorBidi"/>
          <w:i/>
          <w:iCs/>
        </w:rPr>
        <w:t>Chapter 1: Common mental health conditions</w:t>
      </w:r>
      <w:r w:rsidRPr="00B02508">
        <w:rPr>
          <w:rFonts w:asciiTheme="minorBidi" w:hAnsiTheme="minorBidi" w:cstheme="minorBidi"/>
        </w:rPr>
        <w:t>. [online] Digital.nhs.uk. Available at: https://digital.nhs.uk/data-and-information/publications/statistical/adult-psychiatric-morbidity-survey/survey-of-mental-health-and-wellbeing-england-2023-24/common-mental-health-conditions.</w:t>
      </w:r>
    </w:p>
    <w:p w14:paraId="0D3B45C1"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Rostgaard, T., Jacobsen, F., Kröger, T. and Peterson, E. (2022). Revisiting the Nordic long-term care model for older people—still equal? Special issue EJA, edited by Fritzell, Jylhä and Rostgaard. </w:t>
      </w:r>
      <w:r w:rsidRPr="00B02508">
        <w:rPr>
          <w:rFonts w:asciiTheme="minorBidi" w:hAnsiTheme="minorBidi" w:cstheme="minorBidi"/>
          <w:i/>
          <w:iCs/>
        </w:rPr>
        <w:t>European Journal of Ageing</w:t>
      </w:r>
      <w:r w:rsidRPr="00B02508">
        <w:rPr>
          <w:rFonts w:asciiTheme="minorBidi" w:hAnsiTheme="minorBidi" w:cstheme="minorBidi"/>
        </w:rPr>
        <w:t xml:space="preserve">.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://doi.org/10.1007/s10433-022-00703-4.</w:t>
      </w:r>
    </w:p>
    <w:p w14:paraId="35EFB875"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Smulowitz, P.B., Weinreb, G., J. Michael McWilliams, A. James O’Malley and Landon, B.E. (2023). Association of Functional Status, Cognition, Social Support, and Geriatric Syndrome With Admission From the Emergency Department. </w:t>
      </w:r>
      <w:r w:rsidRPr="00B02508">
        <w:rPr>
          <w:rFonts w:asciiTheme="minorBidi" w:hAnsiTheme="minorBidi" w:cstheme="minorBidi"/>
          <w:i/>
          <w:iCs/>
        </w:rPr>
        <w:t>JAMA Internal Medicine</w:t>
      </w:r>
      <w:r w:rsidRPr="00B02508">
        <w:rPr>
          <w:rFonts w:asciiTheme="minorBidi" w:hAnsiTheme="minorBidi" w:cstheme="minorBidi"/>
        </w:rPr>
        <w:t xml:space="preserve">, 183(8), pp.784–784.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://doi.org/10.1001/jamainternmed.2023.2149.</w:t>
      </w:r>
    </w:p>
    <w:p w14:paraId="488434F3"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Švab, I. and </w:t>
      </w:r>
      <w:proofErr w:type="spellStart"/>
      <w:r w:rsidRPr="00B02508">
        <w:rPr>
          <w:rFonts w:asciiTheme="minorBidi" w:hAnsiTheme="minorBidi" w:cstheme="minorBidi"/>
        </w:rPr>
        <w:t>Cerovečki</w:t>
      </w:r>
      <w:proofErr w:type="spellEnd"/>
      <w:r w:rsidRPr="00B02508">
        <w:rPr>
          <w:rFonts w:asciiTheme="minorBidi" w:hAnsiTheme="minorBidi" w:cstheme="minorBidi"/>
        </w:rPr>
        <w:t xml:space="preserve">, V. (2024). Person-centred care, a core concept of family medicine. </w:t>
      </w:r>
      <w:r w:rsidRPr="00B02508">
        <w:rPr>
          <w:rFonts w:asciiTheme="minorBidi" w:hAnsiTheme="minorBidi" w:cstheme="minorBidi"/>
          <w:i/>
          <w:iCs/>
        </w:rPr>
        <w:t>European Journal of General Practice</w:t>
      </w:r>
      <w:r w:rsidRPr="00B02508">
        <w:rPr>
          <w:rFonts w:asciiTheme="minorBidi" w:hAnsiTheme="minorBidi" w:cstheme="minorBidi"/>
        </w:rPr>
        <w:t xml:space="preserve">, [online] 30(1), pp.1–5.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://doi.org/10.1080/13814788.2024.2393860.</w:t>
      </w:r>
    </w:p>
    <w:p w14:paraId="12F01CF5"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Thompson, D.-C., Barbu, M.-G., </w:t>
      </w:r>
      <w:proofErr w:type="spellStart"/>
      <w:r w:rsidRPr="00B02508">
        <w:rPr>
          <w:rFonts w:asciiTheme="minorBidi" w:hAnsiTheme="minorBidi" w:cstheme="minorBidi"/>
        </w:rPr>
        <w:t>Beiu</w:t>
      </w:r>
      <w:proofErr w:type="spellEnd"/>
      <w:r w:rsidRPr="00B02508">
        <w:rPr>
          <w:rFonts w:asciiTheme="minorBidi" w:hAnsiTheme="minorBidi" w:cstheme="minorBidi"/>
        </w:rPr>
        <w:t xml:space="preserve">, C., Popa, L.G., Mihai, M.M., Berteanu, M. and Popescu, M.N. (2020). The Impact of COVID-19 Pandemic on Long-Term Care Facilities Worldwide: An Overview on International Issues. </w:t>
      </w:r>
      <w:r w:rsidRPr="00B02508">
        <w:rPr>
          <w:rFonts w:asciiTheme="minorBidi" w:hAnsiTheme="minorBidi" w:cstheme="minorBidi"/>
          <w:i/>
          <w:iCs/>
        </w:rPr>
        <w:t>BioMed Research International</w:t>
      </w:r>
      <w:r w:rsidRPr="00B02508">
        <w:rPr>
          <w:rFonts w:asciiTheme="minorBidi" w:hAnsiTheme="minorBidi" w:cstheme="minorBidi"/>
        </w:rPr>
        <w:t xml:space="preserve">, 2020, pp.1–7.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://doi.org/10.1155/2020/8870249.</w:t>
      </w:r>
    </w:p>
    <w:p w14:paraId="20938BD8"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Thompson, R.A., Simpson, J.A. and Berlin, L.J. (2022). Taking perspective on attachment theory and research: Nine fundamental questions. </w:t>
      </w:r>
      <w:r w:rsidRPr="00B02508">
        <w:rPr>
          <w:rFonts w:asciiTheme="minorBidi" w:hAnsiTheme="minorBidi" w:cstheme="minorBidi"/>
          <w:i/>
          <w:iCs/>
        </w:rPr>
        <w:t>Attachment &amp; Human Development</w:t>
      </w:r>
      <w:r w:rsidRPr="00B02508">
        <w:rPr>
          <w:rFonts w:asciiTheme="minorBidi" w:hAnsiTheme="minorBidi" w:cstheme="minorBidi"/>
        </w:rPr>
        <w:t xml:space="preserve">, [online] 24(5), pp.543–560.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://doi.org/10.1080/14616734.2022.2030132.</w:t>
      </w:r>
    </w:p>
    <w:p w14:paraId="576890B8"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Underwood, M., Lamb, S.E., Eldridge, S., Sheehan, B., </w:t>
      </w:r>
      <w:proofErr w:type="spellStart"/>
      <w:r w:rsidRPr="00B02508">
        <w:rPr>
          <w:rFonts w:asciiTheme="minorBidi" w:hAnsiTheme="minorBidi" w:cstheme="minorBidi"/>
        </w:rPr>
        <w:t>Slowther</w:t>
      </w:r>
      <w:proofErr w:type="spellEnd"/>
      <w:r w:rsidRPr="00B02508">
        <w:rPr>
          <w:rFonts w:asciiTheme="minorBidi" w:hAnsiTheme="minorBidi" w:cstheme="minorBidi"/>
        </w:rPr>
        <w:t xml:space="preserve">, A.-M., Spencer, A., Thorogood, M., Atherton, N., Bremner, S.A., Devine, A., Diaz-Ordaz, K., Ellard, D.R., Potter, R., Spanjers, K. and Taylor, S.J. (2013). Exercise for depression in elderly residents of care homes: a cluster-randomised controlled trial. </w:t>
      </w:r>
      <w:r w:rsidRPr="00B02508">
        <w:rPr>
          <w:rFonts w:asciiTheme="minorBidi" w:hAnsiTheme="minorBidi" w:cstheme="minorBidi"/>
          <w:i/>
          <w:iCs/>
        </w:rPr>
        <w:t>The Lancet</w:t>
      </w:r>
      <w:r w:rsidRPr="00B02508">
        <w:rPr>
          <w:rFonts w:asciiTheme="minorBidi" w:hAnsiTheme="minorBidi" w:cstheme="minorBidi"/>
        </w:rPr>
        <w:t xml:space="preserve">, 382(9886), pp.41–49.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://doi.org/10.1016/s0140-6736(13)60649-2.</w:t>
      </w:r>
    </w:p>
    <w:p w14:paraId="6184C5F9"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van der Steen, J.T., van der </w:t>
      </w:r>
      <w:proofErr w:type="spellStart"/>
      <w:r w:rsidRPr="00B02508">
        <w:rPr>
          <w:rFonts w:asciiTheme="minorBidi" w:hAnsiTheme="minorBidi" w:cstheme="minorBidi"/>
        </w:rPr>
        <w:t>Wouden</w:t>
      </w:r>
      <w:proofErr w:type="spellEnd"/>
      <w:r w:rsidRPr="00B02508">
        <w:rPr>
          <w:rFonts w:asciiTheme="minorBidi" w:hAnsiTheme="minorBidi" w:cstheme="minorBidi"/>
        </w:rPr>
        <w:t xml:space="preserve">, J.C., </w:t>
      </w:r>
      <w:proofErr w:type="spellStart"/>
      <w:r w:rsidRPr="00B02508">
        <w:rPr>
          <w:rFonts w:asciiTheme="minorBidi" w:hAnsiTheme="minorBidi" w:cstheme="minorBidi"/>
        </w:rPr>
        <w:t>Methley</w:t>
      </w:r>
      <w:proofErr w:type="spellEnd"/>
      <w:r w:rsidRPr="00B02508">
        <w:rPr>
          <w:rFonts w:asciiTheme="minorBidi" w:hAnsiTheme="minorBidi" w:cstheme="minorBidi"/>
        </w:rPr>
        <w:t xml:space="preserve">, A.M., </w:t>
      </w:r>
      <w:proofErr w:type="spellStart"/>
      <w:r w:rsidRPr="00B02508">
        <w:rPr>
          <w:rFonts w:asciiTheme="minorBidi" w:hAnsiTheme="minorBidi" w:cstheme="minorBidi"/>
        </w:rPr>
        <w:t>Smaling</w:t>
      </w:r>
      <w:proofErr w:type="spellEnd"/>
      <w:r w:rsidRPr="00B02508">
        <w:rPr>
          <w:rFonts w:asciiTheme="minorBidi" w:hAnsiTheme="minorBidi" w:cstheme="minorBidi"/>
        </w:rPr>
        <w:t xml:space="preserve">, H.J.A., </w:t>
      </w:r>
      <w:proofErr w:type="spellStart"/>
      <w:r w:rsidRPr="00B02508">
        <w:rPr>
          <w:rFonts w:asciiTheme="minorBidi" w:hAnsiTheme="minorBidi" w:cstheme="minorBidi"/>
        </w:rPr>
        <w:t>Vink</w:t>
      </w:r>
      <w:proofErr w:type="spellEnd"/>
      <w:r w:rsidRPr="00B02508">
        <w:rPr>
          <w:rFonts w:asciiTheme="minorBidi" w:hAnsiTheme="minorBidi" w:cstheme="minorBidi"/>
        </w:rPr>
        <w:t xml:space="preserve">, A.C. and Bruinsma, M.S. (2025). Music-based therapeutic interventions for people with dementia. </w:t>
      </w:r>
      <w:r w:rsidRPr="00B02508">
        <w:rPr>
          <w:rFonts w:asciiTheme="minorBidi" w:hAnsiTheme="minorBidi" w:cstheme="minorBidi"/>
          <w:i/>
          <w:iCs/>
        </w:rPr>
        <w:t>The Cochrane database of systematic reviews</w:t>
      </w:r>
      <w:r w:rsidRPr="00B02508">
        <w:rPr>
          <w:rFonts w:asciiTheme="minorBidi" w:hAnsiTheme="minorBidi" w:cstheme="minorBidi"/>
        </w:rPr>
        <w:t xml:space="preserve">, [online] 3(3), p.CD003477. </w:t>
      </w:r>
      <w:proofErr w:type="spellStart"/>
      <w:r w:rsidRPr="00B02508">
        <w:rPr>
          <w:rFonts w:asciiTheme="minorBidi" w:hAnsiTheme="minorBidi" w:cstheme="minorBidi"/>
        </w:rPr>
        <w:t>doi:https</w:t>
      </w:r>
      <w:proofErr w:type="spellEnd"/>
      <w:r w:rsidRPr="00B02508">
        <w:rPr>
          <w:rFonts w:asciiTheme="minorBidi" w:hAnsiTheme="minorBidi" w:cstheme="minorBidi"/>
        </w:rPr>
        <w:t>://doi.org/10.1002/14651858.CD003477.pub5.</w:t>
      </w:r>
    </w:p>
    <w:p w14:paraId="3DABC736"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WHO (2020). </w:t>
      </w:r>
      <w:r w:rsidRPr="00B02508">
        <w:rPr>
          <w:rFonts w:asciiTheme="minorBidi" w:hAnsiTheme="minorBidi" w:cstheme="minorBidi"/>
          <w:i/>
          <w:iCs/>
        </w:rPr>
        <w:t>UN Decade of Healthy Ageing: Plan of Action</w:t>
      </w:r>
      <w:r w:rsidRPr="00B02508">
        <w:rPr>
          <w:rFonts w:asciiTheme="minorBidi" w:hAnsiTheme="minorBidi" w:cstheme="minorBidi"/>
        </w:rPr>
        <w:t>. [online] Available at: https://cdn.who.int/media/docs/default-source/decade-of-healthy-ageing/decade-proposal-final-apr2020-en.pdf.</w:t>
      </w:r>
    </w:p>
    <w:p w14:paraId="02062FB9"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WHO (2024). </w:t>
      </w:r>
      <w:r w:rsidRPr="00B02508">
        <w:rPr>
          <w:rFonts w:asciiTheme="minorBidi" w:hAnsiTheme="minorBidi" w:cstheme="minorBidi"/>
          <w:i/>
          <w:iCs/>
        </w:rPr>
        <w:t>Ageing and health</w:t>
      </w:r>
      <w:r w:rsidRPr="00B02508">
        <w:rPr>
          <w:rFonts w:asciiTheme="minorBidi" w:hAnsiTheme="minorBidi" w:cstheme="minorBidi"/>
        </w:rPr>
        <w:t>. [online] World Health Organization. Available at: https://www.who.int/news-room/fact-sheets/detail/ageing-and-health.</w:t>
      </w:r>
    </w:p>
    <w:p w14:paraId="42617C29"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World Health Organization (2002). </w:t>
      </w:r>
      <w:r w:rsidRPr="00B02508">
        <w:rPr>
          <w:rFonts w:asciiTheme="minorBidi" w:hAnsiTheme="minorBidi" w:cstheme="minorBidi"/>
          <w:i/>
          <w:iCs/>
        </w:rPr>
        <w:t>Active Ageing</w:t>
      </w:r>
      <w:r w:rsidRPr="00B02508">
        <w:rPr>
          <w:rFonts w:asciiTheme="minorBidi" w:hAnsiTheme="minorBidi" w:cstheme="minorBidi"/>
        </w:rPr>
        <w:t>. [online] Available at: https://extranet.who.int/agefriendlyworld/wp-content/uploads/2014/06/WHO-Active-Ageing-Framework.pdf.</w:t>
      </w:r>
    </w:p>
    <w:p w14:paraId="30E51454" w14:textId="77777777" w:rsidR="00653C31"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World Health Organization (2022). </w:t>
      </w:r>
      <w:r w:rsidRPr="00B02508">
        <w:rPr>
          <w:rFonts w:asciiTheme="minorBidi" w:hAnsiTheme="minorBidi" w:cstheme="minorBidi"/>
          <w:i/>
          <w:iCs/>
        </w:rPr>
        <w:t>Mental health</w:t>
      </w:r>
      <w:r w:rsidRPr="00B02508">
        <w:rPr>
          <w:rFonts w:asciiTheme="minorBidi" w:hAnsiTheme="minorBidi" w:cstheme="minorBidi"/>
        </w:rPr>
        <w:t>. [online] World Health Organization. Available at: https://www.who.int/news-room/fact-sheets/detail/mental-health-strengthening-our-response.</w:t>
      </w:r>
    </w:p>
    <w:p w14:paraId="5B23F238" w14:textId="3FF74060" w:rsidR="009969FC" w:rsidRPr="00B02508" w:rsidRDefault="00653C31" w:rsidP="00195C3C">
      <w:pPr>
        <w:pStyle w:val="NormalWeb"/>
        <w:spacing w:before="240" w:beforeAutospacing="0" w:after="240" w:afterAutospacing="0" w:line="360" w:lineRule="auto"/>
        <w:rPr>
          <w:rFonts w:asciiTheme="minorBidi" w:hAnsiTheme="minorBidi" w:cstheme="minorBidi"/>
        </w:rPr>
      </w:pPr>
      <w:r w:rsidRPr="00B02508">
        <w:rPr>
          <w:rFonts w:asciiTheme="minorBidi" w:hAnsiTheme="minorBidi" w:cstheme="minorBidi"/>
        </w:rPr>
        <w:t xml:space="preserve">World Health Organization (2023). </w:t>
      </w:r>
      <w:r w:rsidRPr="00B02508">
        <w:rPr>
          <w:rFonts w:asciiTheme="minorBidi" w:hAnsiTheme="minorBidi" w:cstheme="minorBidi"/>
          <w:i/>
          <w:iCs/>
        </w:rPr>
        <w:t>Mental health of older adults</w:t>
      </w:r>
      <w:r w:rsidRPr="00B02508">
        <w:rPr>
          <w:rFonts w:asciiTheme="minorBidi" w:hAnsiTheme="minorBidi" w:cstheme="minorBidi"/>
        </w:rPr>
        <w:t>. [online] World Health Organization. Available at: https://www.who.int/news-room/fact-sheets/detail/mental-health-of-older-adults.</w:t>
      </w:r>
    </w:p>
    <w:sectPr w:rsidR="009969FC" w:rsidRPr="00B02508" w:rsidSect="007D143C">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DEA67" w14:textId="77777777" w:rsidR="0000150A" w:rsidRDefault="0000150A" w:rsidP="00211184">
      <w:pPr>
        <w:spacing w:after="0" w:line="240" w:lineRule="auto"/>
      </w:pPr>
      <w:r>
        <w:separator/>
      </w:r>
    </w:p>
  </w:endnote>
  <w:endnote w:type="continuationSeparator" w:id="0">
    <w:p w14:paraId="0A8C606C" w14:textId="77777777" w:rsidR="0000150A" w:rsidRDefault="0000150A"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4EDDB" w14:textId="77777777" w:rsidR="0000150A" w:rsidRDefault="0000150A" w:rsidP="00211184">
      <w:pPr>
        <w:spacing w:after="0" w:line="240" w:lineRule="auto"/>
      </w:pPr>
      <w:r>
        <w:separator/>
      </w:r>
    </w:p>
  </w:footnote>
  <w:footnote w:type="continuationSeparator" w:id="0">
    <w:p w14:paraId="745317C7" w14:textId="77777777" w:rsidR="0000150A" w:rsidRDefault="0000150A"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F168D"/>
    <w:multiLevelType w:val="multilevel"/>
    <w:tmpl w:val="113227CE"/>
    <w:lvl w:ilvl="0">
      <w:start w:val="1"/>
      <w:numFmt w:val="decimal"/>
      <w:lvlText w:val="%1."/>
      <w:lvlJc w:val="left"/>
      <w:pPr>
        <w:ind w:left="420" w:hanging="420"/>
      </w:pPr>
      <w:rPr>
        <w:rFonts w:cs="Arial" w:hint="default"/>
        <w:color w:val="0F4761"/>
        <w:sz w:val="24"/>
      </w:rPr>
    </w:lvl>
    <w:lvl w:ilvl="1">
      <w:start w:val="1"/>
      <w:numFmt w:val="decimal"/>
      <w:lvlText w:val="%1.%2."/>
      <w:lvlJc w:val="left"/>
      <w:pPr>
        <w:ind w:left="420" w:hanging="420"/>
      </w:pPr>
      <w:rPr>
        <w:rFonts w:cs="Arial" w:hint="default"/>
        <w:color w:val="auto"/>
        <w:sz w:val="24"/>
      </w:rPr>
    </w:lvl>
    <w:lvl w:ilvl="2">
      <w:start w:val="1"/>
      <w:numFmt w:val="decimal"/>
      <w:lvlText w:val="%1.%2.%3."/>
      <w:lvlJc w:val="left"/>
      <w:pPr>
        <w:ind w:left="720" w:hanging="720"/>
      </w:pPr>
      <w:rPr>
        <w:rFonts w:cs="Arial" w:hint="default"/>
        <w:color w:val="0F4761"/>
        <w:sz w:val="24"/>
      </w:rPr>
    </w:lvl>
    <w:lvl w:ilvl="3">
      <w:start w:val="1"/>
      <w:numFmt w:val="decimal"/>
      <w:lvlText w:val="%1.%2.%3.%4."/>
      <w:lvlJc w:val="left"/>
      <w:pPr>
        <w:ind w:left="720" w:hanging="720"/>
      </w:pPr>
      <w:rPr>
        <w:rFonts w:cs="Arial" w:hint="default"/>
        <w:color w:val="0F4761"/>
        <w:sz w:val="24"/>
      </w:rPr>
    </w:lvl>
    <w:lvl w:ilvl="4">
      <w:start w:val="1"/>
      <w:numFmt w:val="decimal"/>
      <w:lvlText w:val="%1.%2.%3.%4.%5."/>
      <w:lvlJc w:val="left"/>
      <w:pPr>
        <w:ind w:left="720" w:hanging="720"/>
      </w:pPr>
      <w:rPr>
        <w:rFonts w:cs="Arial" w:hint="default"/>
        <w:color w:val="0F4761"/>
        <w:sz w:val="24"/>
      </w:rPr>
    </w:lvl>
    <w:lvl w:ilvl="5">
      <w:start w:val="1"/>
      <w:numFmt w:val="decimal"/>
      <w:lvlText w:val="%1.%2.%3.%4.%5.%6."/>
      <w:lvlJc w:val="left"/>
      <w:pPr>
        <w:ind w:left="1080" w:hanging="1080"/>
      </w:pPr>
      <w:rPr>
        <w:rFonts w:cs="Arial" w:hint="default"/>
        <w:color w:val="0F4761"/>
        <w:sz w:val="24"/>
      </w:rPr>
    </w:lvl>
    <w:lvl w:ilvl="6">
      <w:start w:val="1"/>
      <w:numFmt w:val="decimal"/>
      <w:lvlText w:val="%1.%2.%3.%4.%5.%6.%7."/>
      <w:lvlJc w:val="left"/>
      <w:pPr>
        <w:ind w:left="1080" w:hanging="1080"/>
      </w:pPr>
      <w:rPr>
        <w:rFonts w:cs="Arial" w:hint="default"/>
        <w:color w:val="0F4761"/>
        <w:sz w:val="24"/>
      </w:rPr>
    </w:lvl>
    <w:lvl w:ilvl="7">
      <w:start w:val="1"/>
      <w:numFmt w:val="decimal"/>
      <w:lvlText w:val="%1.%2.%3.%4.%5.%6.%7.%8."/>
      <w:lvlJc w:val="left"/>
      <w:pPr>
        <w:ind w:left="1080" w:hanging="1080"/>
      </w:pPr>
      <w:rPr>
        <w:rFonts w:cs="Arial" w:hint="default"/>
        <w:color w:val="0F4761"/>
        <w:sz w:val="24"/>
      </w:rPr>
    </w:lvl>
    <w:lvl w:ilvl="8">
      <w:start w:val="1"/>
      <w:numFmt w:val="decimal"/>
      <w:lvlText w:val="%1.%2.%3.%4.%5.%6.%7.%8.%9."/>
      <w:lvlJc w:val="left"/>
      <w:pPr>
        <w:ind w:left="1440" w:hanging="1440"/>
      </w:pPr>
      <w:rPr>
        <w:rFonts w:cs="Arial" w:hint="default"/>
        <w:color w:val="0F4761"/>
        <w:sz w:val="24"/>
      </w:rPr>
    </w:lvl>
  </w:abstractNum>
  <w:abstractNum w:abstractNumId="1" w15:restartNumberingAfterBreak="0">
    <w:nsid w:val="1F400678"/>
    <w:multiLevelType w:val="multilevel"/>
    <w:tmpl w:val="F04ADD0E"/>
    <w:lvl w:ilvl="0">
      <w:start w:val="1"/>
      <w:numFmt w:val="decimal"/>
      <w:lvlText w:val="%1."/>
      <w:lvlJc w:val="left"/>
      <w:pPr>
        <w:ind w:left="720" w:hanging="360"/>
      </w:pPr>
      <w:rPr>
        <w:rFonts w:hint="default"/>
        <w:b/>
      </w:rPr>
    </w:lvl>
    <w:lvl w:ilvl="1">
      <w:start w:val="2"/>
      <w:numFmt w:val="decimal"/>
      <w:isLgl/>
      <w:lvlText w:val="%1.%2."/>
      <w:lvlJc w:val="left"/>
      <w:pPr>
        <w:ind w:left="780" w:hanging="420"/>
      </w:pPr>
      <w:rPr>
        <w:rFonts w:cs="Arial" w:hint="default"/>
        <w:color w:val="0F4761"/>
        <w:sz w:val="24"/>
      </w:rPr>
    </w:lvl>
    <w:lvl w:ilvl="2">
      <w:start w:val="1"/>
      <w:numFmt w:val="decimal"/>
      <w:isLgl/>
      <w:lvlText w:val="%1.%2.%3."/>
      <w:lvlJc w:val="left"/>
      <w:pPr>
        <w:ind w:left="1080" w:hanging="720"/>
      </w:pPr>
      <w:rPr>
        <w:rFonts w:cs="Arial" w:hint="default"/>
        <w:color w:val="0F4761"/>
        <w:sz w:val="24"/>
      </w:rPr>
    </w:lvl>
    <w:lvl w:ilvl="3">
      <w:start w:val="1"/>
      <w:numFmt w:val="decimal"/>
      <w:isLgl/>
      <w:lvlText w:val="%1.%2.%3.%4."/>
      <w:lvlJc w:val="left"/>
      <w:pPr>
        <w:ind w:left="1080" w:hanging="720"/>
      </w:pPr>
      <w:rPr>
        <w:rFonts w:cs="Arial" w:hint="default"/>
        <w:color w:val="0F4761"/>
        <w:sz w:val="24"/>
      </w:rPr>
    </w:lvl>
    <w:lvl w:ilvl="4">
      <w:start w:val="1"/>
      <w:numFmt w:val="decimal"/>
      <w:isLgl/>
      <w:lvlText w:val="%1.%2.%3.%4.%5."/>
      <w:lvlJc w:val="left"/>
      <w:pPr>
        <w:ind w:left="1080" w:hanging="720"/>
      </w:pPr>
      <w:rPr>
        <w:rFonts w:cs="Arial" w:hint="default"/>
        <w:color w:val="0F4761"/>
        <w:sz w:val="24"/>
      </w:rPr>
    </w:lvl>
    <w:lvl w:ilvl="5">
      <w:start w:val="1"/>
      <w:numFmt w:val="decimal"/>
      <w:isLgl/>
      <w:lvlText w:val="%1.%2.%3.%4.%5.%6."/>
      <w:lvlJc w:val="left"/>
      <w:pPr>
        <w:ind w:left="1440" w:hanging="1080"/>
      </w:pPr>
      <w:rPr>
        <w:rFonts w:cs="Arial" w:hint="default"/>
        <w:color w:val="0F4761"/>
        <w:sz w:val="24"/>
      </w:rPr>
    </w:lvl>
    <w:lvl w:ilvl="6">
      <w:start w:val="1"/>
      <w:numFmt w:val="decimal"/>
      <w:isLgl/>
      <w:lvlText w:val="%1.%2.%3.%4.%5.%6.%7."/>
      <w:lvlJc w:val="left"/>
      <w:pPr>
        <w:ind w:left="1440" w:hanging="1080"/>
      </w:pPr>
      <w:rPr>
        <w:rFonts w:cs="Arial" w:hint="default"/>
        <w:color w:val="0F4761"/>
        <w:sz w:val="24"/>
      </w:rPr>
    </w:lvl>
    <w:lvl w:ilvl="7">
      <w:start w:val="1"/>
      <w:numFmt w:val="decimal"/>
      <w:isLgl/>
      <w:lvlText w:val="%1.%2.%3.%4.%5.%6.%7.%8."/>
      <w:lvlJc w:val="left"/>
      <w:pPr>
        <w:ind w:left="1440" w:hanging="1080"/>
      </w:pPr>
      <w:rPr>
        <w:rFonts w:cs="Arial" w:hint="default"/>
        <w:color w:val="0F4761"/>
        <w:sz w:val="24"/>
      </w:rPr>
    </w:lvl>
    <w:lvl w:ilvl="8">
      <w:start w:val="1"/>
      <w:numFmt w:val="decimal"/>
      <w:isLgl/>
      <w:lvlText w:val="%1.%2.%3.%4.%5.%6.%7.%8.%9."/>
      <w:lvlJc w:val="left"/>
      <w:pPr>
        <w:ind w:left="1800" w:hanging="1440"/>
      </w:pPr>
      <w:rPr>
        <w:rFonts w:cs="Arial" w:hint="default"/>
        <w:color w:val="0F4761"/>
        <w:sz w:val="24"/>
      </w:rPr>
    </w:lvl>
  </w:abstractNum>
  <w:abstractNum w:abstractNumId="2"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8763282">
    <w:abstractNumId w:val="2"/>
  </w:num>
  <w:num w:numId="2" w16cid:durableId="1941446563">
    <w:abstractNumId w:val="1"/>
  </w:num>
  <w:num w:numId="3" w16cid:durableId="181575278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69E"/>
    <w:rsid w:val="0000150A"/>
    <w:rsid w:val="00004BC5"/>
    <w:rsid w:val="00012FC3"/>
    <w:rsid w:val="0001582E"/>
    <w:rsid w:val="00023173"/>
    <w:rsid w:val="000264A2"/>
    <w:rsid w:val="0003006C"/>
    <w:rsid w:val="000400E4"/>
    <w:rsid w:val="00040DEF"/>
    <w:rsid w:val="000555E5"/>
    <w:rsid w:val="00063B4C"/>
    <w:rsid w:val="00073C5D"/>
    <w:rsid w:val="0007519D"/>
    <w:rsid w:val="00081619"/>
    <w:rsid w:val="000839A2"/>
    <w:rsid w:val="000972BC"/>
    <w:rsid w:val="000A1B18"/>
    <w:rsid w:val="000A74CA"/>
    <w:rsid w:val="000B7B67"/>
    <w:rsid w:val="000C24AB"/>
    <w:rsid w:val="000D05D8"/>
    <w:rsid w:val="000D0641"/>
    <w:rsid w:val="000D2B00"/>
    <w:rsid w:val="000D326C"/>
    <w:rsid w:val="000D46DB"/>
    <w:rsid w:val="000E0B1C"/>
    <w:rsid w:val="000E5CEA"/>
    <w:rsid w:val="000F0852"/>
    <w:rsid w:val="001256C6"/>
    <w:rsid w:val="00143A55"/>
    <w:rsid w:val="00157106"/>
    <w:rsid w:val="001601E6"/>
    <w:rsid w:val="0017432A"/>
    <w:rsid w:val="00174BE3"/>
    <w:rsid w:val="00177A9B"/>
    <w:rsid w:val="00191A9C"/>
    <w:rsid w:val="00195C3C"/>
    <w:rsid w:val="001A1454"/>
    <w:rsid w:val="001A707B"/>
    <w:rsid w:val="001B456F"/>
    <w:rsid w:val="001B58E3"/>
    <w:rsid w:val="001C3AF6"/>
    <w:rsid w:val="001D1485"/>
    <w:rsid w:val="001E53C5"/>
    <w:rsid w:val="001F05E6"/>
    <w:rsid w:val="001F19A6"/>
    <w:rsid w:val="00202ACD"/>
    <w:rsid w:val="002043A4"/>
    <w:rsid w:val="002052D6"/>
    <w:rsid w:val="00207918"/>
    <w:rsid w:val="00211184"/>
    <w:rsid w:val="00212A65"/>
    <w:rsid w:val="0021364B"/>
    <w:rsid w:val="00213D64"/>
    <w:rsid w:val="0023286B"/>
    <w:rsid w:val="00234713"/>
    <w:rsid w:val="002364B9"/>
    <w:rsid w:val="00236D1A"/>
    <w:rsid w:val="00241EC4"/>
    <w:rsid w:val="0025020C"/>
    <w:rsid w:val="0025056E"/>
    <w:rsid w:val="002541D9"/>
    <w:rsid w:val="00256951"/>
    <w:rsid w:val="00256D83"/>
    <w:rsid w:val="002639D5"/>
    <w:rsid w:val="00266007"/>
    <w:rsid w:val="00281067"/>
    <w:rsid w:val="002826D0"/>
    <w:rsid w:val="002865F5"/>
    <w:rsid w:val="00290143"/>
    <w:rsid w:val="0029051B"/>
    <w:rsid w:val="00292151"/>
    <w:rsid w:val="00292A36"/>
    <w:rsid w:val="002A12FE"/>
    <w:rsid w:val="002A63D0"/>
    <w:rsid w:val="002B3607"/>
    <w:rsid w:val="002B382E"/>
    <w:rsid w:val="002B3A55"/>
    <w:rsid w:val="002C4793"/>
    <w:rsid w:val="002D64A3"/>
    <w:rsid w:val="002E06E0"/>
    <w:rsid w:val="002E08CF"/>
    <w:rsid w:val="002E286A"/>
    <w:rsid w:val="002E486A"/>
    <w:rsid w:val="002F4459"/>
    <w:rsid w:val="002F5E53"/>
    <w:rsid w:val="002F6995"/>
    <w:rsid w:val="002F7E20"/>
    <w:rsid w:val="0030482A"/>
    <w:rsid w:val="00312A5A"/>
    <w:rsid w:val="003135AD"/>
    <w:rsid w:val="0031482F"/>
    <w:rsid w:val="00335E65"/>
    <w:rsid w:val="00341B0E"/>
    <w:rsid w:val="0035495A"/>
    <w:rsid w:val="003560A9"/>
    <w:rsid w:val="003616A6"/>
    <w:rsid w:val="0036278F"/>
    <w:rsid w:val="00370658"/>
    <w:rsid w:val="00380657"/>
    <w:rsid w:val="00381BD5"/>
    <w:rsid w:val="00391C9C"/>
    <w:rsid w:val="003920E6"/>
    <w:rsid w:val="00393F39"/>
    <w:rsid w:val="003A2EDF"/>
    <w:rsid w:val="003A5847"/>
    <w:rsid w:val="003A66FD"/>
    <w:rsid w:val="003B1E32"/>
    <w:rsid w:val="003B43F2"/>
    <w:rsid w:val="003B5877"/>
    <w:rsid w:val="003B597E"/>
    <w:rsid w:val="003B7BE8"/>
    <w:rsid w:val="003C0442"/>
    <w:rsid w:val="003C4578"/>
    <w:rsid w:val="003D41D0"/>
    <w:rsid w:val="003E115F"/>
    <w:rsid w:val="003E1229"/>
    <w:rsid w:val="003E2564"/>
    <w:rsid w:val="003F296E"/>
    <w:rsid w:val="004046C1"/>
    <w:rsid w:val="00414125"/>
    <w:rsid w:val="00414CD9"/>
    <w:rsid w:val="00432154"/>
    <w:rsid w:val="00434C26"/>
    <w:rsid w:val="00440E91"/>
    <w:rsid w:val="00451F25"/>
    <w:rsid w:val="00452783"/>
    <w:rsid w:val="004527DB"/>
    <w:rsid w:val="0046414D"/>
    <w:rsid w:val="00487E94"/>
    <w:rsid w:val="00492F3C"/>
    <w:rsid w:val="0049782C"/>
    <w:rsid w:val="004A0C02"/>
    <w:rsid w:val="004B1751"/>
    <w:rsid w:val="004B18E8"/>
    <w:rsid w:val="004B7F35"/>
    <w:rsid w:val="004C11A2"/>
    <w:rsid w:val="004C1756"/>
    <w:rsid w:val="004C3711"/>
    <w:rsid w:val="004C4465"/>
    <w:rsid w:val="004C5145"/>
    <w:rsid w:val="004D4021"/>
    <w:rsid w:val="004D52EF"/>
    <w:rsid w:val="00506A9B"/>
    <w:rsid w:val="0051112D"/>
    <w:rsid w:val="005119DE"/>
    <w:rsid w:val="00521620"/>
    <w:rsid w:val="00523418"/>
    <w:rsid w:val="00530BA0"/>
    <w:rsid w:val="00533FDD"/>
    <w:rsid w:val="00542BB5"/>
    <w:rsid w:val="005446BF"/>
    <w:rsid w:val="005460AF"/>
    <w:rsid w:val="0055147E"/>
    <w:rsid w:val="00563BB6"/>
    <w:rsid w:val="00592D79"/>
    <w:rsid w:val="005961D3"/>
    <w:rsid w:val="00596A34"/>
    <w:rsid w:val="005A096D"/>
    <w:rsid w:val="005B3EDE"/>
    <w:rsid w:val="005B6E67"/>
    <w:rsid w:val="005C1D7A"/>
    <w:rsid w:val="005C5E80"/>
    <w:rsid w:val="005D1DE2"/>
    <w:rsid w:val="005D7A1E"/>
    <w:rsid w:val="005E1209"/>
    <w:rsid w:val="005E1650"/>
    <w:rsid w:val="005E4B8D"/>
    <w:rsid w:val="005E4C2C"/>
    <w:rsid w:val="005E6446"/>
    <w:rsid w:val="005E796F"/>
    <w:rsid w:val="005F223D"/>
    <w:rsid w:val="005F5191"/>
    <w:rsid w:val="005F6639"/>
    <w:rsid w:val="005F77C7"/>
    <w:rsid w:val="00604639"/>
    <w:rsid w:val="00604A87"/>
    <w:rsid w:val="00606118"/>
    <w:rsid w:val="00611207"/>
    <w:rsid w:val="00621776"/>
    <w:rsid w:val="00621872"/>
    <w:rsid w:val="0062434C"/>
    <w:rsid w:val="00636D9A"/>
    <w:rsid w:val="00642AB3"/>
    <w:rsid w:val="00645624"/>
    <w:rsid w:val="0064640D"/>
    <w:rsid w:val="00653158"/>
    <w:rsid w:val="00653C31"/>
    <w:rsid w:val="00654353"/>
    <w:rsid w:val="00654D0D"/>
    <w:rsid w:val="006557F5"/>
    <w:rsid w:val="00657200"/>
    <w:rsid w:val="00662458"/>
    <w:rsid w:val="00680AAD"/>
    <w:rsid w:val="00680C1E"/>
    <w:rsid w:val="00683681"/>
    <w:rsid w:val="00683B61"/>
    <w:rsid w:val="006851CD"/>
    <w:rsid w:val="00686430"/>
    <w:rsid w:val="00692855"/>
    <w:rsid w:val="006A0EEA"/>
    <w:rsid w:val="006A367F"/>
    <w:rsid w:val="006A3F0D"/>
    <w:rsid w:val="006A4515"/>
    <w:rsid w:val="006B2410"/>
    <w:rsid w:val="006B498F"/>
    <w:rsid w:val="006C055E"/>
    <w:rsid w:val="006C2BA7"/>
    <w:rsid w:val="006C4F52"/>
    <w:rsid w:val="006C6C57"/>
    <w:rsid w:val="006C78AA"/>
    <w:rsid w:val="006E1FBB"/>
    <w:rsid w:val="006E5253"/>
    <w:rsid w:val="006E5950"/>
    <w:rsid w:val="006E77B8"/>
    <w:rsid w:val="006F04D4"/>
    <w:rsid w:val="006F4546"/>
    <w:rsid w:val="006F4AB2"/>
    <w:rsid w:val="006F4C2D"/>
    <w:rsid w:val="006F5F22"/>
    <w:rsid w:val="007063BA"/>
    <w:rsid w:val="00717329"/>
    <w:rsid w:val="00724619"/>
    <w:rsid w:val="00730C3C"/>
    <w:rsid w:val="0073280B"/>
    <w:rsid w:val="00740851"/>
    <w:rsid w:val="00744056"/>
    <w:rsid w:val="00746C96"/>
    <w:rsid w:val="00750B5B"/>
    <w:rsid w:val="00753000"/>
    <w:rsid w:val="007622D0"/>
    <w:rsid w:val="00763473"/>
    <w:rsid w:val="0077163A"/>
    <w:rsid w:val="00774CC8"/>
    <w:rsid w:val="00780388"/>
    <w:rsid w:val="00785752"/>
    <w:rsid w:val="007859C2"/>
    <w:rsid w:val="00786008"/>
    <w:rsid w:val="007A3F97"/>
    <w:rsid w:val="007A59C8"/>
    <w:rsid w:val="007A712E"/>
    <w:rsid w:val="007C246B"/>
    <w:rsid w:val="007C28C9"/>
    <w:rsid w:val="007C685B"/>
    <w:rsid w:val="007D0614"/>
    <w:rsid w:val="007D143C"/>
    <w:rsid w:val="007E07D3"/>
    <w:rsid w:val="007E6689"/>
    <w:rsid w:val="007E7B39"/>
    <w:rsid w:val="007F307C"/>
    <w:rsid w:val="007F7847"/>
    <w:rsid w:val="00801DAE"/>
    <w:rsid w:val="00804B94"/>
    <w:rsid w:val="00807B11"/>
    <w:rsid w:val="00812BEA"/>
    <w:rsid w:val="00816AFC"/>
    <w:rsid w:val="00821A7C"/>
    <w:rsid w:val="0082760D"/>
    <w:rsid w:val="00832C54"/>
    <w:rsid w:val="00840EBD"/>
    <w:rsid w:val="00846D84"/>
    <w:rsid w:val="00861A4D"/>
    <w:rsid w:val="00862A75"/>
    <w:rsid w:val="0087044D"/>
    <w:rsid w:val="00873DB5"/>
    <w:rsid w:val="0087421E"/>
    <w:rsid w:val="008765DF"/>
    <w:rsid w:val="00880B2D"/>
    <w:rsid w:val="00881AF9"/>
    <w:rsid w:val="00881BFD"/>
    <w:rsid w:val="00883AB0"/>
    <w:rsid w:val="008841FB"/>
    <w:rsid w:val="00894108"/>
    <w:rsid w:val="008973CD"/>
    <w:rsid w:val="008A3F5B"/>
    <w:rsid w:val="008A79DC"/>
    <w:rsid w:val="008B0A63"/>
    <w:rsid w:val="008B1DFA"/>
    <w:rsid w:val="008B6060"/>
    <w:rsid w:val="008B6CEF"/>
    <w:rsid w:val="008C13C8"/>
    <w:rsid w:val="008C2EBA"/>
    <w:rsid w:val="008C38C3"/>
    <w:rsid w:val="008C5944"/>
    <w:rsid w:val="008D6B2E"/>
    <w:rsid w:val="008D6F0F"/>
    <w:rsid w:val="008E7B2E"/>
    <w:rsid w:val="008F3E09"/>
    <w:rsid w:val="008F48DA"/>
    <w:rsid w:val="008F616F"/>
    <w:rsid w:val="0090294F"/>
    <w:rsid w:val="009030BF"/>
    <w:rsid w:val="00903B34"/>
    <w:rsid w:val="00916814"/>
    <w:rsid w:val="00920B48"/>
    <w:rsid w:val="00922A6A"/>
    <w:rsid w:val="00923F65"/>
    <w:rsid w:val="009327F5"/>
    <w:rsid w:val="00932CAF"/>
    <w:rsid w:val="00935F78"/>
    <w:rsid w:val="00936E2A"/>
    <w:rsid w:val="00942A54"/>
    <w:rsid w:val="00945C3C"/>
    <w:rsid w:val="00947BFC"/>
    <w:rsid w:val="00962DDC"/>
    <w:rsid w:val="009644C4"/>
    <w:rsid w:val="00982F0F"/>
    <w:rsid w:val="009837CD"/>
    <w:rsid w:val="00986C8E"/>
    <w:rsid w:val="00986F17"/>
    <w:rsid w:val="00987F1E"/>
    <w:rsid w:val="009914F0"/>
    <w:rsid w:val="00995444"/>
    <w:rsid w:val="009969FC"/>
    <w:rsid w:val="009A0841"/>
    <w:rsid w:val="009A462A"/>
    <w:rsid w:val="009A7017"/>
    <w:rsid w:val="009B0F99"/>
    <w:rsid w:val="009B5DDC"/>
    <w:rsid w:val="009C22CE"/>
    <w:rsid w:val="009C58E4"/>
    <w:rsid w:val="009C6496"/>
    <w:rsid w:val="009D06C5"/>
    <w:rsid w:val="009D534C"/>
    <w:rsid w:val="009D728C"/>
    <w:rsid w:val="009E4C32"/>
    <w:rsid w:val="009E5B14"/>
    <w:rsid w:val="00A00122"/>
    <w:rsid w:val="00A0152C"/>
    <w:rsid w:val="00A05A5D"/>
    <w:rsid w:val="00A120C6"/>
    <w:rsid w:val="00A17C88"/>
    <w:rsid w:val="00A31D86"/>
    <w:rsid w:val="00A33E64"/>
    <w:rsid w:val="00A356CA"/>
    <w:rsid w:val="00A422F9"/>
    <w:rsid w:val="00A4449C"/>
    <w:rsid w:val="00A4619D"/>
    <w:rsid w:val="00A50B23"/>
    <w:rsid w:val="00A54987"/>
    <w:rsid w:val="00A549ED"/>
    <w:rsid w:val="00A70189"/>
    <w:rsid w:val="00A76CEE"/>
    <w:rsid w:val="00A77C61"/>
    <w:rsid w:val="00A87F67"/>
    <w:rsid w:val="00A90A7A"/>
    <w:rsid w:val="00A94D02"/>
    <w:rsid w:val="00AA437C"/>
    <w:rsid w:val="00AB1C93"/>
    <w:rsid w:val="00AB78F0"/>
    <w:rsid w:val="00AC7651"/>
    <w:rsid w:val="00AD081A"/>
    <w:rsid w:val="00AE5D60"/>
    <w:rsid w:val="00AF417C"/>
    <w:rsid w:val="00AF4917"/>
    <w:rsid w:val="00AF4AA4"/>
    <w:rsid w:val="00AF6835"/>
    <w:rsid w:val="00B01396"/>
    <w:rsid w:val="00B02508"/>
    <w:rsid w:val="00B04147"/>
    <w:rsid w:val="00B20C9D"/>
    <w:rsid w:val="00B20F63"/>
    <w:rsid w:val="00B2418B"/>
    <w:rsid w:val="00B26973"/>
    <w:rsid w:val="00B27505"/>
    <w:rsid w:val="00B3504F"/>
    <w:rsid w:val="00B43968"/>
    <w:rsid w:val="00B46546"/>
    <w:rsid w:val="00B46E4E"/>
    <w:rsid w:val="00B5008B"/>
    <w:rsid w:val="00B525EB"/>
    <w:rsid w:val="00B54546"/>
    <w:rsid w:val="00B575E2"/>
    <w:rsid w:val="00B7073C"/>
    <w:rsid w:val="00B858A1"/>
    <w:rsid w:val="00BA12BA"/>
    <w:rsid w:val="00BB65AC"/>
    <w:rsid w:val="00BC5486"/>
    <w:rsid w:val="00BC6532"/>
    <w:rsid w:val="00BD2909"/>
    <w:rsid w:val="00BD2B84"/>
    <w:rsid w:val="00BD6F14"/>
    <w:rsid w:val="00BE786C"/>
    <w:rsid w:val="00BF519F"/>
    <w:rsid w:val="00C00FC1"/>
    <w:rsid w:val="00C03059"/>
    <w:rsid w:val="00C048AC"/>
    <w:rsid w:val="00C173D2"/>
    <w:rsid w:val="00C1785A"/>
    <w:rsid w:val="00C179F9"/>
    <w:rsid w:val="00C17A49"/>
    <w:rsid w:val="00C23FA8"/>
    <w:rsid w:val="00C26238"/>
    <w:rsid w:val="00C271F3"/>
    <w:rsid w:val="00C30AF4"/>
    <w:rsid w:val="00C33A30"/>
    <w:rsid w:val="00C51316"/>
    <w:rsid w:val="00C529AB"/>
    <w:rsid w:val="00C62DD2"/>
    <w:rsid w:val="00C66E65"/>
    <w:rsid w:val="00C74FE2"/>
    <w:rsid w:val="00C80114"/>
    <w:rsid w:val="00C91196"/>
    <w:rsid w:val="00C91479"/>
    <w:rsid w:val="00C93F4C"/>
    <w:rsid w:val="00CA0522"/>
    <w:rsid w:val="00CB3AF6"/>
    <w:rsid w:val="00CB3C13"/>
    <w:rsid w:val="00CC5DD3"/>
    <w:rsid w:val="00CC71B7"/>
    <w:rsid w:val="00CD19A5"/>
    <w:rsid w:val="00CD7376"/>
    <w:rsid w:val="00CE3FD1"/>
    <w:rsid w:val="00CE620E"/>
    <w:rsid w:val="00CF0762"/>
    <w:rsid w:val="00CF1ED5"/>
    <w:rsid w:val="00CF3F8C"/>
    <w:rsid w:val="00D12AC7"/>
    <w:rsid w:val="00D13A82"/>
    <w:rsid w:val="00D13DB7"/>
    <w:rsid w:val="00D2170F"/>
    <w:rsid w:val="00D31A19"/>
    <w:rsid w:val="00D37329"/>
    <w:rsid w:val="00D43412"/>
    <w:rsid w:val="00D512B8"/>
    <w:rsid w:val="00D528A8"/>
    <w:rsid w:val="00D54771"/>
    <w:rsid w:val="00D5676A"/>
    <w:rsid w:val="00D70789"/>
    <w:rsid w:val="00D71358"/>
    <w:rsid w:val="00D72BAE"/>
    <w:rsid w:val="00D813D3"/>
    <w:rsid w:val="00D90210"/>
    <w:rsid w:val="00DB12B1"/>
    <w:rsid w:val="00DB1D7F"/>
    <w:rsid w:val="00DB3489"/>
    <w:rsid w:val="00DB71AC"/>
    <w:rsid w:val="00DC00D1"/>
    <w:rsid w:val="00DC5A56"/>
    <w:rsid w:val="00DD02A4"/>
    <w:rsid w:val="00DD0F3F"/>
    <w:rsid w:val="00DD679E"/>
    <w:rsid w:val="00DE1A02"/>
    <w:rsid w:val="00E012B0"/>
    <w:rsid w:val="00E02E2B"/>
    <w:rsid w:val="00E02FC4"/>
    <w:rsid w:val="00E05C6C"/>
    <w:rsid w:val="00E157E1"/>
    <w:rsid w:val="00E2182C"/>
    <w:rsid w:val="00E27E1C"/>
    <w:rsid w:val="00E325CF"/>
    <w:rsid w:val="00E33948"/>
    <w:rsid w:val="00E36E83"/>
    <w:rsid w:val="00E40B0D"/>
    <w:rsid w:val="00E44E84"/>
    <w:rsid w:val="00E5043B"/>
    <w:rsid w:val="00E54425"/>
    <w:rsid w:val="00E64F9B"/>
    <w:rsid w:val="00E71315"/>
    <w:rsid w:val="00E71420"/>
    <w:rsid w:val="00E87968"/>
    <w:rsid w:val="00E87A29"/>
    <w:rsid w:val="00E94DA0"/>
    <w:rsid w:val="00EA5A90"/>
    <w:rsid w:val="00EA5CC3"/>
    <w:rsid w:val="00EB0400"/>
    <w:rsid w:val="00EB33FE"/>
    <w:rsid w:val="00EC1751"/>
    <w:rsid w:val="00ED08FB"/>
    <w:rsid w:val="00ED24EE"/>
    <w:rsid w:val="00EE67EA"/>
    <w:rsid w:val="00EF092A"/>
    <w:rsid w:val="00EF6341"/>
    <w:rsid w:val="00F010A8"/>
    <w:rsid w:val="00F0560A"/>
    <w:rsid w:val="00F071A7"/>
    <w:rsid w:val="00F07FA7"/>
    <w:rsid w:val="00F11AEF"/>
    <w:rsid w:val="00F158D7"/>
    <w:rsid w:val="00F20EE5"/>
    <w:rsid w:val="00F40575"/>
    <w:rsid w:val="00F44833"/>
    <w:rsid w:val="00F544B0"/>
    <w:rsid w:val="00F54BE1"/>
    <w:rsid w:val="00F67C87"/>
    <w:rsid w:val="00F80568"/>
    <w:rsid w:val="00F82C5E"/>
    <w:rsid w:val="00F84C23"/>
    <w:rsid w:val="00F85090"/>
    <w:rsid w:val="00F871D3"/>
    <w:rsid w:val="00FB0FF4"/>
    <w:rsid w:val="00FB746A"/>
    <w:rsid w:val="00FC469B"/>
    <w:rsid w:val="00FD22BB"/>
    <w:rsid w:val="00FD3DE0"/>
    <w:rsid w:val="00FD7729"/>
    <w:rsid w:val="00FD7C22"/>
    <w:rsid w:val="00FE0889"/>
    <w:rsid w:val="00FE0C98"/>
    <w:rsid w:val="00FE10FC"/>
    <w:rsid w:val="00FE42F6"/>
    <w:rsid w:val="00FE5C58"/>
    <w:rsid w:val="00FF0745"/>
    <w:rsid w:val="00FF75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customStyle="1" w:styleId="whitespace-normal">
    <w:name w:val="whitespace-normal"/>
    <w:basedOn w:val="DefaultParagraphFont"/>
    <w:rsid w:val="00FF0745"/>
  </w:style>
  <w:style w:type="character" w:styleId="Emphasis">
    <w:name w:val="Emphasis"/>
    <w:basedOn w:val="DefaultParagraphFont"/>
    <w:uiPriority w:val="20"/>
    <w:qFormat/>
    <w:rsid w:val="00FF0745"/>
    <w:rPr>
      <w:i/>
      <w:iCs/>
    </w:rPr>
  </w:style>
  <w:style w:type="paragraph" w:styleId="NoSpacing">
    <w:name w:val="No Spacing"/>
    <w:link w:val="NoSpacingChar"/>
    <w:uiPriority w:val="1"/>
    <w:qFormat/>
    <w:rsid w:val="007D143C"/>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7D143C"/>
    <w:rPr>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4339</Words>
  <Characters>24736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Guest User</cp:lastModifiedBy>
  <cp:revision>3</cp:revision>
  <dcterms:created xsi:type="dcterms:W3CDTF">2026-04-01T14:46:00Z</dcterms:created>
  <dcterms:modified xsi:type="dcterms:W3CDTF">2026-04-01T14:47:00Z</dcterms:modified>
</cp:coreProperties>
</file>