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6C6D1F" w14:textId="1B16995A" w:rsidR="00CE0D64" w:rsidRDefault="00CA7FEF">
      <w:pPr>
        <w:rPr>
          <w:rFonts w:ascii="Arial" w:hAnsi="Arial" w:cs="Arial"/>
          <w:sz w:val="27"/>
          <w:szCs w:val="27"/>
        </w:rPr>
      </w:pPr>
      <w:r>
        <w:rPr>
          <w:rFonts w:ascii="Arial" w:hAnsi="Arial" w:cs="Arial"/>
          <w:sz w:val="27"/>
          <w:szCs w:val="27"/>
        </w:rPr>
        <w:t xml:space="preserve">Application of Judith Butler’s theory of gender performativity to the character of Medea in Euripides’ </w:t>
      </w:r>
      <w:r>
        <w:rPr>
          <w:rFonts w:ascii="Arial" w:hAnsi="Arial" w:cs="Arial"/>
          <w:i/>
          <w:iCs/>
          <w:sz w:val="27"/>
          <w:szCs w:val="27"/>
        </w:rPr>
        <w:t xml:space="preserve">Medea. </w:t>
      </w:r>
      <w:r>
        <w:rPr>
          <w:rFonts w:ascii="Arial" w:hAnsi="Arial" w:cs="Arial"/>
          <w:sz w:val="27"/>
          <w:szCs w:val="27"/>
        </w:rPr>
        <w:br/>
        <w:t>(Please excuse poor formatting in footnotes – my word processer struggles with footnote spacing.)</w:t>
      </w:r>
      <w:r>
        <w:rPr>
          <w:rFonts w:ascii="Arial" w:hAnsi="Arial" w:cs="Arial"/>
          <w:sz w:val="27"/>
          <w:szCs w:val="27"/>
        </w:rPr>
        <w:br/>
      </w:r>
      <w:r w:rsidR="00CE0D64">
        <w:rPr>
          <w:rFonts w:ascii="Arial" w:hAnsi="Arial" w:cs="Arial"/>
          <w:sz w:val="27"/>
          <w:szCs w:val="27"/>
        </w:rPr>
        <w:t>Word Count: 2651 words (excluding bibliography and footnotes)</w:t>
      </w:r>
      <w:r w:rsidR="00CE0D64">
        <w:rPr>
          <w:rFonts w:ascii="Arial" w:hAnsi="Arial" w:cs="Arial"/>
          <w:sz w:val="27"/>
          <w:szCs w:val="27"/>
        </w:rPr>
        <w:br/>
        <w:t xml:space="preserve">Neve Pule, Sex, Sexuality and Gender Module 2023/24 </w:t>
      </w:r>
      <w:r w:rsidR="00D71818">
        <w:rPr>
          <w:rFonts w:ascii="Arial" w:hAnsi="Arial" w:cs="Arial"/>
          <w:sz w:val="27"/>
          <w:szCs w:val="27"/>
        </w:rPr>
        <w:br/>
      </w:r>
      <w:r w:rsidR="00CE0D64">
        <w:rPr>
          <w:rFonts w:ascii="Arial" w:hAnsi="Arial" w:cs="Arial"/>
          <w:sz w:val="27"/>
          <w:szCs w:val="27"/>
        </w:rPr>
        <w:t>Submitted: 13/</w:t>
      </w:r>
      <w:r w:rsidR="00D71818">
        <w:rPr>
          <w:rFonts w:ascii="Arial" w:hAnsi="Arial" w:cs="Arial"/>
          <w:sz w:val="27"/>
          <w:szCs w:val="27"/>
        </w:rPr>
        <w:t>12/2023</w:t>
      </w:r>
      <w:r>
        <w:rPr>
          <w:rFonts w:ascii="Arial" w:hAnsi="Arial" w:cs="Arial"/>
          <w:sz w:val="27"/>
          <w:szCs w:val="27"/>
        </w:rPr>
        <w:t>.</w:t>
      </w:r>
    </w:p>
    <w:p w14:paraId="7ABA3D27" w14:textId="12F15592" w:rsidR="00493F75" w:rsidRDefault="00E70B7C">
      <w:pPr>
        <w:rPr>
          <w:rFonts w:ascii="Arial" w:hAnsi="Arial" w:cs="Arial"/>
          <w:sz w:val="27"/>
          <w:szCs w:val="27"/>
        </w:rPr>
      </w:pPr>
      <w:r>
        <w:rPr>
          <w:rFonts w:ascii="Arial" w:hAnsi="Arial" w:cs="Arial"/>
          <w:sz w:val="27"/>
          <w:szCs w:val="27"/>
        </w:rPr>
        <w:t xml:space="preserve">Ancient Greek conceptions and displays of gender are in some ways strikingly </w:t>
      </w:r>
      <w:proofErr w:type="gramStart"/>
      <w:r>
        <w:rPr>
          <w:rFonts w:ascii="Arial" w:hAnsi="Arial" w:cs="Arial"/>
          <w:sz w:val="27"/>
          <w:szCs w:val="27"/>
        </w:rPr>
        <w:t xml:space="preserve">similar </w:t>
      </w:r>
      <w:r w:rsidR="001A2764">
        <w:rPr>
          <w:rFonts w:ascii="Arial" w:hAnsi="Arial" w:cs="Arial"/>
          <w:sz w:val="27"/>
          <w:szCs w:val="27"/>
        </w:rPr>
        <w:t>to</w:t>
      </w:r>
      <w:proofErr w:type="gramEnd"/>
      <w:r>
        <w:rPr>
          <w:rFonts w:ascii="Arial" w:hAnsi="Arial" w:cs="Arial"/>
          <w:sz w:val="27"/>
          <w:szCs w:val="27"/>
        </w:rPr>
        <w:t xml:space="preserve"> modern gender norms. While social subjugation of women is now generally condemned, </w:t>
      </w:r>
      <w:r w:rsidR="00861896">
        <w:rPr>
          <w:rFonts w:ascii="Arial" w:hAnsi="Arial" w:cs="Arial"/>
          <w:sz w:val="27"/>
          <w:szCs w:val="27"/>
        </w:rPr>
        <w:t>expectations of women still include passivity and submission to men and</w:t>
      </w:r>
      <w:r w:rsidR="00CE22B2">
        <w:rPr>
          <w:rFonts w:ascii="Arial" w:hAnsi="Arial" w:cs="Arial"/>
          <w:sz w:val="27"/>
          <w:szCs w:val="27"/>
        </w:rPr>
        <w:t xml:space="preserve"> social roles are maintained as wife and mother. This study will be conducted with an emphasis on engagement with Butler’s scholarship and a focus on the Euripidean tragedy </w:t>
      </w:r>
      <w:r w:rsidR="00CE22B2">
        <w:rPr>
          <w:rFonts w:ascii="Arial" w:hAnsi="Arial" w:cs="Arial"/>
          <w:i/>
          <w:iCs/>
          <w:sz w:val="27"/>
          <w:szCs w:val="27"/>
        </w:rPr>
        <w:t>Medea</w:t>
      </w:r>
      <w:r w:rsidR="00CE22B2">
        <w:rPr>
          <w:rFonts w:ascii="Arial" w:hAnsi="Arial" w:cs="Arial"/>
          <w:sz w:val="27"/>
          <w:szCs w:val="27"/>
        </w:rPr>
        <w:t>.</w:t>
      </w:r>
      <w:r w:rsidR="007849DD">
        <w:rPr>
          <w:rFonts w:ascii="Arial" w:hAnsi="Arial" w:cs="Arial"/>
          <w:sz w:val="27"/>
          <w:szCs w:val="27"/>
        </w:rPr>
        <w:t xml:space="preserve"> </w:t>
      </w:r>
      <w:r w:rsidR="00493F75">
        <w:rPr>
          <w:rFonts w:ascii="Arial" w:hAnsi="Arial" w:cs="Arial"/>
          <w:sz w:val="27"/>
          <w:szCs w:val="27"/>
        </w:rPr>
        <w:t>Scholars within the field of both classical and gender studies have examined textual evidence surrounding as a figure of both masculinity and</w:t>
      </w:r>
      <w:r w:rsidR="007849DD">
        <w:rPr>
          <w:rFonts w:ascii="Arial" w:hAnsi="Arial" w:cs="Arial"/>
          <w:sz w:val="27"/>
          <w:szCs w:val="27"/>
        </w:rPr>
        <w:t>/or</w:t>
      </w:r>
      <w:r w:rsidR="00493F75">
        <w:rPr>
          <w:rFonts w:ascii="Arial" w:hAnsi="Arial" w:cs="Arial"/>
          <w:sz w:val="27"/>
          <w:szCs w:val="27"/>
        </w:rPr>
        <w:t xml:space="preserve"> femininity. However, by following Butler’s theory, a departure from traditional scholarship occurs</w:t>
      </w:r>
      <w:r w:rsidR="002A405C">
        <w:rPr>
          <w:rFonts w:ascii="Arial" w:hAnsi="Arial" w:cs="Arial"/>
          <w:sz w:val="27"/>
          <w:szCs w:val="27"/>
        </w:rPr>
        <w:t xml:space="preserve">, instead analysing </w:t>
      </w:r>
      <w:r w:rsidR="008A4616">
        <w:rPr>
          <w:rFonts w:ascii="Arial" w:hAnsi="Arial" w:cs="Arial"/>
          <w:sz w:val="27"/>
          <w:szCs w:val="27"/>
        </w:rPr>
        <w:t xml:space="preserve">how Medea presents herself and her intelligibility within cultural gender norms. </w:t>
      </w:r>
    </w:p>
    <w:p w14:paraId="392E8AF8" w14:textId="63109348" w:rsidR="00493F75" w:rsidRDefault="00493F75">
      <w:pPr>
        <w:rPr>
          <w:rFonts w:ascii="Arial" w:hAnsi="Arial" w:cs="Arial"/>
          <w:sz w:val="27"/>
          <w:szCs w:val="27"/>
        </w:rPr>
      </w:pPr>
      <w:r>
        <w:rPr>
          <w:rFonts w:ascii="Arial" w:hAnsi="Arial" w:cs="Arial"/>
          <w:sz w:val="27"/>
          <w:szCs w:val="27"/>
        </w:rPr>
        <w:t xml:space="preserve">Judith Butler is an American philosopher and gender studies scholar who has had an incalculable impact on political philosophy, queer </w:t>
      </w:r>
      <w:proofErr w:type="gramStart"/>
      <w:r>
        <w:rPr>
          <w:rFonts w:ascii="Arial" w:hAnsi="Arial" w:cs="Arial"/>
          <w:sz w:val="27"/>
          <w:szCs w:val="27"/>
        </w:rPr>
        <w:t>theory</w:t>
      </w:r>
      <w:proofErr w:type="gramEnd"/>
      <w:r>
        <w:rPr>
          <w:rFonts w:ascii="Arial" w:hAnsi="Arial" w:cs="Arial"/>
          <w:sz w:val="27"/>
          <w:szCs w:val="27"/>
        </w:rPr>
        <w:t xml:space="preserve"> and third</w:t>
      </w:r>
      <w:r w:rsidR="00060F87">
        <w:rPr>
          <w:rFonts w:ascii="Arial" w:hAnsi="Arial" w:cs="Arial"/>
          <w:sz w:val="27"/>
          <w:szCs w:val="27"/>
        </w:rPr>
        <w:t>-</w:t>
      </w:r>
      <w:r>
        <w:rPr>
          <w:rFonts w:ascii="Arial" w:hAnsi="Arial" w:cs="Arial"/>
          <w:sz w:val="27"/>
          <w:szCs w:val="27"/>
        </w:rPr>
        <w:t>wave feminism. Influenced by Michel Foucault</w:t>
      </w:r>
      <w:r w:rsidR="008A4616">
        <w:rPr>
          <w:rFonts w:ascii="Arial" w:hAnsi="Arial" w:cs="Arial"/>
          <w:sz w:val="27"/>
          <w:szCs w:val="27"/>
        </w:rPr>
        <w:t>,</w:t>
      </w:r>
      <w:r>
        <w:rPr>
          <w:rFonts w:ascii="Arial" w:hAnsi="Arial" w:cs="Arial"/>
          <w:sz w:val="27"/>
          <w:szCs w:val="27"/>
        </w:rPr>
        <w:t xml:space="preserve"> Butler has detailed her theory of gender performativity in numerous works such as </w:t>
      </w:r>
      <w:r>
        <w:rPr>
          <w:rFonts w:ascii="Arial" w:hAnsi="Arial" w:cs="Arial"/>
          <w:i/>
          <w:iCs/>
          <w:sz w:val="27"/>
          <w:szCs w:val="27"/>
        </w:rPr>
        <w:t xml:space="preserve">Gender Trouble </w:t>
      </w:r>
      <w:r>
        <w:rPr>
          <w:rFonts w:ascii="Arial" w:hAnsi="Arial" w:cs="Arial"/>
          <w:sz w:val="27"/>
          <w:szCs w:val="27"/>
        </w:rPr>
        <w:t xml:space="preserve">(1989), </w:t>
      </w:r>
      <w:r>
        <w:rPr>
          <w:rFonts w:ascii="Arial" w:hAnsi="Arial" w:cs="Arial"/>
          <w:i/>
          <w:iCs/>
          <w:sz w:val="27"/>
          <w:szCs w:val="27"/>
        </w:rPr>
        <w:t xml:space="preserve">Bodies that Matter </w:t>
      </w:r>
      <w:r>
        <w:rPr>
          <w:rFonts w:ascii="Arial" w:hAnsi="Arial" w:cs="Arial"/>
          <w:sz w:val="27"/>
          <w:szCs w:val="27"/>
        </w:rPr>
        <w:t>(1993)</w:t>
      </w:r>
      <w:r w:rsidR="00060F87">
        <w:rPr>
          <w:rFonts w:ascii="Arial" w:hAnsi="Arial" w:cs="Arial"/>
          <w:sz w:val="27"/>
          <w:szCs w:val="27"/>
        </w:rPr>
        <w:t>,</w:t>
      </w:r>
      <w:r>
        <w:rPr>
          <w:rFonts w:ascii="Arial" w:hAnsi="Arial" w:cs="Arial"/>
          <w:sz w:val="27"/>
          <w:szCs w:val="27"/>
        </w:rPr>
        <w:t xml:space="preserve"> and </w:t>
      </w:r>
      <w:r>
        <w:rPr>
          <w:rFonts w:ascii="Arial" w:hAnsi="Arial" w:cs="Arial"/>
          <w:i/>
          <w:iCs/>
          <w:sz w:val="27"/>
          <w:szCs w:val="27"/>
        </w:rPr>
        <w:t xml:space="preserve">Undoing Gender </w:t>
      </w:r>
      <w:r>
        <w:rPr>
          <w:rFonts w:ascii="Arial" w:hAnsi="Arial" w:cs="Arial"/>
          <w:sz w:val="27"/>
          <w:szCs w:val="27"/>
        </w:rPr>
        <w:t xml:space="preserve">(2004). Butler’s understanding of gender is as a ‘culturally sanctioned performance’, a societal requirement that one’s presentation ‘coheres and continues to cohere’ to the expected ‘norms of </w:t>
      </w:r>
      <w:r>
        <w:rPr>
          <w:rFonts w:ascii="Arial" w:hAnsi="Arial" w:cs="Arial"/>
          <w:sz w:val="27"/>
          <w:szCs w:val="27"/>
        </w:rPr>
        <w:lastRenderedPageBreak/>
        <w:t>intelligibility.’</w:t>
      </w:r>
      <w:r w:rsidR="007748E6">
        <w:rPr>
          <w:rStyle w:val="FootnoteReference"/>
          <w:rFonts w:ascii="Arial" w:hAnsi="Arial" w:cs="Arial"/>
          <w:sz w:val="27"/>
          <w:szCs w:val="27"/>
        </w:rPr>
        <w:footnoteReference w:id="1"/>
      </w:r>
      <w:r w:rsidR="007748E6">
        <w:rPr>
          <w:rFonts w:ascii="Arial" w:hAnsi="Arial" w:cs="Arial"/>
          <w:sz w:val="27"/>
          <w:szCs w:val="27"/>
        </w:rPr>
        <w:t xml:space="preserve"> Butler argues that people are pressured to continue repeating these actions to avoid societal repercussion</w:t>
      </w:r>
      <w:r w:rsidR="00060F87">
        <w:rPr>
          <w:rFonts w:ascii="Arial" w:hAnsi="Arial" w:cs="Arial"/>
          <w:sz w:val="27"/>
          <w:szCs w:val="27"/>
        </w:rPr>
        <w:t>s</w:t>
      </w:r>
      <w:r w:rsidR="007748E6">
        <w:rPr>
          <w:rFonts w:ascii="Arial" w:hAnsi="Arial" w:cs="Arial"/>
          <w:sz w:val="27"/>
          <w:szCs w:val="27"/>
        </w:rPr>
        <w:t xml:space="preserve"> – but in doing so, reinforce harmful ideas of a concrete innate sex binary that was created by systems of power to maintain heteronormative standards of behaviour.</w:t>
      </w:r>
      <w:r w:rsidR="007748E6">
        <w:rPr>
          <w:rStyle w:val="FootnoteReference"/>
          <w:rFonts w:ascii="Arial" w:hAnsi="Arial" w:cs="Arial"/>
          <w:sz w:val="27"/>
          <w:szCs w:val="27"/>
        </w:rPr>
        <w:footnoteReference w:id="2"/>
      </w:r>
    </w:p>
    <w:p w14:paraId="5BEA222C" w14:textId="4C1C3421" w:rsidR="007748E6" w:rsidRDefault="003B4173">
      <w:pPr>
        <w:rPr>
          <w:rFonts w:ascii="Arial" w:hAnsi="Arial" w:cs="Arial"/>
          <w:sz w:val="27"/>
          <w:szCs w:val="27"/>
        </w:rPr>
      </w:pPr>
      <w:r>
        <w:rPr>
          <w:rFonts w:ascii="Arial" w:hAnsi="Arial" w:cs="Arial"/>
          <w:sz w:val="27"/>
          <w:szCs w:val="27"/>
        </w:rPr>
        <w:t xml:space="preserve">Turning the focus to Euripides’ </w:t>
      </w:r>
      <w:r w:rsidRPr="00C13D4F">
        <w:rPr>
          <w:rFonts w:ascii="Arial" w:hAnsi="Arial" w:cs="Arial"/>
          <w:i/>
          <w:iCs/>
          <w:sz w:val="27"/>
          <w:szCs w:val="27"/>
        </w:rPr>
        <w:t>Medea</w:t>
      </w:r>
      <w:r>
        <w:rPr>
          <w:rFonts w:ascii="Arial" w:hAnsi="Arial" w:cs="Arial"/>
          <w:sz w:val="27"/>
          <w:szCs w:val="27"/>
        </w:rPr>
        <w:t xml:space="preserve">, this ancient </w:t>
      </w:r>
      <w:r w:rsidR="00251E09">
        <w:rPr>
          <w:rFonts w:ascii="Arial" w:hAnsi="Arial" w:cs="Arial"/>
          <w:sz w:val="27"/>
          <w:szCs w:val="27"/>
        </w:rPr>
        <w:t>Greek tragedy serves as a compelling canvas for the application of Butler’s theory</w:t>
      </w:r>
      <w:r w:rsidR="00C13D4F">
        <w:rPr>
          <w:rFonts w:ascii="Arial" w:hAnsi="Arial" w:cs="Arial"/>
          <w:sz w:val="27"/>
          <w:szCs w:val="27"/>
        </w:rPr>
        <w:t>, firstly because Medea as a character acts notably in subversion of ancient Greek gender norms.</w:t>
      </w:r>
      <w:r w:rsidR="00251E09">
        <w:rPr>
          <w:rFonts w:ascii="Arial" w:hAnsi="Arial" w:cs="Arial"/>
          <w:sz w:val="27"/>
          <w:szCs w:val="27"/>
        </w:rPr>
        <w:t xml:space="preserve"> </w:t>
      </w:r>
      <w:r w:rsidR="00D0457C">
        <w:rPr>
          <w:rFonts w:ascii="Arial" w:hAnsi="Arial" w:cs="Arial"/>
          <w:sz w:val="27"/>
          <w:szCs w:val="27"/>
        </w:rPr>
        <w:t xml:space="preserve">The text’s form as a play is further significant, as </w:t>
      </w:r>
      <w:r w:rsidR="007748E6">
        <w:rPr>
          <w:rFonts w:ascii="Arial" w:hAnsi="Arial" w:cs="Arial"/>
          <w:sz w:val="27"/>
          <w:szCs w:val="27"/>
        </w:rPr>
        <w:t>Butler argued that ‘the acts by which gender is constituted bear similarities to performative acts within theatrical contexts,’</w:t>
      </w:r>
      <w:r w:rsidR="007748E6">
        <w:rPr>
          <w:rStyle w:val="FootnoteReference"/>
          <w:rFonts w:ascii="Arial" w:hAnsi="Arial" w:cs="Arial"/>
          <w:sz w:val="27"/>
          <w:szCs w:val="27"/>
        </w:rPr>
        <w:footnoteReference w:id="3"/>
      </w:r>
      <w:r w:rsidR="007748E6">
        <w:rPr>
          <w:rFonts w:ascii="Arial" w:hAnsi="Arial" w:cs="Arial"/>
          <w:sz w:val="27"/>
          <w:szCs w:val="27"/>
        </w:rPr>
        <w:t xml:space="preserve"> and the exaggerated nature of theatrical performance allows behaviours to be more easily examined. </w:t>
      </w:r>
    </w:p>
    <w:p w14:paraId="1B3E6309" w14:textId="09F5A4B7" w:rsidR="00493F75" w:rsidRDefault="00D0457C">
      <w:pPr>
        <w:rPr>
          <w:rFonts w:ascii="Arial" w:hAnsi="Arial" w:cs="Arial"/>
          <w:sz w:val="27"/>
          <w:szCs w:val="27"/>
        </w:rPr>
      </w:pPr>
      <w:r>
        <w:rPr>
          <w:rFonts w:ascii="Arial" w:hAnsi="Arial" w:cs="Arial"/>
          <w:sz w:val="27"/>
          <w:szCs w:val="27"/>
        </w:rPr>
        <w:t>Finally</w:t>
      </w:r>
      <w:r w:rsidR="008F1362">
        <w:rPr>
          <w:rFonts w:ascii="Arial" w:hAnsi="Arial" w:cs="Arial"/>
          <w:sz w:val="27"/>
          <w:szCs w:val="27"/>
        </w:rPr>
        <w:t>, w</w:t>
      </w:r>
      <w:r w:rsidR="007748E6">
        <w:rPr>
          <w:rFonts w:ascii="Arial" w:hAnsi="Arial" w:cs="Arial"/>
          <w:sz w:val="27"/>
          <w:szCs w:val="27"/>
        </w:rPr>
        <w:t>ith theatre as a profound cultural influence especially in Classical Greece, performances of gender contribute</w:t>
      </w:r>
      <w:r w:rsidR="008F1362">
        <w:rPr>
          <w:rFonts w:ascii="Arial" w:hAnsi="Arial" w:cs="Arial"/>
          <w:sz w:val="27"/>
          <w:szCs w:val="27"/>
        </w:rPr>
        <w:t>d</w:t>
      </w:r>
      <w:r w:rsidR="007748E6">
        <w:rPr>
          <w:rFonts w:ascii="Arial" w:hAnsi="Arial" w:cs="Arial"/>
          <w:sz w:val="27"/>
          <w:szCs w:val="27"/>
        </w:rPr>
        <w:t xml:space="preserve"> to what Butler defined as the pronouncement of ‘status and fixity of gender through the forced reiteration of norms.’</w:t>
      </w:r>
      <w:r w:rsidR="007748E6">
        <w:rPr>
          <w:rStyle w:val="FootnoteReference"/>
          <w:rFonts w:ascii="Arial" w:hAnsi="Arial" w:cs="Arial"/>
          <w:sz w:val="27"/>
          <w:szCs w:val="27"/>
        </w:rPr>
        <w:footnoteReference w:id="4"/>
      </w:r>
      <w:r w:rsidR="00025CA5">
        <w:rPr>
          <w:rFonts w:ascii="Arial" w:hAnsi="Arial" w:cs="Arial"/>
          <w:sz w:val="27"/>
          <w:szCs w:val="27"/>
        </w:rPr>
        <w:t xml:space="preserve"> With theatre performed by men for men, the reiteration of how a woman </w:t>
      </w:r>
      <w:r w:rsidR="00025CA5">
        <w:rPr>
          <w:rFonts w:ascii="Arial" w:hAnsi="Arial" w:cs="Arial"/>
          <w:i/>
          <w:iCs/>
          <w:sz w:val="27"/>
          <w:szCs w:val="27"/>
        </w:rPr>
        <w:t xml:space="preserve">should </w:t>
      </w:r>
      <w:r w:rsidR="00025CA5">
        <w:rPr>
          <w:rFonts w:ascii="Arial" w:hAnsi="Arial" w:cs="Arial"/>
          <w:sz w:val="27"/>
          <w:szCs w:val="27"/>
        </w:rPr>
        <w:t xml:space="preserve">be was broadcast to the very men who controlled the systems of power that created and maintained these norms. The vilification of Medea as a </w:t>
      </w:r>
      <w:r>
        <w:rPr>
          <w:rFonts w:ascii="Arial" w:hAnsi="Arial" w:cs="Arial"/>
          <w:sz w:val="27"/>
          <w:szCs w:val="27"/>
        </w:rPr>
        <w:t>villainous mons</w:t>
      </w:r>
      <w:r w:rsidR="00060F87">
        <w:rPr>
          <w:rFonts w:ascii="Arial" w:hAnsi="Arial" w:cs="Arial"/>
          <w:sz w:val="27"/>
          <w:szCs w:val="27"/>
        </w:rPr>
        <w:t xml:space="preserve">ter </w:t>
      </w:r>
      <w:r w:rsidR="00025CA5">
        <w:rPr>
          <w:rFonts w:ascii="Arial" w:hAnsi="Arial" w:cs="Arial"/>
          <w:sz w:val="27"/>
          <w:szCs w:val="27"/>
        </w:rPr>
        <w:t>in ancient Greek culture suggests her performance was seen to deviate from the ideal for women mandated by Greek society at this time.</w:t>
      </w:r>
    </w:p>
    <w:p w14:paraId="55564BEA" w14:textId="2EDA0315" w:rsidR="00F86CCA" w:rsidRDefault="00F86CCA">
      <w:pPr>
        <w:rPr>
          <w:rFonts w:ascii="Arial" w:hAnsi="Arial" w:cs="Arial"/>
          <w:sz w:val="27"/>
          <w:szCs w:val="27"/>
        </w:rPr>
      </w:pPr>
      <w:r>
        <w:rPr>
          <w:rFonts w:ascii="Arial" w:hAnsi="Arial" w:cs="Arial"/>
          <w:sz w:val="27"/>
          <w:szCs w:val="27"/>
        </w:rPr>
        <w:t>It is</w:t>
      </w:r>
      <w:r w:rsidR="00497377">
        <w:rPr>
          <w:rFonts w:ascii="Arial" w:hAnsi="Arial" w:cs="Arial"/>
          <w:sz w:val="27"/>
          <w:szCs w:val="27"/>
        </w:rPr>
        <w:t xml:space="preserve"> especially</w:t>
      </w:r>
      <w:r>
        <w:rPr>
          <w:rFonts w:ascii="Arial" w:hAnsi="Arial" w:cs="Arial"/>
          <w:sz w:val="27"/>
          <w:szCs w:val="27"/>
        </w:rPr>
        <w:t xml:space="preserve"> important </w:t>
      </w:r>
      <w:r w:rsidR="00497377">
        <w:rPr>
          <w:rFonts w:ascii="Arial" w:hAnsi="Arial" w:cs="Arial"/>
          <w:sz w:val="27"/>
          <w:szCs w:val="27"/>
        </w:rPr>
        <w:t>that when applying modern th</w:t>
      </w:r>
      <w:r w:rsidR="00364676">
        <w:rPr>
          <w:rFonts w:ascii="Arial" w:hAnsi="Arial" w:cs="Arial"/>
          <w:sz w:val="27"/>
          <w:szCs w:val="27"/>
        </w:rPr>
        <w:t>eo</w:t>
      </w:r>
      <w:r w:rsidR="00497377">
        <w:rPr>
          <w:rFonts w:ascii="Arial" w:hAnsi="Arial" w:cs="Arial"/>
          <w:sz w:val="27"/>
          <w:szCs w:val="27"/>
        </w:rPr>
        <w:t xml:space="preserve">ries to ancient texts that there is an effort to avoid anachronism: </w:t>
      </w:r>
      <w:r w:rsidR="001232BC">
        <w:rPr>
          <w:rFonts w:ascii="Arial" w:hAnsi="Arial" w:cs="Arial"/>
          <w:sz w:val="27"/>
          <w:szCs w:val="27"/>
        </w:rPr>
        <w:t>Butler’s theory is rooted in contemporary understandings of gender</w:t>
      </w:r>
      <w:r w:rsidR="00364676">
        <w:rPr>
          <w:rFonts w:ascii="Arial" w:hAnsi="Arial" w:cs="Arial"/>
          <w:sz w:val="27"/>
          <w:szCs w:val="27"/>
        </w:rPr>
        <w:t xml:space="preserve"> and will not reflect the thought process and ideas of ancient Greek authors like Euripides. </w:t>
      </w:r>
      <w:r w:rsidR="00727220">
        <w:rPr>
          <w:rFonts w:ascii="Arial" w:hAnsi="Arial" w:cs="Arial"/>
          <w:sz w:val="27"/>
          <w:szCs w:val="27"/>
        </w:rPr>
        <w:t>Carefu</w:t>
      </w:r>
      <w:r w:rsidR="00B348A1">
        <w:rPr>
          <w:rFonts w:ascii="Arial" w:hAnsi="Arial" w:cs="Arial"/>
          <w:sz w:val="27"/>
          <w:szCs w:val="27"/>
        </w:rPr>
        <w:t xml:space="preserve">l attention will </w:t>
      </w:r>
      <w:r w:rsidR="007F6337">
        <w:rPr>
          <w:rFonts w:ascii="Arial" w:hAnsi="Arial" w:cs="Arial"/>
          <w:sz w:val="27"/>
          <w:szCs w:val="27"/>
        </w:rPr>
        <w:t xml:space="preserve">thus </w:t>
      </w:r>
      <w:r w:rsidR="00B348A1">
        <w:rPr>
          <w:rFonts w:ascii="Arial" w:hAnsi="Arial" w:cs="Arial"/>
          <w:sz w:val="27"/>
          <w:szCs w:val="27"/>
        </w:rPr>
        <w:t xml:space="preserve">be paid to avoid treating </w:t>
      </w:r>
      <w:r w:rsidR="00D21BC4">
        <w:rPr>
          <w:rFonts w:ascii="Arial" w:hAnsi="Arial" w:cs="Arial"/>
          <w:sz w:val="27"/>
          <w:szCs w:val="27"/>
        </w:rPr>
        <w:t xml:space="preserve">the application of Butler’s theory as concrete and definitive. Furthermore, </w:t>
      </w:r>
      <w:r w:rsidR="003214F2">
        <w:rPr>
          <w:rFonts w:ascii="Arial" w:hAnsi="Arial" w:cs="Arial"/>
          <w:sz w:val="27"/>
          <w:szCs w:val="27"/>
        </w:rPr>
        <w:t xml:space="preserve">translation of the ancient texts involves personal interpretation, and thus choice of copy can influence both the specific language and </w:t>
      </w:r>
      <w:r w:rsidR="00EA7F6A">
        <w:rPr>
          <w:rFonts w:ascii="Arial" w:hAnsi="Arial" w:cs="Arial"/>
          <w:sz w:val="27"/>
          <w:szCs w:val="27"/>
        </w:rPr>
        <w:t xml:space="preserve">overall message of a text. This essay will use the </w:t>
      </w:r>
      <w:r w:rsidR="00B4056C">
        <w:rPr>
          <w:rFonts w:ascii="Arial" w:hAnsi="Arial" w:cs="Arial"/>
          <w:sz w:val="27"/>
          <w:szCs w:val="27"/>
        </w:rPr>
        <w:t xml:space="preserve">Penguin classics version translated by </w:t>
      </w:r>
      <w:r w:rsidR="000B1EFD">
        <w:rPr>
          <w:rFonts w:ascii="Arial" w:hAnsi="Arial" w:cs="Arial"/>
          <w:sz w:val="27"/>
          <w:szCs w:val="27"/>
        </w:rPr>
        <w:t xml:space="preserve">Philip Vellacott </w:t>
      </w:r>
      <w:r w:rsidR="00E84202">
        <w:rPr>
          <w:rFonts w:ascii="Arial" w:hAnsi="Arial" w:cs="Arial"/>
          <w:sz w:val="27"/>
          <w:szCs w:val="27"/>
        </w:rPr>
        <w:t xml:space="preserve">as a well-respected publisher with great experience in adaptation and translation of classical texts. </w:t>
      </w:r>
    </w:p>
    <w:p w14:paraId="79519CAF" w14:textId="3EA4ABAB" w:rsidR="00DC3CDE" w:rsidRPr="004B3EDD" w:rsidRDefault="00493F75">
      <w:pPr>
        <w:rPr>
          <w:rFonts w:ascii="Arial" w:hAnsi="Arial" w:cs="Arial"/>
          <w:sz w:val="27"/>
          <w:szCs w:val="27"/>
        </w:rPr>
      </w:pPr>
      <w:r>
        <w:rPr>
          <w:rFonts w:ascii="Arial" w:hAnsi="Arial" w:cs="Arial"/>
          <w:sz w:val="27"/>
          <w:szCs w:val="27"/>
        </w:rPr>
        <w:t>To explore the abnormalities within Medea’s gender performance</w:t>
      </w:r>
      <w:r w:rsidR="002D0C6D">
        <w:rPr>
          <w:rFonts w:ascii="Arial" w:hAnsi="Arial" w:cs="Arial"/>
          <w:sz w:val="27"/>
          <w:szCs w:val="27"/>
        </w:rPr>
        <w:t xml:space="preserve"> and her departure f</w:t>
      </w:r>
      <w:r w:rsidR="00060F87">
        <w:rPr>
          <w:rFonts w:ascii="Arial" w:hAnsi="Arial" w:cs="Arial"/>
          <w:sz w:val="27"/>
          <w:szCs w:val="27"/>
        </w:rPr>
        <w:t>rom</w:t>
      </w:r>
      <w:r w:rsidR="002D0C6D">
        <w:rPr>
          <w:rFonts w:ascii="Arial" w:hAnsi="Arial" w:cs="Arial"/>
          <w:sz w:val="27"/>
          <w:szCs w:val="27"/>
        </w:rPr>
        <w:t xml:space="preserve"> societal expectations, it is crucial to understand</w:t>
      </w:r>
      <w:r>
        <w:rPr>
          <w:rFonts w:ascii="Arial" w:hAnsi="Arial" w:cs="Arial"/>
          <w:sz w:val="27"/>
          <w:szCs w:val="27"/>
        </w:rPr>
        <w:t xml:space="preserve"> the ancient Greek conceptions of </w:t>
      </w:r>
      <w:r w:rsidR="002D0C6D">
        <w:rPr>
          <w:rFonts w:ascii="Arial" w:hAnsi="Arial" w:cs="Arial"/>
          <w:sz w:val="27"/>
          <w:szCs w:val="27"/>
        </w:rPr>
        <w:t xml:space="preserve">ideal </w:t>
      </w:r>
      <w:r>
        <w:rPr>
          <w:rFonts w:ascii="Arial" w:hAnsi="Arial" w:cs="Arial"/>
          <w:sz w:val="27"/>
          <w:szCs w:val="27"/>
        </w:rPr>
        <w:t xml:space="preserve">feminine </w:t>
      </w:r>
      <w:r w:rsidR="002D0C6D">
        <w:rPr>
          <w:rFonts w:ascii="Arial" w:hAnsi="Arial" w:cs="Arial"/>
          <w:sz w:val="27"/>
          <w:szCs w:val="27"/>
        </w:rPr>
        <w:t xml:space="preserve">behaviour. </w:t>
      </w:r>
      <w:r w:rsidR="00025CA5">
        <w:rPr>
          <w:rFonts w:ascii="Arial" w:hAnsi="Arial" w:cs="Arial"/>
          <w:sz w:val="27"/>
          <w:szCs w:val="27"/>
        </w:rPr>
        <w:t xml:space="preserve">For a Greek man </w:t>
      </w:r>
      <w:r w:rsidR="00060F87">
        <w:rPr>
          <w:rFonts w:ascii="Arial" w:hAnsi="Arial" w:cs="Arial"/>
          <w:sz w:val="27"/>
          <w:szCs w:val="27"/>
        </w:rPr>
        <w:t>in</w:t>
      </w:r>
      <w:r w:rsidR="00025CA5">
        <w:rPr>
          <w:rFonts w:ascii="Arial" w:hAnsi="Arial" w:cs="Arial"/>
          <w:sz w:val="27"/>
          <w:szCs w:val="27"/>
        </w:rPr>
        <w:t xml:space="preserve"> Euripides’ time, an ideal wife was a young, beautiful woman who would tend </w:t>
      </w:r>
      <w:r w:rsidR="00025CA5">
        <w:rPr>
          <w:rFonts w:ascii="Arial" w:hAnsi="Arial" w:cs="Arial"/>
          <w:sz w:val="27"/>
          <w:szCs w:val="27"/>
        </w:rPr>
        <w:lastRenderedPageBreak/>
        <w:t>the house and produce him heirs, keeping to the house and women’s affairs only.</w:t>
      </w:r>
      <w:r w:rsidR="00025CA5">
        <w:rPr>
          <w:rStyle w:val="FootnoteReference"/>
          <w:rFonts w:ascii="Arial" w:hAnsi="Arial" w:cs="Arial"/>
          <w:sz w:val="27"/>
          <w:szCs w:val="27"/>
        </w:rPr>
        <w:footnoteReference w:id="5"/>
      </w:r>
      <w:r w:rsidR="00025CA5">
        <w:rPr>
          <w:rFonts w:ascii="Arial" w:hAnsi="Arial" w:cs="Arial"/>
          <w:sz w:val="27"/>
          <w:szCs w:val="27"/>
        </w:rPr>
        <w:t xml:space="preserve"> The degree of a woman’s isolation depended on her social class, so much so that extreme female seclusion was ‘a mark of upper-class respectability and privilege.’</w:t>
      </w:r>
      <w:r w:rsidR="00025CA5">
        <w:rPr>
          <w:rStyle w:val="FootnoteReference"/>
          <w:rFonts w:ascii="Arial" w:hAnsi="Arial" w:cs="Arial"/>
          <w:sz w:val="27"/>
          <w:szCs w:val="27"/>
        </w:rPr>
        <w:footnoteReference w:id="6"/>
      </w:r>
      <w:r w:rsidR="00025CA5">
        <w:rPr>
          <w:rFonts w:ascii="Arial" w:hAnsi="Arial" w:cs="Arial"/>
          <w:sz w:val="27"/>
          <w:szCs w:val="27"/>
        </w:rPr>
        <w:t xml:space="preserve"> Within the play, Glauce, Jason’s bride-to-be, is presented as </w:t>
      </w:r>
      <w:r w:rsidR="00060F87">
        <w:rPr>
          <w:rFonts w:ascii="Arial" w:hAnsi="Arial" w:cs="Arial"/>
          <w:sz w:val="27"/>
          <w:szCs w:val="27"/>
        </w:rPr>
        <w:t>this</w:t>
      </w:r>
      <w:r w:rsidR="00025CA5">
        <w:rPr>
          <w:rFonts w:ascii="Arial" w:hAnsi="Arial" w:cs="Arial"/>
          <w:sz w:val="27"/>
          <w:szCs w:val="27"/>
        </w:rPr>
        <w:t xml:space="preserve"> ideal woman, not appearing or speaking within the text and being obedient to both her father Creon</w:t>
      </w:r>
      <w:r w:rsidR="00060F87">
        <w:rPr>
          <w:rFonts w:ascii="Arial" w:hAnsi="Arial" w:cs="Arial"/>
          <w:sz w:val="27"/>
          <w:szCs w:val="27"/>
        </w:rPr>
        <w:t>,</w:t>
      </w:r>
      <w:r w:rsidR="00025CA5">
        <w:rPr>
          <w:rFonts w:ascii="Arial" w:hAnsi="Arial" w:cs="Arial"/>
          <w:sz w:val="27"/>
          <w:szCs w:val="27"/>
        </w:rPr>
        <w:t xml:space="preserve"> and Jason.</w:t>
      </w:r>
      <w:r w:rsidR="00025CA5">
        <w:rPr>
          <w:rStyle w:val="FootnoteReference"/>
          <w:rFonts w:ascii="Arial" w:hAnsi="Arial" w:cs="Arial"/>
          <w:sz w:val="27"/>
          <w:szCs w:val="27"/>
        </w:rPr>
        <w:footnoteReference w:id="7"/>
      </w:r>
      <w:r w:rsidR="00304887">
        <w:rPr>
          <w:rFonts w:ascii="Arial" w:hAnsi="Arial" w:cs="Arial"/>
          <w:sz w:val="27"/>
          <w:szCs w:val="27"/>
        </w:rPr>
        <w:t xml:space="preserve"> In comparison, Medea is portrayed as an active and autonomous</w:t>
      </w:r>
      <w:r w:rsidR="00661919">
        <w:rPr>
          <w:rFonts w:ascii="Arial" w:hAnsi="Arial" w:cs="Arial"/>
          <w:sz w:val="27"/>
          <w:szCs w:val="27"/>
        </w:rPr>
        <w:t xml:space="preserve"> figure who frees herself from the influence of both her husband Jason</w:t>
      </w:r>
      <w:r w:rsidR="00060F87">
        <w:rPr>
          <w:rFonts w:ascii="Arial" w:hAnsi="Arial" w:cs="Arial"/>
          <w:sz w:val="27"/>
          <w:szCs w:val="27"/>
        </w:rPr>
        <w:t>,</w:t>
      </w:r>
      <w:r w:rsidR="00661919">
        <w:rPr>
          <w:rFonts w:ascii="Arial" w:hAnsi="Arial" w:cs="Arial"/>
          <w:sz w:val="27"/>
          <w:szCs w:val="27"/>
        </w:rPr>
        <w:t xml:space="preserve"> and Corinthian society as a whole. </w:t>
      </w:r>
    </w:p>
    <w:p w14:paraId="7D8578C5" w14:textId="420E8999" w:rsidR="006B74B1" w:rsidRDefault="00251E09">
      <w:pPr>
        <w:rPr>
          <w:rFonts w:ascii="Arial" w:hAnsi="Arial" w:cs="Arial"/>
          <w:sz w:val="27"/>
          <w:szCs w:val="27"/>
        </w:rPr>
      </w:pPr>
      <w:r>
        <w:rPr>
          <w:rFonts w:ascii="Arial" w:hAnsi="Arial" w:cs="Arial"/>
          <w:sz w:val="27"/>
          <w:szCs w:val="27"/>
        </w:rPr>
        <w:t xml:space="preserve">Building on Butler’s assertion that gender performance </w:t>
      </w:r>
      <w:r w:rsidR="002D0C6D">
        <w:rPr>
          <w:rFonts w:ascii="Arial" w:hAnsi="Arial" w:cs="Arial"/>
          <w:sz w:val="27"/>
          <w:szCs w:val="27"/>
        </w:rPr>
        <w:t xml:space="preserve">may not align with internal desires, Medea’s performance of motherhood is shown as transgressive even </w:t>
      </w:r>
      <w:r w:rsidR="002C0255">
        <w:rPr>
          <w:rFonts w:ascii="Arial" w:hAnsi="Arial" w:cs="Arial"/>
          <w:sz w:val="27"/>
          <w:szCs w:val="27"/>
        </w:rPr>
        <w:t>before her infanticide</w:t>
      </w:r>
      <w:r w:rsidR="002D0C6D">
        <w:rPr>
          <w:rFonts w:ascii="Arial" w:hAnsi="Arial" w:cs="Arial"/>
          <w:sz w:val="27"/>
          <w:szCs w:val="27"/>
        </w:rPr>
        <w:t xml:space="preserve">. </w:t>
      </w:r>
      <w:r w:rsidR="00482D73">
        <w:rPr>
          <w:rFonts w:ascii="Arial" w:hAnsi="Arial" w:cs="Arial"/>
          <w:sz w:val="27"/>
          <w:szCs w:val="27"/>
        </w:rPr>
        <w:t>In an address to the Chorus, she makes a bold proclamation that she would “rather stand three times in the front line than bear one child.”</w:t>
      </w:r>
      <w:r w:rsidR="00482D73">
        <w:rPr>
          <w:rStyle w:val="FootnoteReference"/>
          <w:rFonts w:ascii="Arial" w:hAnsi="Arial" w:cs="Arial"/>
          <w:sz w:val="27"/>
          <w:szCs w:val="27"/>
        </w:rPr>
        <w:footnoteReference w:id="8"/>
      </w:r>
      <w:r w:rsidR="00675FD6">
        <w:rPr>
          <w:rFonts w:ascii="Arial" w:hAnsi="Arial" w:cs="Arial"/>
          <w:sz w:val="27"/>
          <w:szCs w:val="27"/>
        </w:rPr>
        <w:t xml:space="preserve"> By preferring violence to </w:t>
      </w:r>
      <w:r w:rsidR="00675FD6">
        <w:rPr>
          <w:rFonts w:ascii="Arial" w:hAnsi="Arial" w:cs="Arial"/>
          <w:sz w:val="27"/>
          <w:szCs w:val="27"/>
        </w:rPr>
        <w:lastRenderedPageBreak/>
        <w:t xml:space="preserve">motherhood, Medea </w:t>
      </w:r>
      <w:r w:rsidR="000D3E8B">
        <w:rPr>
          <w:rFonts w:ascii="Arial" w:hAnsi="Arial" w:cs="Arial"/>
          <w:sz w:val="27"/>
          <w:szCs w:val="27"/>
        </w:rPr>
        <w:t xml:space="preserve">exposes not only her </w:t>
      </w:r>
      <w:r w:rsidR="007F02A3">
        <w:rPr>
          <w:rFonts w:ascii="Arial" w:hAnsi="Arial" w:cs="Arial"/>
          <w:sz w:val="27"/>
          <w:szCs w:val="27"/>
        </w:rPr>
        <w:t xml:space="preserve">favour towards more stereotypically masculine activities but </w:t>
      </w:r>
      <w:r w:rsidR="00C30A16">
        <w:rPr>
          <w:rFonts w:ascii="Arial" w:hAnsi="Arial" w:cs="Arial"/>
          <w:sz w:val="27"/>
          <w:szCs w:val="27"/>
        </w:rPr>
        <w:t xml:space="preserve">also her failure to </w:t>
      </w:r>
      <w:r w:rsidR="00F64C8F">
        <w:rPr>
          <w:rFonts w:ascii="Arial" w:hAnsi="Arial" w:cs="Arial"/>
          <w:i/>
          <w:iCs/>
          <w:sz w:val="27"/>
          <w:szCs w:val="27"/>
        </w:rPr>
        <w:t xml:space="preserve">feel </w:t>
      </w:r>
      <w:r w:rsidR="00060F87">
        <w:rPr>
          <w:rFonts w:ascii="Arial" w:hAnsi="Arial" w:cs="Arial"/>
          <w:sz w:val="27"/>
          <w:szCs w:val="27"/>
        </w:rPr>
        <w:t>like</w:t>
      </w:r>
      <w:r w:rsidR="00C30A16">
        <w:rPr>
          <w:rFonts w:ascii="Arial" w:hAnsi="Arial" w:cs="Arial"/>
          <w:sz w:val="27"/>
          <w:szCs w:val="27"/>
        </w:rPr>
        <w:t xml:space="preserve"> a mother. Despite </w:t>
      </w:r>
      <w:r w:rsidR="009E21F9">
        <w:rPr>
          <w:rFonts w:ascii="Arial" w:hAnsi="Arial" w:cs="Arial"/>
          <w:sz w:val="27"/>
          <w:szCs w:val="27"/>
        </w:rPr>
        <w:t xml:space="preserve">having two children in a heteronormative relationship with her husband and thus </w:t>
      </w:r>
      <w:r w:rsidR="00F64C8F">
        <w:rPr>
          <w:rFonts w:ascii="Arial" w:hAnsi="Arial" w:cs="Arial"/>
          <w:sz w:val="27"/>
          <w:szCs w:val="27"/>
        </w:rPr>
        <w:t>externally</w:t>
      </w:r>
      <w:r w:rsidR="00656F75">
        <w:rPr>
          <w:rFonts w:ascii="Arial" w:hAnsi="Arial" w:cs="Arial"/>
          <w:sz w:val="27"/>
          <w:szCs w:val="27"/>
        </w:rPr>
        <w:t xml:space="preserve"> performing </w:t>
      </w:r>
      <w:r w:rsidR="008E4BE8">
        <w:rPr>
          <w:rFonts w:ascii="Arial" w:hAnsi="Arial" w:cs="Arial"/>
          <w:sz w:val="27"/>
          <w:szCs w:val="27"/>
        </w:rPr>
        <w:t xml:space="preserve">as demanded </w:t>
      </w:r>
      <w:r w:rsidR="00060F87">
        <w:rPr>
          <w:rFonts w:ascii="Arial" w:hAnsi="Arial" w:cs="Arial"/>
          <w:sz w:val="27"/>
          <w:szCs w:val="27"/>
        </w:rPr>
        <w:t>by</w:t>
      </w:r>
      <w:r w:rsidR="008E4BE8">
        <w:rPr>
          <w:rFonts w:ascii="Arial" w:hAnsi="Arial" w:cs="Arial"/>
          <w:sz w:val="27"/>
          <w:szCs w:val="27"/>
        </w:rPr>
        <w:t xml:space="preserve"> her gender, </w:t>
      </w:r>
      <w:r w:rsidR="004C4854">
        <w:rPr>
          <w:rFonts w:ascii="Arial" w:hAnsi="Arial" w:cs="Arial"/>
          <w:sz w:val="27"/>
          <w:szCs w:val="27"/>
        </w:rPr>
        <w:t xml:space="preserve">her inner desires do not line up with her performance. This could be seen to prove Butler’s argument that </w:t>
      </w:r>
      <w:r w:rsidR="00934C1E">
        <w:rPr>
          <w:rFonts w:ascii="Arial" w:hAnsi="Arial" w:cs="Arial"/>
          <w:sz w:val="27"/>
          <w:szCs w:val="27"/>
        </w:rPr>
        <w:t xml:space="preserve">‘gender cannot be understood as a role which either expresses or disguises an interior </w:t>
      </w:r>
      <w:r w:rsidR="00934C1E">
        <w:rPr>
          <w:rFonts w:ascii="Arial" w:hAnsi="Arial" w:cs="Arial"/>
          <w:i/>
          <w:iCs/>
          <w:sz w:val="27"/>
          <w:szCs w:val="27"/>
        </w:rPr>
        <w:t>self.</w:t>
      </w:r>
      <w:r w:rsidR="00934C1E">
        <w:rPr>
          <w:rFonts w:ascii="Arial" w:hAnsi="Arial" w:cs="Arial"/>
          <w:sz w:val="27"/>
          <w:szCs w:val="27"/>
        </w:rPr>
        <w:t>’</w:t>
      </w:r>
      <w:r w:rsidR="00934C1E">
        <w:rPr>
          <w:rStyle w:val="FootnoteReference"/>
          <w:rFonts w:ascii="Arial" w:hAnsi="Arial" w:cs="Arial"/>
          <w:sz w:val="27"/>
          <w:szCs w:val="27"/>
        </w:rPr>
        <w:footnoteReference w:id="9"/>
      </w:r>
      <w:r w:rsidR="00934C1E">
        <w:rPr>
          <w:rFonts w:ascii="Arial" w:hAnsi="Arial" w:cs="Arial"/>
          <w:sz w:val="27"/>
          <w:szCs w:val="27"/>
        </w:rPr>
        <w:t xml:space="preserve"> </w:t>
      </w:r>
      <w:r w:rsidR="005E4AE1">
        <w:rPr>
          <w:rFonts w:ascii="Arial" w:hAnsi="Arial" w:cs="Arial"/>
          <w:sz w:val="27"/>
          <w:szCs w:val="27"/>
        </w:rPr>
        <w:t xml:space="preserve">Not only does </w:t>
      </w:r>
      <w:r w:rsidR="008D178D">
        <w:rPr>
          <w:rFonts w:ascii="Arial" w:hAnsi="Arial" w:cs="Arial"/>
          <w:sz w:val="27"/>
          <w:szCs w:val="27"/>
        </w:rPr>
        <w:t>Medea’s internal/external disparity</w:t>
      </w:r>
      <w:r w:rsidR="00D65367">
        <w:rPr>
          <w:rFonts w:ascii="Arial" w:hAnsi="Arial" w:cs="Arial"/>
          <w:sz w:val="27"/>
          <w:szCs w:val="27"/>
        </w:rPr>
        <w:t xml:space="preserve"> </w:t>
      </w:r>
      <w:r w:rsidR="00E74BC5">
        <w:rPr>
          <w:rFonts w:ascii="Arial" w:hAnsi="Arial" w:cs="Arial"/>
          <w:sz w:val="27"/>
          <w:szCs w:val="27"/>
        </w:rPr>
        <w:t xml:space="preserve">link to Butler’s idea </w:t>
      </w:r>
      <w:r w:rsidR="00F4575A">
        <w:rPr>
          <w:rFonts w:ascii="Arial" w:hAnsi="Arial" w:cs="Arial"/>
          <w:sz w:val="27"/>
          <w:szCs w:val="27"/>
        </w:rPr>
        <w:t xml:space="preserve">the performance of gendered actions does not </w:t>
      </w:r>
      <w:r w:rsidR="0062620B">
        <w:rPr>
          <w:rFonts w:ascii="Arial" w:hAnsi="Arial" w:cs="Arial"/>
          <w:sz w:val="27"/>
          <w:szCs w:val="27"/>
        </w:rPr>
        <w:t xml:space="preserve">reflect </w:t>
      </w:r>
      <w:r w:rsidR="00CB4F9E">
        <w:rPr>
          <w:rFonts w:ascii="Arial" w:hAnsi="Arial" w:cs="Arial"/>
          <w:sz w:val="27"/>
          <w:szCs w:val="27"/>
        </w:rPr>
        <w:t>the inner self being conceived as sexed</w:t>
      </w:r>
      <w:r w:rsidR="00AA40B6">
        <w:rPr>
          <w:rFonts w:ascii="Arial" w:hAnsi="Arial" w:cs="Arial"/>
          <w:sz w:val="27"/>
          <w:szCs w:val="27"/>
        </w:rPr>
        <w:t xml:space="preserve">, but it also highlights </w:t>
      </w:r>
      <w:r w:rsidR="001840C6">
        <w:rPr>
          <w:rFonts w:ascii="Arial" w:hAnsi="Arial" w:cs="Arial"/>
          <w:sz w:val="27"/>
          <w:szCs w:val="27"/>
        </w:rPr>
        <w:t xml:space="preserve">how Medea </w:t>
      </w:r>
      <w:r w:rsidR="006A1F0F">
        <w:rPr>
          <w:rFonts w:ascii="Arial" w:hAnsi="Arial" w:cs="Arial"/>
          <w:sz w:val="27"/>
          <w:szCs w:val="27"/>
        </w:rPr>
        <w:t xml:space="preserve">can express her gender in ways that do not line up with her internal beliefs, </w:t>
      </w:r>
      <w:r w:rsidR="00F21F43">
        <w:rPr>
          <w:rFonts w:ascii="Arial" w:hAnsi="Arial" w:cs="Arial"/>
          <w:sz w:val="27"/>
          <w:szCs w:val="27"/>
        </w:rPr>
        <w:t xml:space="preserve">a precursor </w:t>
      </w:r>
      <w:r w:rsidR="00857538">
        <w:rPr>
          <w:rFonts w:ascii="Arial" w:hAnsi="Arial" w:cs="Arial"/>
          <w:sz w:val="27"/>
          <w:szCs w:val="27"/>
        </w:rPr>
        <w:t xml:space="preserve">to </w:t>
      </w:r>
      <w:r w:rsidR="00060F87">
        <w:rPr>
          <w:rFonts w:ascii="Arial" w:hAnsi="Arial" w:cs="Arial"/>
          <w:sz w:val="27"/>
          <w:szCs w:val="27"/>
        </w:rPr>
        <w:t>the</w:t>
      </w:r>
      <w:r w:rsidR="00857538">
        <w:rPr>
          <w:rFonts w:ascii="Arial" w:hAnsi="Arial" w:cs="Arial"/>
          <w:sz w:val="27"/>
          <w:szCs w:val="27"/>
        </w:rPr>
        <w:t xml:space="preserve"> manipulation of her portrayal to </w:t>
      </w:r>
      <w:r w:rsidR="00174160">
        <w:rPr>
          <w:rFonts w:ascii="Arial" w:hAnsi="Arial" w:cs="Arial"/>
          <w:sz w:val="27"/>
          <w:szCs w:val="27"/>
        </w:rPr>
        <w:t>avoid suspicion and societal repercussions</w:t>
      </w:r>
      <w:r w:rsidR="00857538">
        <w:rPr>
          <w:rFonts w:ascii="Arial" w:hAnsi="Arial" w:cs="Arial"/>
          <w:sz w:val="27"/>
          <w:szCs w:val="27"/>
        </w:rPr>
        <w:t xml:space="preserve">. </w:t>
      </w:r>
    </w:p>
    <w:p w14:paraId="6EFFDCFC" w14:textId="464C3A53" w:rsidR="00661919" w:rsidRPr="00934C1E" w:rsidRDefault="00661919">
      <w:pPr>
        <w:rPr>
          <w:rFonts w:ascii="Arial" w:hAnsi="Arial" w:cs="Arial"/>
          <w:sz w:val="27"/>
          <w:szCs w:val="27"/>
        </w:rPr>
      </w:pPr>
      <w:r>
        <w:rPr>
          <w:rFonts w:ascii="Arial" w:hAnsi="Arial" w:cs="Arial"/>
          <w:sz w:val="27"/>
          <w:szCs w:val="27"/>
        </w:rPr>
        <w:t>Medea represents multiple categories that were socially repressed in ancient Greek culture, including</w:t>
      </w:r>
      <w:r w:rsidR="00060F87">
        <w:rPr>
          <w:rFonts w:ascii="Arial" w:hAnsi="Arial" w:cs="Arial"/>
          <w:sz w:val="27"/>
          <w:szCs w:val="27"/>
        </w:rPr>
        <w:t xml:space="preserve"> female</w:t>
      </w:r>
      <w:r>
        <w:rPr>
          <w:rFonts w:ascii="Arial" w:hAnsi="Arial" w:cs="Arial"/>
          <w:sz w:val="27"/>
          <w:szCs w:val="27"/>
        </w:rPr>
        <w:t>, the sex considered inferior, and barbarian foreigner, born in part of the vilified non-Greek world. Jason’s act of abandonment threatens to trap Medea in the normative structures of female helplessness and dependency. He shows that from the patriarchal perspective</w:t>
      </w:r>
      <w:r w:rsidR="00F34E32">
        <w:rPr>
          <w:rFonts w:ascii="Arial" w:hAnsi="Arial" w:cs="Arial"/>
          <w:sz w:val="27"/>
          <w:szCs w:val="27"/>
        </w:rPr>
        <w:t>,</w:t>
      </w:r>
      <w:r>
        <w:rPr>
          <w:rFonts w:ascii="Arial" w:hAnsi="Arial" w:cs="Arial"/>
          <w:sz w:val="27"/>
          <w:szCs w:val="27"/>
        </w:rPr>
        <w:t xml:space="preserve"> she is ‘intrinsically replaceable by other reproductive females.’</w:t>
      </w:r>
      <w:r>
        <w:rPr>
          <w:rStyle w:val="FootnoteReference"/>
          <w:rFonts w:ascii="Arial" w:hAnsi="Arial" w:cs="Arial"/>
          <w:sz w:val="27"/>
          <w:szCs w:val="27"/>
        </w:rPr>
        <w:footnoteReference w:id="10"/>
      </w:r>
      <w:r>
        <w:rPr>
          <w:rFonts w:ascii="Arial" w:hAnsi="Arial" w:cs="Arial"/>
          <w:sz w:val="27"/>
          <w:szCs w:val="27"/>
        </w:rPr>
        <w:t xml:space="preserve"> Jason’s treatment of Medea acts to ‘reify [her] helplessness – making her more dependent on himself, his bride</w:t>
      </w:r>
      <w:r w:rsidR="00F34E32">
        <w:rPr>
          <w:rFonts w:ascii="Arial" w:hAnsi="Arial" w:cs="Arial"/>
          <w:sz w:val="27"/>
          <w:szCs w:val="27"/>
        </w:rPr>
        <w:t>,</w:t>
      </w:r>
      <w:r>
        <w:rPr>
          <w:rFonts w:ascii="Arial" w:hAnsi="Arial" w:cs="Arial"/>
          <w:sz w:val="27"/>
          <w:szCs w:val="27"/>
        </w:rPr>
        <w:t xml:space="preserve"> and her father,’</w:t>
      </w:r>
      <w:r>
        <w:rPr>
          <w:rStyle w:val="FootnoteReference"/>
          <w:rFonts w:ascii="Arial" w:hAnsi="Arial" w:cs="Arial"/>
          <w:sz w:val="27"/>
          <w:szCs w:val="27"/>
        </w:rPr>
        <w:footnoteReference w:id="11"/>
      </w:r>
      <w:r>
        <w:rPr>
          <w:rFonts w:ascii="Arial" w:hAnsi="Arial" w:cs="Arial"/>
          <w:sz w:val="27"/>
          <w:szCs w:val="27"/>
        </w:rPr>
        <w:t xml:space="preserve"> and rather than ‘play nice’, Medea abandons her old performance and rejects the feminine expectation that she will passively accept her replacement.</w:t>
      </w:r>
    </w:p>
    <w:p w14:paraId="72ADA887" w14:textId="70E447F6" w:rsidR="00E52F57" w:rsidRDefault="002C0255">
      <w:pPr>
        <w:rPr>
          <w:rFonts w:ascii="Arial" w:hAnsi="Arial" w:cs="Arial"/>
          <w:sz w:val="27"/>
          <w:szCs w:val="27"/>
        </w:rPr>
      </w:pPr>
      <w:r>
        <w:rPr>
          <w:rFonts w:ascii="Arial" w:hAnsi="Arial" w:cs="Arial"/>
          <w:sz w:val="27"/>
          <w:szCs w:val="27"/>
        </w:rPr>
        <w:t>Examining Medea’s nuanced use of gender performance as a tactical tool, layers of her character can be unravel</w:t>
      </w:r>
      <w:r w:rsidR="00F34E32">
        <w:rPr>
          <w:rFonts w:ascii="Arial" w:hAnsi="Arial" w:cs="Arial"/>
          <w:sz w:val="27"/>
          <w:szCs w:val="27"/>
        </w:rPr>
        <w:t>l</w:t>
      </w:r>
      <w:r>
        <w:rPr>
          <w:rFonts w:ascii="Arial" w:hAnsi="Arial" w:cs="Arial"/>
          <w:sz w:val="27"/>
          <w:szCs w:val="27"/>
        </w:rPr>
        <w:t xml:space="preserve">ed, including her conscious choices when navigating societal expectations. </w:t>
      </w:r>
      <w:r w:rsidR="004118A5">
        <w:rPr>
          <w:rFonts w:ascii="Arial" w:hAnsi="Arial" w:cs="Arial"/>
          <w:sz w:val="27"/>
          <w:szCs w:val="27"/>
        </w:rPr>
        <w:t xml:space="preserve">Boedeker argued that it is Medea’s familiarity </w:t>
      </w:r>
      <w:r w:rsidR="004118A5">
        <w:rPr>
          <w:rFonts w:ascii="Arial" w:hAnsi="Arial" w:cs="Arial"/>
          <w:sz w:val="27"/>
          <w:szCs w:val="27"/>
        </w:rPr>
        <w:lastRenderedPageBreak/>
        <w:t>with the expectations of her performance that allows her ‘to manipulate Jason by playing with his stereotyped view of her female nature.’</w:t>
      </w:r>
      <w:r w:rsidR="004118A5">
        <w:rPr>
          <w:rStyle w:val="FootnoteReference"/>
          <w:rFonts w:ascii="Arial" w:hAnsi="Arial" w:cs="Arial"/>
          <w:sz w:val="27"/>
          <w:szCs w:val="27"/>
        </w:rPr>
        <w:footnoteReference w:id="12"/>
      </w:r>
    </w:p>
    <w:p w14:paraId="7CF75F66" w14:textId="00A9ACC5" w:rsidR="006874C4" w:rsidRDefault="0086461F">
      <w:pPr>
        <w:rPr>
          <w:rFonts w:ascii="Arial" w:hAnsi="Arial" w:cs="Arial"/>
          <w:sz w:val="27"/>
          <w:szCs w:val="27"/>
        </w:rPr>
      </w:pPr>
      <w:r>
        <w:rPr>
          <w:rFonts w:ascii="Arial" w:hAnsi="Arial" w:cs="Arial"/>
          <w:sz w:val="27"/>
          <w:szCs w:val="27"/>
        </w:rPr>
        <w:t>Medea averts suspicion by parroting misogynist stereotypes about women</w:t>
      </w:r>
      <w:r w:rsidR="00E64661">
        <w:rPr>
          <w:rFonts w:ascii="Arial" w:hAnsi="Arial" w:cs="Arial"/>
          <w:sz w:val="27"/>
          <w:szCs w:val="27"/>
        </w:rPr>
        <w:t xml:space="preserve">, subtly </w:t>
      </w:r>
      <w:r w:rsidR="008B79F4">
        <w:rPr>
          <w:rFonts w:ascii="Arial" w:hAnsi="Arial" w:cs="Arial"/>
          <w:sz w:val="27"/>
          <w:szCs w:val="27"/>
        </w:rPr>
        <w:t>reinforcing her performance of femininity</w:t>
      </w:r>
      <w:r w:rsidR="003C33ED">
        <w:rPr>
          <w:rFonts w:ascii="Arial" w:hAnsi="Arial" w:cs="Arial"/>
          <w:sz w:val="27"/>
          <w:szCs w:val="27"/>
        </w:rPr>
        <w:t>, f</w:t>
      </w:r>
      <w:r w:rsidR="008B79F4">
        <w:rPr>
          <w:rFonts w:ascii="Arial" w:hAnsi="Arial" w:cs="Arial"/>
          <w:sz w:val="27"/>
          <w:szCs w:val="27"/>
        </w:rPr>
        <w:t>or example, her declaration that tears come easily to women to explain her sudden weeping</w:t>
      </w:r>
      <w:r w:rsidR="008B79F4">
        <w:rPr>
          <w:rStyle w:val="FootnoteReference"/>
          <w:rFonts w:ascii="Arial" w:hAnsi="Arial" w:cs="Arial"/>
          <w:sz w:val="27"/>
          <w:szCs w:val="27"/>
        </w:rPr>
        <w:footnoteReference w:id="13"/>
      </w:r>
      <w:r w:rsidR="003C33ED">
        <w:rPr>
          <w:rFonts w:ascii="Arial" w:hAnsi="Arial" w:cs="Arial"/>
          <w:sz w:val="27"/>
          <w:szCs w:val="27"/>
        </w:rPr>
        <w:t xml:space="preserve"> and </w:t>
      </w:r>
      <w:r w:rsidR="001E2C07">
        <w:rPr>
          <w:rFonts w:ascii="Arial" w:hAnsi="Arial" w:cs="Arial"/>
          <w:sz w:val="27"/>
          <w:szCs w:val="27"/>
        </w:rPr>
        <w:t>her apology</w:t>
      </w:r>
      <w:r w:rsidR="00DF7DE7">
        <w:rPr>
          <w:rFonts w:ascii="Arial" w:hAnsi="Arial" w:cs="Arial"/>
          <w:sz w:val="27"/>
          <w:szCs w:val="27"/>
        </w:rPr>
        <w:t xml:space="preserve"> for her supposed irrationality being that women are bad by nature.</w:t>
      </w:r>
      <w:r w:rsidR="00DF7DE7">
        <w:rPr>
          <w:rStyle w:val="FootnoteReference"/>
          <w:rFonts w:ascii="Arial" w:hAnsi="Arial" w:cs="Arial"/>
          <w:sz w:val="27"/>
          <w:szCs w:val="27"/>
        </w:rPr>
        <w:footnoteReference w:id="14"/>
      </w:r>
      <w:r w:rsidR="00412709">
        <w:rPr>
          <w:rFonts w:ascii="Arial" w:hAnsi="Arial" w:cs="Arial"/>
          <w:sz w:val="27"/>
          <w:szCs w:val="27"/>
        </w:rPr>
        <w:t xml:space="preserve"> Finally, </w:t>
      </w:r>
      <w:r w:rsidR="00441C25">
        <w:rPr>
          <w:rFonts w:ascii="Arial" w:hAnsi="Arial" w:cs="Arial"/>
          <w:sz w:val="27"/>
          <w:szCs w:val="27"/>
        </w:rPr>
        <w:t xml:space="preserve">her declaration when she asks to give her gift to Jason’s new bride Glauce is crucial in understanding her </w:t>
      </w:r>
      <w:r w:rsidR="00EA4159">
        <w:rPr>
          <w:rFonts w:ascii="Arial" w:hAnsi="Arial" w:cs="Arial"/>
          <w:sz w:val="27"/>
          <w:szCs w:val="27"/>
        </w:rPr>
        <w:t xml:space="preserve">manipulation of gender performance. In describing how the treasures will ‘multiply </w:t>
      </w:r>
      <w:r w:rsidR="00CF6AB6">
        <w:rPr>
          <w:rFonts w:ascii="Arial" w:hAnsi="Arial" w:cs="Arial"/>
          <w:sz w:val="27"/>
          <w:szCs w:val="27"/>
        </w:rPr>
        <w:t>her happiness many times’</w:t>
      </w:r>
      <w:r w:rsidR="00CF6AB6">
        <w:rPr>
          <w:rStyle w:val="FootnoteReference"/>
          <w:rFonts w:ascii="Arial" w:hAnsi="Arial" w:cs="Arial"/>
          <w:sz w:val="27"/>
          <w:szCs w:val="27"/>
        </w:rPr>
        <w:footnoteReference w:id="15"/>
      </w:r>
      <w:r w:rsidR="00CF6AB6">
        <w:rPr>
          <w:rFonts w:ascii="Arial" w:hAnsi="Arial" w:cs="Arial"/>
          <w:sz w:val="27"/>
          <w:szCs w:val="27"/>
        </w:rPr>
        <w:t xml:space="preserve"> alongside her new husband, Medea </w:t>
      </w:r>
      <w:r w:rsidR="00995CF6">
        <w:rPr>
          <w:rFonts w:ascii="Arial" w:hAnsi="Arial" w:cs="Arial"/>
          <w:sz w:val="27"/>
          <w:szCs w:val="27"/>
        </w:rPr>
        <w:t xml:space="preserve">fakes conformity and allegiance to the patriarchal oppressive system of power to stop </w:t>
      </w:r>
      <w:r w:rsidR="00CB04BF">
        <w:rPr>
          <w:rFonts w:ascii="Arial" w:hAnsi="Arial" w:cs="Arial"/>
          <w:sz w:val="27"/>
          <w:szCs w:val="27"/>
        </w:rPr>
        <w:t xml:space="preserve">Jason </w:t>
      </w:r>
      <w:r w:rsidR="00F34E32">
        <w:rPr>
          <w:rFonts w:ascii="Arial" w:hAnsi="Arial" w:cs="Arial"/>
          <w:sz w:val="27"/>
          <w:szCs w:val="27"/>
        </w:rPr>
        <w:t xml:space="preserve">from </w:t>
      </w:r>
      <w:r w:rsidR="00CB04BF">
        <w:rPr>
          <w:rFonts w:ascii="Arial" w:hAnsi="Arial" w:cs="Arial"/>
          <w:sz w:val="27"/>
          <w:szCs w:val="27"/>
        </w:rPr>
        <w:t xml:space="preserve">feeling threatened or disturbed by her subversion. </w:t>
      </w:r>
    </w:p>
    <w:p w14:paraId="1E02E053" w14:textId="0855B38C" w:rsidR="00B01508" w:rsidRDefault="00BD5F29" w:rsidP="00B01508">
      <w:pPr>
        <w:rPr>
          <w:rFonts w:ascii="Arial" w:hAnsi="Arial" w:cs="Arial"/>
          <w:sz w:val="27"/>
          <w:szCs w:val="27"/>
        </w:rPr>
      </w:pPr>
      <w:r>
        <w:rPr>
          <w:rFonts w:ascii="Arial" w:hAnsi="Arial" w:cs="Arial"/>
          <w:sz w:val="27"/>
          <w:szCs w:val="27"/>
        </w:rPr>
        <w:t>Medea’s loud performance of sadness (‘a sudden flood of weeping’</w:t>
      </w:r>
      <w:r>
        <w:rPr>
          <w:rStyle w:val="FootnoteReference"/>
          <w:rFonts w:ascii="Arial" w:hAnsi="Arial" w:cs="Arial"/>
          <w:sz w:val="27"/>
          <w:szCs w:val="27"/>
        </w:rPr>
        <w:footnoteReference w:id="16"/>
      </w:r>
      <w:r>
        <w:rPr>
          <w:rFonts w:ascii="Arial" w:hAnsi="Arial" w:cs="Arial"/>
          <w:sz w:val="27"/>
          <w:szCs w:val="27"/>
        </w:rPr>
        <w:t>) would be considered appropriate for women, who were often involved in mourning;</w:t>
      </w:r>
      <w:r>
        <w:rPr>
          <w:rStyle w:val="FootnoteReference"/>
          <w:rFonts w:ascii="Arial" w:hAnsi="Arial" w:cs="Arial"/>
          <w:sz w:val="27"/>
          <w:szCs w:val="27"/>
        </w:rPr>
        <w:footnoteReference w:id="17"/>
      </w:r>
      <w:r>
        <w:rPr>
          <w:rFonts w:ascii="Arial" w:hAnsi="Arial" w:cs="Arial"/>
          <w:sz w:val="27"/>
          <w:szCs w:val="27"/>
        </w:rPr>
        <w:t xml:space="preserve"> this contrasts with her previous coldness and rage. Her deliberately dramatic displays of sadness and helplessness cause Jason to believe she has accepted his plan, and thus she avoids her plan being thwarted</w:t>
      </w:r>
      <w:r>
        <w:rPr>
          <w:rFonts w:ascii="Arial" w:hAnsi="Arial" w:cs="Arial"/>
          <w:sz w:val="27"/>
          <w:szCs w:val="27"/>
        </w:rPr>
        <w:t>.</w:t>
      </w:r>
    </w:p>
    <w:p w14:paraId="3C54D883" w14:textId="547D9733" w:rsidR="00B01508" w:rsidRDefault="00B01508">
      <w:pPr>
        <w:rPr>
          <w:rFonts w:ascii="Arial" w:hAnsi="Arial" w:cs="Arial"/>
          <w:sz w:val="27"/>
          <w:szCs w:val="27"/>
        </w:rPr>
      </w:pPr>
      <w:r>
        <w:rPr>
          <w:rFonts w:ascii="Arial" w:hAnsi="Arial" w:cs="Arial"/>
          <w:sz w:val="27"/>
          <w:szCs w:val="27"/>
        </w:rPr>
        <w:t xml:space="preserve">Medea shows that ‘while she rejects a woman’s socially approved role, she fully understands it and </w:t>
      </w:r>
      <w:r w:rsidR="00F34E32">
        <w:rPr>
          <w:rFonts w:ascii="Arial" w:hAnsi="Arial" w:cs="Arial"/>
          <w:sz w:val="27"/>
          <w:szCs w:val="27"/>
        </w:rPr>
        <w:t>can</w:t>
      </w:r>
      <w:r>
        <w:rPr>
          <w:rFonts w:ascii="Arial" w:hAnsi="Arial" w:cs="Arial"/>
          <w:sz w:val="27"/>
          <w:szCs w:val="27"/>
        </w:rPr>
        <w:t xml:space="preserve"> play the part when it is to her advantage.’</w:t>
      </w:r>
      <w:r>
        <w:rPr>
          <w:rStyle w:val="FootnoteReference"/>
          <w:rFonts w:ascii="Arial" w:hAnsi="Arial" w:cs="Arial"/>
          <w:sz w:val="27"/>
          <w:szCs w:val="27"/>
        </w:rPr>
        <w:footnoteReference w:id="18"/>
      </w:r>
      <w:r>
        <w:rPr>
          <w:rFonts w:ascii="Arial" w:hAnsi="Arial" w:cs="Arial"/>
          <w:sz w:val="27"/>
          <w:szCs w:val="27"/>
        </w:rPr>
        <w:t xml:space="preserve"> She also however displays a ‘convergence of masculine and feminine attributes’</w:t>
      </w:r>
      <w:r>
        <w:rPr>
          <w:rStyle w:val="FootnoteReference"/>
          <w:rFonts w:ascii="Arial" w:hAnsi="Arial" w:cs="Arial"/>
          <w:sz w:val="27"/>
          <w:szCs w:val="27"/>
        </w:rPr>
        <w:footnoteReference w:id="19"/>
      </w:r>
      <w:r>
        <w:rPr>
          <w:rFonts w:ascii="Arial" w:hAnsi="Arial" w:cs="Arial"/>
          <w:sz w:val="27"/>
          <w:szCs w:val="27"/>
        </w:rPr>
        <w:t xml:space="preserve"> as she adopts a stereotypical masculine performance in calling her children forward to celebrate the truce that she has enacted with their father Jason.</w:t>
      </w:r>
      <w:r>
        <w:rPr>
          <w:rStyle w:val="FootnoteReference"/>
          <w:rFonts w:ascii="Arial" w:hAnsi="Arial" w:cs="Arial"/>
          <w:sz w:val="27"/>
          <w:szCs w:val="27"/>
        </w:rPr>
        <w:footnoteReference w:id="20"/>
      </w:r>
      <w:r>
        <w:rPr>
          <w:rFonts w:ascii="Arial" w:hAnsi="Arial" w:cs="Arial"/>
          <w:sz w:val="27"/>
          <w:szCs w:val="27"/>
        </w:rPr>
        <w:t xml:space="preserve"> In addition, during her disclosure to the Chorus about her revenge plan, she presents herself in terms of male heroism, willing to sacrifice her children to achieve honour, vengeance, and fame.</w:t>
      </w:r>
      <w:r>
        <w:rPr>
          <w:rStyle w:val="FootnoteReference"/>
          <w:rFonts w:ascii="Arial" w:hAnsi="Arial" w:cs="Arial"/>
          <w:sz w:val="27"/>
          <w:szCs w:val="27"/>
        </w:rPr>
        <w:footnoteReference w:id="21"/>
      </w:r>
      <w:r>
        <w:rPr>
          <w:rFonts w:ascii="Arial" w:hAnsi="Arial" w:cs="Arial"/>
          <w:sz w:val="27"/>
          <w:szCs w:val="27"/>
        </w:rPr>
        <w:t xml:space="preserve"> </w:t>
      </w:r>
    </w:p>
    <w:p w14:paraId="1CAADA78" w14:textId="5BCA06F8" w:rsidR="00874AA9" w:rsidRDefault="009274F1">
      <w:pPr>
        <w:rPr>
          <w:rFonts w:ascii="Arial" w:hAnsi="Arial" w:cs="Arial"/>
          <w:sz w:val="27"/>
          <w:szCs w:val="27"/>
        </w:rPr>
      </w:pPr>
      <w:r>
        <w:rPr>
          <w:rFonts w:ascii="Arial" w:hAnsi="Arial" w:cs="Arial"/>
          <w:sz w:val="27"/>
          <w:szCs w:val="27"/>
        </w:rPr>
        <w:t>Medea’s misleading of Jason shows her ability to manipulate her performance</w:t>
      </w:r>
      <w:r w:rsidR="00E862D5">
        <w:rPr>
          <w:rFonts w:ascii="Arial" w:hAnsi="Arial" w:cs="Arial"/>
          <w:sz w:val="27"/>
          <w:szCs w:val="27"/>
        </w:rPr>
        <w:t>, to consciously amend her outward appear</w:t>
      </w:r>
      <w:r w:rsidR="00E862D5">
        <w:rPr>
          <w:rFonts w:ascii="Arial" w:hAnsi="Arial" w:cs="Arial"/>
          <w:sz w:val="27"/>
          <w:szCs w:val="27"/>
        </w:rPr>
        <w:lastRenderedPageBreak/>
        <w:t>ance to suit her needs. By faking the opinion women are supposed to have, Medea conforms to the female ideal</w:t>
      </w:r>
      <w:r w:rsidR="00D64EF3">
        <w:rPr>
          <w:rFonts w:ascii="Arial" w:hAnsi="Arial" w:cs="Arial"/>
          <w:sz w:val="27"/>
          <w:szCs w:val="27"/>
        </w:rPr>
        <w:t xml:space="preserve"> as expected of her. </w:t>
      </w:r>
    </w:p>
    <w:p w14:paraId="48F1BBCC" w14:textId="033FE67B" w:rsidR="00E52F57" w:rsidRDefault="00E52F57">
      <w:pPr>
        <w:rPr>
          <w:rFonts w:ascii="Arial" w:hAnsi="Arial" w:cs="Arial"/>
          <w:sz w:val="27"/>
          <w:szCs w:val="27"/>
        </w:rPr>
      </w:pPr>
      <w:r>
        <w:rPr>
          <w:rFonts w:ascii="Arial" w:hAnsi="Arial" w:cs="Arial"/>
          <w:sz w:val="27"/>
          <w:szCs w:val="27"/>
        </w:rPr>
        <w:t xml:space="preserve">In dissecting Medea’s final confrontation with Jason, </w:t>
      </w:r>
      <w:r w:rsidR="00E87391">
        <w:rPr>
          <w:rFonts w:ascii="Arial" w:hAnsi="Arial" w:cs="Arial"/>
          <w:sz w:val="27"/>
          <w:szCs w:val="27"/>
        </w:rPr>
        <w:t>it can be observed how her words betray her transcending of societal norms, rendering her an unintelligible subject in the gendered systems of ancient Greece.</w:t>
      </w:r>
    </w:p>
    <w:p w14:paraId="0655FD95" w14:textId="711E54F1" w:rsidR="00640B62" w:rsidRDefault="00B12C1F">
      <w:pPr>
        <w:rPr>
          <w:rFonts w:ascii="Arial" w:hAnsi="Arial" w:cs="Arial"/>
          <w:sz w:val="27"/>
          <w:szCs w:val="27"/>
        </w:rPr>
      </w:pPr>
      <w:r>
        <w:rPr>
          <w:rFonts w:ascii="Arial" w:hAnsi="Arial" w:cs="Arial"/>
          <w:sz w:val="27"/>
          <w:szCs w:val="27"/>
        </w:rPr>
        <w:lastRenderedPageBreak/>
        <w:t>Jason’s verbal onslaught towards Medea attacks her very identity</w:t>
      </w:r>
      <w:r w:rsidR="00BC74A2">
        <w:rPr>
          <w:rFonts w:ascii="Arial" w:hAnsi="Arial" w:cs="Arial"/>
          <w:sz w:val="27"/>
          <w:szCs w:val="27"/>
        </w:rPr>
        <w:t xml:space="preserve"> as a mother, </w:t>
      </w:r>
      <w:r w:rsidR="001E31C8">
        <w:rPr>
          <w:rFonts w:ascii="Arial" w:hAnsi="Arial" w:cs="Arial"/>
          <w:sz w:val="27"/>
          <w:szCs w:val="27"/>
        </w:rPr>
        <w:t xml:space="preserve">civilised woman, and even human. His </w:t>
      </w:r>
      <w:r w:rsidR="00EC1ECC">
        <w:rPr>
          <w:rFonts w:ascii="Arial" w:hAnsi="Arial" w:cs="Arial"/>
          <w:sz w:val="27"/>
          <w:szCs w:val="27"/>
        </w:rPr>
        <w:t>criticism of her ‘a mother! … lift[</w:t>
      </w:r>
      <w:proofErr w:type="spellStart"/>
      <w:r w:rsidR="00EC1ECC">
        <w:rPr>
          <w:rFonts w:ascii="Arial" w:hAnsi="Arial" w:cs="Arial"/>
          <w:sz w:val="27"/>
          <w:szCs w:val="27"/>
        </w:rPr>
        <w:t>ing</w:t>
      </w:r>
      <w:proofErr w:type="spellEnd"/>
      <w:r w:rsidR="00EC1ECC">
        <w:rPr>
          <w:rFonts w:ascii="Arial" w:hAnsi="Arial" w:cs="Arial"/>
          <w:sz w:val="27"/>
          <w:szCs w:val="27"/>
        </w:rPr>
        <w:t>] sword against your own little ones,’</w:t>
      </w:r>
      <w:r w:rsidR="00EC1ECC">
        <w:rPr>
          <w:rStyle w:val="FootnoteReference"/>
          <w:rFonts w:ascii="Arial" w:hAnsi="Arial" w:cs="Arial"/>
          <w:sz w:val="27"/>
          <w:szCs w:val="27"/>
        </w:rPr>
        <w:footnoteReference w:id="22"/>
      </w:r>
      <w:r w:rsidR="00EC1ECC">
        <w:rPr>
          <w:rFonts w:ascii="Arial" w:hAnsi="Arial" w:cs="Arial"/>
          <w:sz w:val="27"/>
          <w:szCs w:val="27"/>
        </w:rPr>
        <w:t xml:space="preserve"> attacks her ability as a mother and </w:t>
      </w:r>
      <w:r w:rsidR="005004A0">
        <w:rPr>
          <w:rFonts w:ascii="Arial" w:hAnsi="Arial" w:cs="Arial"/>
          <w:sz w:val="27"/>
          <w:szCs w:val="27"/>
        </w:rPr>
        <w:t xml:space="preserve">can be seen as an attack against her gendered identity. She as a </w:t>
      </w:r>
      <w:r w:rsidR="00640B62">
        <w:rPr>
          <w:rFonts w:ascii="Arial" w:hAnsi="Arial" w:cs="Arial"/>
          <w:sz w:val="27"/>
          <w:szCs w:val="27"/>
        </w:rPr>
        <w:t xml:space="preserve">mother </w:t>
      </w:r>
      <w:r w:rsidR="005004A0">
        <w:rPr>
          <w:rFonts w:ascii="Arial" w:hAnsi="Arial" w:cs="Arial"/>
          <w:sz w:val="27"/>
          <w:szCs w:val="27"/>
        </w:rPr>
        <w:t>was expected to be</w:t>
      </w:r>
      <w:r w:rsidR="0028364F">
        <w:rPr>
          <w:rFonts w:ascii="Arial" w:hAnsi="Arial" w:cs="Arial"/>
          <w:sz w:val="27"/>
          <w:szCs w:val="27"/>
        </w:rPr>
        <w:t xml:space="preserve"> maternal, </w:t>
      </w:r>
      <w:r w:rsidR="00640B62">
        <w:rPr>
          <w:rFonts w:ascii="Arial" w:hAnsi="Arial" w:cs="Arial"/>
          <w:sz w:val="27"/>
          <w:szCs w:val="27"/>
        </w:rPr>
        <w:t>nurturing,</w:t>
      </w:r>
      <w:r w:rsidR="0028364F">
        <w:rPr>
          <w:rFonts w:ascii="Arial" w:hAnsi="Arial" w:cs="Arial"/>
          <w:sz w:val="27"/>
          <w:szCs w:val="27"/>
        </w:rPr>
        <w:t xml:space="preserve"> and loyal to her children, and thus in harming her children</w:t>
      </w:r>
      <w:r w:rsidR="00F34E32">
        <w:rPr>
          <w:rFonts w:ascii="Arial" w:hAnsi="Arial" w:cs="Arial"/>
          <w:sz w:val="27"/>
          <w:szCs w:val="27"/>
        </w:rPr>
        <w:t>,</w:t>
      </w:r>
      <w:r w:rsidR="0028364F">
        <w:rPr>
          <w:rFonts w:ascii="Arial" w:hAnsi="Arial" w:cs="Arial"/>
          <w:sz w:val="27"/>
          <w:szCs w:val="27"/>
        </w:rPr>
        <w:t xml:space="preserve"> she has failed in her duty as a</w:t>
      </w:r>
      <w:r w:rsidR="00640B62">
        <w:rPr>
          <w:rFonts w:ascii="Arial" w:hAnsi="Arial" w:cs="Arial"/>
          <w:sz w:val="27"/>
          <w:szCs w:val="27"/>
        </w:rPr>
        <w:t xml:space="preserve"> woman</w:t>
      </w:r>
      <w:r w:rsidR="0028364F">
        <w:rPr>
          <w:rFonts w:ascii="Arial" w:hAnsi="Arial" w:cs="Arial"/>
          <w:sz w:val="27"/>
          <w:szCs w:val="27"/>
        </w:rPr>
        <w:t xml:space="preserve">. </w:t>
      </w:r>
    </w:p>
    <w:p w14:paraId="34EDFFAA" w14:textId="751D1E26" w:rsidR="00425283" w:rsidRDefault="00425283">
      <w:pPr>
        <w:rPr>
          <w:rFonts w:ascii="Arial" w:hAnsi="Arial" w:cs="Arial"/>
          <w:sz w:val="27"/>
          <w:szCs w:val="27"/>
        </w:rPr>
      </w:pPr>
      <w:r>
        <w:rPr>
          <w:rFonts w:ascii="Arial" w:hAnsi="Arial" w:cs="Arial"/>
          <w:sz w:val="27"/>
          <w:szCs w:val="27"/>
        </w:rPr>
        <w:t xml:space="preserve">One particularly significant comparison by Jason comes in the form of a reference to a monster from Homer’s </w:t>
      </w:r>
      <w:r w:rsidR="008F0E12">
        <w:rPr>
          <w:rFonts w:ascii="Arial" w:hAnsi="Arial" w:cs="Arial"/>
          <w:i/>
          <w:iCs/>
          <w:sz w:val="27"/>
          <w:szCs w:val="27"/>
        </w:rPr>
        <w:t xml:space="preserve">The </w:t>
      </w:r>
      <w:r w:rsidRPr="00425283">
        <w:rPr>
          <w:rFonts w:ascii="Arial" w:hAnsi="Arial" w:cs="Arial"/>
          <w:i/>
          <w:iCs/>
          <w:sz w:val="27"/>
          <w:szCs w:val="27"/>
        </w:rPr>
        <w:t>Odyssey</w:t>
      </w:r>
      <w:r>
        <w:rPr>
          <w:rFonts w:ascii="Arial" w:hAnsi="Arial" w:cs="Arial"/>
          <w:i/>
          <w:iCs/>
          <w:sz w:val="27"/>
          <w:szCs w:val="27"/>
        </w:rPr>
        <w:t xml:space="preserve">, </w:t>
      </w:r>
      <w:r>
        <w:rPr>
          <w:rFonts w:ascii="Arial" w:hAnsi="Arial" w:cs="Arial"/>
          <w:sz w:val="27"/>
          <w:szCs w:val="27"/>
        </w:rPr>
        <w:t xml:space="preserve">Scylla. </w:t>
      </w:r>
      <w:r w:rsidR="00364252">
        <w:rPr>
          <w:rFonts w:ascii="Arial" w:hAnsi="Arial" w:cs="Arial"/>
          <w:sz w:val="27"/>
          <w:szCs w:val="27"/>
        </w:rPr>
        <w:t xml:space="preserve">Described as a ferocious monster with six </w:t>
      </w:r>
      <w:r w:rsidR="00364252">
        <w:rPr>
          <w:rFonts w:ascii="Arial" w:hAnsi="Arial" w:cs="Arial"/>
          <w:sz w:val="27"/>
          <w:szCs w:val="27"/>
        </w:rPr>
        <w:lastRenderedPageBreak/>
        <w:t>heads, each with three rows of teeth, Scylla inhabited a cave in the cliffs in the Straits of Messina</w:t>
      </w:r>
      <w:r w:rsidR="004A3D34">
        <w:rPr>
          <w:rFonts w:ascii="Arial" w:hAnsi="Arial" w:cs="Arial"/>
          <w:sz w:val="27"/>
          <w:szCs w:val="27"/>
        </w:rPr>
        <w:t xml:space="preserve"> and was encountered by Odysseus in his journey through the area.</w:t>
      </w:r>
      <w:r w:rsidR="00816829">
        <w:rPr>
          <w:rStyle w:val="FootnoteReference"/>
          <w:rFonts w:ascii="Arial" w:hAnsi="Arial" w:cs="Arial"/>
          <w:sz w:val="27"/>
          <w:szCs w:val="27"/>
        </w:rPr>
        <w:footnoteReference w:id="23"/>
      </w:r>
      <w:r w:rsidR="004A3D34">
        <w:rPr>
          <w:rFonts w:ascii="Arial" w:hAnsi="Arial" w:cs="Arial"/>
          <w:sz w:val="27"/>
          <w:szCs w:val="27"/>
        </w:rPr>
        <w:t xml:space="preserve"> </w:t>
      </w:r>
      <w:r w:rsidR="00D66F18">
        <w:rPr>
          <w:rFonts w:ascii="Arial" w:hAnsi="Arial" w:cs="Arial"/>
          <w:sz w:val="27"/>
          <w:szCs w:val="27"/>
        </w:rPr>
        <w:t>Scylla’s origin</w:t>
      </w:r>
      <w:r w:rsidR="000E4908">
        <w:rPr>
          <w:rFonts w:ascii="Arial" w:hAnsi="Arial" w:cs="Arial"/>
          <w:sz w:val="27"/>
          <w:szCs w:val="27"/>
        </w:rPr>
        <w:t xml:space="preserve"> was as a </w:t>
      </w:r>
      <w:r w:rsidR="00D66F18">
        <w:rPr>
          <w:rFonts w:ascii="Arial" w:hAnsi="Arial" w:cs="Arial"/>
          <w:sz w:val="27"/>
          <w:szCs w:val="27"/>
        </w:rPr>
        <w:t xml:space="preserve">beautiful mortal woman who had sexual affairs </w:t>
      </w:r>
      <w:r w:rsidR="008D18A1">
        <w:rPr>
          <w:rFonts w:ascii="Arial" w:hAnsi="Arial" w:cs="Arial"/>
          <w:sz w:val="27"/>
          <w:szCs w:val="27"/>
        </w:rPr>
        <w:t>with several important men and the sea gods Poseidon and Glaucu</w:t>
      </w:r>
      <w:r w:rsidR="002C2551">
        <w:rPr>
          <w:rFonts w:ascii="Arial" w:hAnsi="Arial" w:cs="Arial"/>
          <w:sz w:val="27"/>
          <w:szCs w:val="27"/>
        </w:rPr>
        <w:t>s</w:t>
      </w:r>
      <w:r w:rsidR="000E4908">
        <w:rPr>
          <w:rFonts w:ascii="Arial" w:hAnsi="Arial" w:cs="Arial"/>
          <w:sz w:val="27"/>
          <w:szCs w:val="27"/>
        </w:rPr>
        <w:t xml:space="preserve"> and was turned into a hideous monster when magic herbs were thrown into her bath</w:t>
      </w:r>
      <w:r w:rsidR="004636D0">
        <w:rPr>
          <w:rFonts w:ascii="Arial" w:hAnsi="Arial" w:cs="Arial"/>
          <w:sz w:val="27"/>
          <w:szCs w:val="27"/>
        </w:rPr>
        <w:t>ing pool.</w:t>
      </w:r>
      <w:r w:rsidR="00816829">
        <w:rPr>
          <w:rStyle w:val="FootnoteReference"/>
          <w:rFonts w:ascii="Arial" w:hAnsi="Arial" w:cs="Arial"/>
          <w:sz w:val="27"/>
          <w:szCs w:val="27"/>
        </w:rPr>
        <w:footnoteReference w:id="24"/>
      </w:r>
      <w:r w:rsidR="004636D0">
        <w:rPr>
          <w:rFonts w:ascii="Arial" w:hAnsi="Arial" w:cs="Arial"/>
          <w:sz w:val="27"/>
          <w:szCs w:val="27"/>
        </w:rPr>
        <w:t xml:space="preserve"> </w:t>
      </w:r>
      <w:r w:rsidR="002C2551">
        <w:rPr>
          <w:rFonts w:ascii="Arial" w:hAnsi="Arial" w:cs="Arial"/>
          <w:sz w:val="27"/>
          <w:szCs w:val="27"/>
        </w:rPr>
        <w:t>The perpetrator of her transformation is not universally agreed upon but is often attributed to the sorceress Circe,</w:t>
      </w:r>
      <w:r w:rsidR="00816829">
        <w:rPr>
          <w:rStyle w:val="FootnoteReference"/>
          <w:rFonts w:ascii="Arial" w:hAnsi="Arial" w:cs="Arial"/>
          <w:sz w:val="27"/>
          <w:szCs w:val="27"/>
        </w:rPr>
        <w:footnoteReference w:id="25"/>
      </w:r>
      <w:r w:rsidR="002C2551">
        <w:rPr>
          <w:rFonts w:ascii="Arial" w:hAnsi="Arial" w:cs="Arial"/>
          <w:sz w:val="27"/>
          <w:szCs w:val="27"/>
        </w:rPr>
        <w:t xml:space="preserve"> the aunt of Medea</w:t>
      </w:r>
      <w:r w:rsidR="00B65F6A">
        <w:rPr>
          <w:rFonts w:ascii="Arial" w:hAnsi="Arial" w:cs="Arial"/>
          <w:sz w:val="27"/>
          <w:szCs w:val="27"/>
        </w:rPr>
        <w:t xml:space="preserve">, making Medea’s link to the infamous monster more concrete. Scylla’s transformation made her into a </w:t>
      </w:r>
      <w:r w:rsidR="00BA7416">
        <w:rPr>
          <w:rFonts w:ascii="Arial" w:hAnsi="Arial" w:cs="Arial"/>
          <w:sz w:val="27"/>
          <w:szCs w:val="27"/>
        </w:rPr>
        <w:t>twisted, corrupt, monstrous imitation of a woman that Homer described as so hideous that ‘nobody could look at her with delight, not even a god if he passed that way.’</w:t>
      </w:r>
      <w:r w:rsidR="00514F6F">
        <w:rPr>
          <w:rStyle w:val="FootnoteReference"/>
          <w:rFonts w:ascii="Arial" w:hAnsi="Arial" w:cs="Arial"/>
          <w:sz w:val="27"/>
          <w:szCs w:val="27"/>
        </w:rPr>
        <w:footnoteReference w:id="26"/>
      </w:r>
      <w:r w:rsidR="00BA7416">
        <w:rPr>
          <w:rFonts w:ascii="Arial" w:hAnsi="Arial" w:cs="Arial"/>
          <w:sz w:val="27"/>
          <w:szCs w:val="27"/>
        </w:rPr>
        <w:t xml:space="preserve"> </w:t>
      </w:r>
      <w:r w:rsidR="009B4E5D">
        <w:rPr>
          <w:rFonts w:ascii="Arial" w:hAnsi="Arial" w:cs="Arial"/>
          <w:sz w:val="27"/>
          <w:szCs w:val="27"/>
        </w:rPr>
        <w:t xml:space="preserve">Not only is she described </w:t>
      </w:r>
      <w:r w:rsidR="009B4E5D">
        <w:rPr>
          <w:rFonts w:ascii="Arial" w:hAnsi="Arial" w:cs="Arial"/>
          <w:sz w:val="27"/>
          <w:szCs w:val="27"/>
        </w:rPr>
        <w:lastRenderedPageBreak/>
        <w:t>as physically frightening, but also a ‘thing of terror’ and ‘impossible to fight.’</w:t>
      </w:r>
      <w:r w:rsidR="00514F6F">
        <w:rPr>
          <w:rStyle w:val="FootnoteReference"/>
          <w:rFonts w:ascii="Arial" w:hAnsi="Arial" w:cs="Arial"/>
          <w:sz w:val="27"/>
          <w:szCs w:val="27"/>
        </w:rPr>
        <w:footnoteReference w:id="27"/>
      </w:r>
      <w:r w:rsidR="009B4E5D">
        <w:rPr>
          <w:rFonts w:ascii="Arial" w:hAnsi="Arial" w:cs="Arial"/>
          <w:sz w:val="27"/>
          <w:szCs w:val="27"/>
        </w:rPr>
        <w:t xml:space="preserve"> </w:t>
      </w:r>
      <w:r w:rsidR="00D237D6">
        <w:rPr>
          <w:rFonts w:ascii="Arial" w:hAnsi="Arial" w:cs="Arial"/>
          <w:sz w:val="27"/>
          <w:szCs w:val="27"/>
        </w:rPr>
        <w:t>Instead of feeling terror (</w:t>
      </w:r>
      <w:r w:rsidR="00E85FC2">
        <w:rPr>
          <w:rFonts w:ascii="Arial" w:hAnsi="Arial" w:cs="Arial"/>
          <w:sz w:val="27"/>
          <w:szCs w:val="27"/>
        </w:rPr>
        <w:t xml:space="preserve">a stereotypical </w:t>
      </w:r>
      <w:r w:rsidR="00D237D6">
        <w:rPr>
          <w:rFonts w:ascii="Arial" w:hAnsi="Arial" w:cs="Arial"/>
          <w:sz w:val="27"/>
          <w:szCs w:val="27"/>
        </w:rPr>
        <w:t>feminine characteristic</w:t>
      </w:r>
      <w:r w:rsidR="00E85FC2">
        <w:rPr>
          <w:rFonts w:ascii="Arial" w:hAnsi="Arial" w:cs="Arial"/>
          <w:sz w:val="27"/>
          <w:szCs w:val="27"/>
        </w:rPr>
        <w:t xml:space="preserve">), she </w:t>
      </w:r>
      <w:r w:rsidR="006F40B6">
        <w:rPr>
          <w:rFonts w:ascii="Arial" w:hAnsi="Arial" w:cs="Arial"/>
          <w:sz w:val="27"/>
          <w:szCs w:val="27"/>
        </w:rPr>
        <w:t xml:space="preserve">became </w:t>
      </w:r>
      <w:r w:rsidR="00E85FC2">
        <w:rPr>
          <w:rFonts w:ascii="Arial" w:hAnsi="Arial" w:cs="Arial"/>
          <w:sz w:val="27"/>
          <w:szCs w:val="27"/>
        </w:rPr>
        <w:t>a being that causes terror</w:t>
      </w:r>
      <w:r w:rsidR="00055277">
        <w:rPr>
          <w:rFonts w:ascii="Arial" w:hAnsi="Arial" w:cs="Arial"/>
          <w:sz w:val="27"/>
          <w:szCs w:val="27"/>
        </w:rPr>
        <w:t>. Instead of being passive, she actively lunges out of her cave to drag her prey, often men, away to crush and eat them.</w:t>
      </w:r>
      <w:r w:rsidR="00514F6F">
        <w:rPr>
          <w:rStyle w:val="FootnoteReference"/>
          <w:rFonts w:ascii="Arial" w:hAnsi="Arial" w:cs="Arial"/>
          <w:sz w:val="27"/>
          <w:szCs w:val="27"/>
        </w:rPr>
        <w:footnoteReference w:id="28"/>
      </w:r>
      <w:r w:rsidR="00055277">
        <w:rPr>
          <w:rFonts w:ascii="Arial" w:hAnsi="Arial" w:cs="Arial"/>
          <w:sz w:val="27"/>
          <w:szCs w:val="27"/>
        </w:rPr>
        <w:t xml:space="preserve"> She </w:t>
      </w:r>
      <w:r w:rsidR="000C318C">
        <w:rPr>
          <w:rFonts w:ascii="Arial" w:hAnsi="Arial" w:cs="Arial"/>
          <w:sz w:val="27"/>
          <w:szCs w:val="27"/>
        </w:rPr>
        <w:t xml:space="preserve">was </w:t>
      </w:r>
      <w:r w:rsidR="00055277">
        <w:rPr>
          <w:rFonts w:ascii="Arial" w:hAnsi="Arial" w:cs="Arial"/>
          <w:sz w:val="27"/>
          <w:szCs w:val="27"/>
        </w:rPr>
        <w:t xml:space="preserve">not submissive as was expected from women; she </w:t>
      </w:r>
      <w:r w:rsidR="000C318C">
        <w:rPr>
          <w:rFonts w:ascii="Arial" w:hAnsi="Arial" w:cs="Arial"/>
          <w:sz w:val="27"/>
          <w:szCs w:val="27"/>
        </w:rPr>
        <w:t xml:space="preserve">became </w:t>
      </w:r>
      <w:r w:rsidR="00055277">
        <w:rPr>
          <w:rFonts w:ascii="Arial" w:hAnsi="Arial" w:cs="Arial"/>
          <w:sz w:val="27"/>
          <w:szCs w:val="27"/>
        </w:rPr>
        <w:t xml:space="preserve">impossible to </w:t>
      </w:r>
      <w:r w:rsidR="00654A67">
        <w:rPr>
          <w:rFonts w:ascii="Arial" w:hAnsi="Arial" w:cs="Arial"/>
          <w:sz w:val="27"/>
          <w:szCs w:val="27"/>
        </w:rPr>
        <w:t xml:space="preserve">conquer or dominate by men. Medea’s </w:t>
      </w:r>
      <w:r w:rsidR="00C108E1">
        <w:rPr>
          <w:rFonts w:ascii="Arial" w:hAnsi="Arial" w:cs="Arial"/>
          <w:sz w:val="27"/>
          <w:szCs w:val="27"/>
        </w:rPr>
        <w:t>comparison to</w:t>
      </w:r>
      <w:r w:rsidR="00654A67">
        <w:rPr>
          <w:rFonts w:ascii="Arial" w:hAnsi="Arial" w:cs="Arial"/>
          <w:sz w:val="27"/>
          <w:szCs w:val="27"/>
        </w:rPr>
        <w:t xml:space="preserve"> Scylla by Jason highlights</w:t>
      </w:r>
      <w:r w:rsidR="00C108E1">
        <w:rPr>
          <w:rFonts w:ascii="Arial" w:hAnsi="Arial" w:cs="Arial"/>
          <w:sz w:val="27"/>
          <w:szCs w:val="27"/>
        </w:rPr>
        <w:t xml:space="preserve"> </w:t>
      </w:r>
      <w:r w:rsidR="008278B3">
        <w:rPr>
          <w:rFonts w:ascii="Arial" w:hAnsi="Arial" w:cs="Arial"/>
          <w:sz w:val="27"/>
          <w:szCs w:val="27"/>
        </w:rPr>
        <w:t>that she is seen as monstrous and inhuman</w:t>
      </w:r>
      <w:r w:rsidR="00514F6F">
        <w:rPr>
          <w:rFonts w:ascii="Arial" w:hAnsi="Arial" w:cs="Arial"/>
          <w:sz w:val="27"/>
          <w:szCs w:val="27"/>
        </w:rPr>
        <w:t xml:space="preserve"> </w:t>
      </w:r>
      <w:r w:rsidR="005351D2">
        <w:rPr>
          <w:rFonts w:ascii="Arial" w:hAnsi="Arial" w:cs="Arial"/>
          <w:sz w:val="27"/>
          <w:szCs w:val="27"/>
        </w:rPr>
        <w:t xml:space="preserve">due to becoming </w:t>
      </w:r>
      <w:r w:rsidR="00514F6F">
        <w:rPr>
          <w:rFonts w:ascii="Arial" w:hAnsi="Arial" w:cs="Arial"/>
          <w:sz w:val="27"/>
          <w:szCs w:val="27"/>
        </w:rPr>
        <w:t xml:space="preserve">incomprehensible as a human female subject. </w:t>
      </w:r>
    </w:p>
    <w:p w14:paraId="65C899CB" w14:textId="278AB635" w:rsidR="00827A43" w:rsidRDefault="00827A43" w:rsidP="00827A43">
      <w:pPr>
        <w:rPr>
          <w:rFonts w:ascii="Arial" w:hAnsi="Arial" w:cs="Arial"/>
          <w:sz w:val="27"/>
          <w:szCs w:val="27"/>
        </w:rPr>
      </w:pPr>
      <w:r w:rsidRPr="006556F4">
        <w:rPr>
          <w:rFonts w:ascii="Arial" w:hAnsi="Arial" w:cs="Arial"/>
          <w:sz w:val="27"/>
          <w:szCs w:val="27"/>
        </w:rPr>
        <w:t>Medea</w:t>
      </w:r>
      <w:r>
        <w:rPr>
          <w:rFonts w:ascii="Arial" w:hAnsi="Arial" w:cs="Arial"/>
          <w:sz w:val="27"/>
          <w:szCs w:val="27"/>
        </w:rPr>
        <w:t xml:space="preserve">’s final triumphant speech to Jason includes her announcement that she will bury her sons instead of giving them to Jason for him to arrange their burial. </w:t>
      </w:r>
      <w:r w:rsidRPr="006556F4">
        <w:rPr>
          <w:rFonts w:ascii="Arial" w:hAnsi="Arial" w:cs="Arial"/>
          <w:sz w:val="27"/>
          <w:szCs w:val="27"/>
        </w:rPr>
        <w:t xml:space="preserve">Her assumption of this stereotypical female role after her characterisation as an inhumane monster adds further evidence to the </w:t>
      </w:r>
      <w:r w:rsidR="006874C4">
        <w:rPr>
          <w:rFonts w:ascii="Arial" w:hAnsi="Arial" w:cs="Arial"/>
          <w:sz w:val="27"/>
          <w:szCs w:val="27"/>
        </w:rPr>
        <w:t>concept</w:t>
      </w:r>
      <w:r w:rsidRPr="006556F4">
        <w:rPr>
          <w:rFonts w:ascii="Arial" w:hAnsi="Arial" w:cs="Arial"/>
          <w:sz w:val="27"/>
          <w:szCs w:val="27"/>
        </w:rPr>
        <w:t xml:space="preserve"> of gender as a performance. After manipulating her gender performance to disguise herself from suspicion, she yet again manipulates the gendered performances to her advantage. As she flees Corinth to start her own home in a decidedly contextually unfeminine endeavour, she promises her grieving husband that she will do her feminine duty in personally burying the sons she has murdered. In choosing to portray herself using both masculine and feminine-coded performances, Medea adds further to her unintelligibility in Butler’s conception of a heteronormative matrix and finally cements herself as an inhuman and fundamentally misunderstandable subject in the gendered systems of power in ancient Greece.</w:t>
      </w:r>
    </w:p>
    <w:p w14:paraId="0DA7AAAB" w14:textId="2ECFE177" w:rsidR="00DF190B" w:rsidRPr="00C33217" w:rsidRDefault="00DF190B">
      <w:pPr>
        <w:rPr>
          <w:rFonts w:ascii="Arial" w:hAnsi="Arial" w:cs="Arial"/>
          <w:sz w:val="26"/>
          <w:szCs w:val="26"/>
        </w:rPr>
      </w:pPr>
      <w:r>
        <w:rPr>
          <w:rFonts w:ascii="Arial" w:hAnsi="Arial" w:cs="Arial"/>
          <w:sz w:val="26"/>
          <w:szCs w:val="26"/>
        </w:rPr>
        <w:t>By the end of the play, ‘we see Medea shape her own identity for herself, which is disturbing to the other characters and Chorus.’</w:t>
      </w:r>
      <w:r>
        <w:rPr>
          <w:rStyle w:val="FootnoteReference"/>
          <w:rFonts w:ascii="Arial" w:hAnsi="Arial" w:cs="Arial"/>
          <w:sz w:val="26"/>
          <w:szCs w:val="26"/>
        </w:rPr>
        <w:footnoteReference w:id="29"/>
      </w:r>
      <w:r w:rsidR="00C33217">
        <w:rPr>
          <w:rFonts w:ascii="Arial" w:hAnsi="Arial" w:cs="Arial"/>
          <w:sz w:val="26"/>
          <w:szCs w:val="26"/>
        </w:rPr>
        <w:t xml:space="preserve"> </w:t>
      </w:r>
      <w:r w:rsidR="00443E80">
        <w:rPr>
          <w:rFonts w:ascii="Arial" w:hAnsi="Arial" w:cs="Arial"/>
          <w:sz w:val="27"/>
          <w:szCs w:val="27"/>
        </w:rPr>
        <w:t>In no longer having to perform as expected of a woman (no longer a wife or mother), Medea is no longer constrained by social expectations. After her abandonment by Jason, exile by Creon</w:t>
      </w:r>
      <w:r w:rsidR="00F34E32">
        <w:rPr>
          <w:rFonts w:ascii="Arial" w:hAnsi="Arial" w:cs="Arial"/>
          <w:sz w:val="27"/>
          <w:szCs w:val="27"/>
        </w:rPr>
        <w:t>,</w:t>
      </w:r>
      <w:r w:rsidR="00443E80">
        <w:rPr>
          <w:rFonts w:ascii="Arial" w:hAnsi="Arial" w:cs="Arial"/>
          <w:sz w:val="27"/>
          <w:szCs w:val="27"/>
        </w:rPr>
        <w:t xml:space="preserve"> and </w:t>
      </w:r>
      <w:r w:rsidR="00F34E32">
        <w:rPr>
          <w:rFonts w:ascii="Arial" w:hAnsi="Arial" w:cs="Arial"/>
          <w:sz w:val="27"/>
          <w:szCs w:val="27"/>
        </w:rPr>
        <w:t>the</w:t>
      </w:r>
      <w:r w:rsidR="00443E80">
        <w:rPr>
          <w:rFonts w:ascii="Arial" w:hAnsi="Arial" w:cs="Arial"/>
          <w:sz w:val="27"/>
          <w:szCs w:val="27"/>
        </w:rPr>
        <w:t xml:space="preserve"> murder</w:t>
      </w:r>
      <w:r w:rsidR="00F34E32">
        <w:rPr>
          <w:rFonts w:ascii="Arial" w:hAnsi="Arial" w:cs="Arial"/>
          <w:sz w:val="27"/>
          <w:szCs w:val="27"/>
        </w:rPr>
        <w:t xml:space="preserve"> of</w:t>
      </w:r>
      <w:r w:rsidR="00443E80">
        <w:rPr>
          <w:rFonts w:ascii="Arial" w:hAnsi="Arial" w:cs="Arial"/>
          <w:sz w:val="27"/>
          <w:szCs w:val="27"/>
        </w:rPr>
        <w:t xml:space="preserve"> her children, she loses th</w:t>
      </w:r>
      <w:r w:rsidR="00F34E32">
        <w:rPr>
          <w:rFonts w:ascii="Arial" w:hAnsi="Arial" w:cs="Arial"/>
          <w:sz w:val="27"/>
          <w:szCs w:val="27"/>
        </w:rPr>
        <w:t>e</w:t>
      </w:r>
      <w:r w:rsidR="00443E80">
        <w:rPr>
          <w:rFonts w:ascii="Arial" w:hAnsi="Arial" w:cs="Arial"/>
          <w:sz w:val="27"/>
          <w:szCs w:val="27"/>
        </w:rPr>
        <w:t xml:space="preserve"> social relationships that arguably regulate her gender performance. She becomes a mother without children, a wife without a husband, and a citizen without </w:t>
      </w:r>
      <w:r w:rsidR="00F34E32">
        <w:rPr>
          <w:rFonts w:ascii="Arial" w:hAnsi="Arial" w:cs="Arial"/>
          <w:sz w:val="27"/>
          <w:szCs w:val="27"/>
        </w:rPr>
        <w:t xml:space="preserve">a </w:t>
      </w:r>
      <w:r w:rsidR="00443E80">
        <w:rPr>
          <w:rFonts w:ascii="Arial" w:hAnsi="Arial" w:cs="Arial"/>
          <w:sz w:val="27"/>
          <w:szCs w:val="27"/>
        </w:rPr>
        <w:t xml:space="preserve">state – and thus has no performance rules she must follow. </w:t>
      </w:r>
      <w:r w:rsidR="00443E80">
        <w:rPr>
          <w:rFonts w:ascii="Arial" w:hAnsi="Arial" w:cs="Arial"/>
          <w:sz w:val="27"/>
          <w:szCs w:val="27"/>
        </w:rPr>
        <w:lastRenderedPageBreak/>
        <w:t>She is free of expectations; defining herself and her performance becomes her endeavour</w:t>
      </w:r>
      <w:r w:rsidR="00CC34BC">
        <w:rPr>
          <w:rFonts w:ascii="Arial" w:hAnsi="Arial" w:cs="Arial"/>
          <w:sz w:val="27"/>
          <w:szCs w:val="27"/>
        </w:rPr>
        <w:t xml:space="preserve"> as ‘laws, customs and traditions’ no longer apply to her.</w:t>
      </w:r>
      <w:r w:rsidR="00CC34BC">
        <w:rPr>
          <w:rStyle w:val="FootnoteReference"/>
          <w:rFonts w:ascii="Arial" w:hAnsi="Arial" w:cs="Arial"/>
          <w:sz w:val="27"/>
          <w:szCs w:val="27"/>
        </w:rPr>
        <w:footnoteReference w:id="30"/>
      </w:r>
      <w:r w:rsidR="00535FED">
        <w:rPr>
          <w:rFonts w:ascii="Arial" w:hAnsi="Arial" w:cs="Arial"/>
          <w:sz w:val="27"/>
          <w:szCs w:val="27"/>
        </w:rPr>
        <w:t xml:space="preserve"> </w:t>
      </w:r>
      <w:r w:rsidR="00443E80">
        <w:rPr>
          <w:rFonts w:ascii="Arial" w:hAnsi="Arial" w:cs="Arial"/>
          <w:sz w:val="27"/>
          <w:szCs w:val="27"/>
        </w:rPr>
        <w:t>Furthermore, outside of societal structures, she</w:t>
      </w:r>
      <w:r w:rsidR="00CB529D">
        <w:rPr>
          <w:rFonts w:ascii="Arial" w:hAnsi="Arial" w:cs="Arial"/>
          <w:sz w:val="27"/>
          <w:szCs w:val="27"/>
        </w:rPr>
        <w:t xml:space="preserve"> is </w:t>
      </w:r>
      <w:r w:rsidR="00443E80">
        <w:rPr>
          <w:rFonts w:ascii="Arial" w:hAnsi="Arial" w:cs="Arial"/>
          <w:sz w:val="27"/>
          <w:szCs w:val="27"/>
        </w:rPr>
        <w:t xml:space="preserve">no longer defined as a human by the systems of power. </w:t>
      </w:r>
      <w:r w:rsidR="00B8337A">
        <w:rPr>
          <w:rFonts w:ascii="Arial" w:hAnsi="Arial" w:cs="Arial"/>
          <w:sz w:val="27"/>
          <w:szCs w:val="27"/>
        </w:rPr>
        <w:t>Boedeker describes this in terms of death: ‘Medea the human being is dead, into her place has stepped the victorious goddess of vengeance.’</w:t>
      </w:r>
      <w:r w:rsidR="009F15B0">
        <w:rPr>
          <w:rStyle w:val="FootnoteReference"/>
          <w:rFonts w:ascii="Arial" w:hAnsi="Arial" w:cs="Arial"/>
          <w:sz w:val="27"/>
          <w:szCs w:val="27"/>
        </w:rPr>
        <w:footnoteReference w:id="31"/>
      </w:r>
      <w:r w:rsidR="00F30EE9">
        <w:rPr>
          <w:rFonts w:ascii="Arial" w:hAnsi="Arial" w:cs="Arial"/>
          <w:sz w:val="27"/>
          <w:szCs w:val="27"/>
        </w:rPr>
        <w:t xml:space="preserve"> As Medea stops being recognisable as a human subject and becomes unintelligible, she is then represented by non-human descriptors, as a force of nature. </w:t>
      </w:r>
    </w:p>
    <w:p w14:paraId="5CF28DB6" w14:textId="78095F2E" w:rsidR="00182A65" w:rsidRDefault="00F30EE9">
      <w:pPr>
        <w:rPr>
          <w:rFonts w:ascii="Arial" w:hAnsi="Arial" w:cs="Arial"/>
          <w:sz w:val="27"/>
          <w:szCs w:val="27"/>
        </w:rPr>
      </w:pPr>
      <w:r>
        <w:rPr>
          <w:rFonts w:ascii="Arial" w:hAnsi="Arial" w:cs="Arial"/>
          <w:sz w:val="27"/>
          <w:szCs w:val="27"/>
        </w:rPr>
        <w:t>Boedeker examines this</w:t>
      </w:r>
      <w:r w:rsidR="00F065C6">
        <w:rPr>
          <w:rFonts w:ascii="Arial" w:hAnsi="Arial" w:cs="Arial"/>
          <w:sz w:val="27"/>
          <w:szCs w:val="27"/>
        </w:rPr>
        <w:t xml:space="preserve"> depiction of Medea from the Nurse’s dialogue, who describe</w:t>
      </w:r>
      <w:r w:rsidR="005A7EBC">
        <w:rPr>
          <w:rFonts w:ascii="Arial" w:hAnsi="Arial" w:cs="Arial"/>
          <w:sz w:val="27"/>
          <w:szCs w:val="27"/>
        </w:rPr>
        <w:t>s</w:t>
      </w:r>
      <w:r w:rsidR="00F065C6">
        <w:rPr>
          <w:rFonts w:ascii="Arial" w:hAnsi="Arial" w:cs="Arial"/>
          <w:sz w:val="27"/>
          <w:szCs w:val="27"/>
        </w:rPr>
        <w:t xml:space="preserve"> Medea </w:t>
      </w:r>
      <w:r w:rsidR="005A7EBC">
        <w:rPr>
          <w:rFonts w:ascii="Arial" w:hAnsi="Arial" w:cs="Arial"/>
          <w:sz w:val="27"/>
          <w:szCs w:val="27"/>
        </w:rPr>
        <w:t>‘in a series of vivid images as a dangerous beast or natural force.’</w:t>
      </w:r>
      <w:r w:rsidR="00D36F54">
        <w:rPr>
          <w:rStyle w:val="FootnoteReference"/>
          <w:rFonts w:ascii="Arial" w:hAnsi="Arial" w:cs="Arial"/>
          <w:sz w:val="27"/>
          <w:szCs w:val="27"/>
        </w:rPr>
        <w:footnoteReference w:id="32"/>
      </w:r>
      <w:r w:rsidR="00D36F54">
        <w:rPr>
          <w:rFonts w:ascii="Arial" w:hAnsi="Arial" w:cs="Arial"/>
          <w:sz w:val="27"/>
          <w:szCs w:val="27"/>
        </w:rPr>
        <w:t xml:space="preserve"> From the Nurse, the truth about Medea and her dangerous nature is revealed early in the </w:t>
      </w:r>
      <w:r w:rsidR="00221D78">
        <w:rPr>
          <w:rFonts w:ascii="Arial" w:hAnsi="Arial" w:cs="Arial"/>
          <w:sz w:val="27"/>
          <w:szCs w:val="27"/>
        </w:rPr>
        <w:t>play</w:t>
      </w:r>
      <w:r w:rsidR="0023432A">
        <w:rPr>
          <w:rFonts w:ascii="Arial" w:hAnsi="Arial" w:cs="Arial"/>
          <w:sz w:val="27"/>
          <w:szCs w:val="27"/>
        </w:rPr>
        <w:t xml:space="preserve">, and yet the warning is not heeded by any of the men in the play. </w:t>
      </w:r>
      <w:r w:rsidR="00287B8C">
        <w:rPr>
          <w:rFonts w:ascii="Arial" w:hAnsi="Arial" w:cs="Arial"/>
          <w:sz w:val="27"/>
          <w:szCs w:val="27"/>
        </w:rPr>
        <w:t xml:space="preserve">Medea is presented </w:t>
      </w:r>
      <w:r w:rsidR="001229EF">
        <w:rPr>
          <w:rFonts w:ascii="Arial" w:hAnsi="Arial" w:cs="Arial"/>
          <w:sz w:val="27"/>
          <w:szCs w:val="27"/>
        </w:rPr>
        <w:t xml:space="preserve">both </w:t>
      </w:r>
      <w:r w:rsidR="00287B8C">
        <w:rPr>
          <w:rFonts w:ascii="Arial" w:hAnsi="Arial" w:cs="Arial"/>
          <w:sz w:val="27"/>
          <w:szCs w:val="27"/>
        </w:rPr>
        <w:t xml:space="preserve">by </w:t>
      </w:r>
      <w:r w:rsidR="001229EF">
        <w:rPr>
          <w:rFonts w:ascii="Arial" w:hAnsi="Arial" w:cs="Arial"/>
          <w:sz w:val="27"/>
          <w:szCs w:val="27"/>
        </w:rPr>
        <w:t xml:space="preserve">the Tutor </w:t>
      </w:r>
      <w:r w:rsidR="001229EF">
        <w:rPr>
          <w:rFonts w:ascii="Arial" w:hAnsi="Arial" w:cs="Arial"/>
          <w:sz w:val="27"/>
          <w:szCs w:val="27"/>
        </w:rPr>
        <w:lastRenderedPageBreak/>
        <w:t xml:space="preserve">and </w:t>
      </w:r>
      <w:r w:rsidR="007F3388">
        <w:rPr>
          <w:rFonts w:ascii="Arial" w:hAnsi="Arial" w:cs="Arial"/>
          <w:sz w:val="27"/>
          <w:szCs w:val="27"/>
        </w:rPr>
        <w:t xml:space="preserve">in </w:t>
      </w:r>
      <w:r w:rsidR="001229EF">
        <w:rPr>
          <w:rFonts w:ascii="Arial" w:hAnsi="Arial" w:cs="Arial"/>
          <w:sz w:val="27"/>
          <w:szCs w:val="27"/>
        </w:rPr>
        <w:t xml:space="preserve">her own </w:t>
      </w:r>
      <w:r w:rsidR="00D840EE">
        <w:rPr>
          <w:rFonts w:ascii="Arial" w:hAnsi="Arial" w:cs="Arial"/>
          <w:sz w:val="27"/>
          <w:szCs w:val="27"/>
        </w:rPr>
        <w:t>words i</w:t>
      </w:r>
      <w:r w:rsidR="001229EF">
        <w:rPr>
          <w:rFonts w:ascii="Arial" w:hAnsi="Arial" w:cs="Arial"/>
          <w:sz w:val="27"/>
          <w:szCs w:val="27"/>
        </w:rPr>
        <w:t>nstead as a distressed, pathetic woman longing for death</w:t>
      </w:r>
      <w:r w:rsidR="00D840EE">
        <w:rPr>
          <w:rFonts w:ascii="Arial" w:hAnsi="Arial" w:cs="Arial"/>
          <w:sz w:val="27"/>
          <w:szCs w:val="27"/>
        </w:rPr>
        <w:t xml:space="preserve"> after being cast aside, presenting he</w:t>
      </w:r>
      <w:r w:rsidR="00297C5F">
        <w:rPr>
          <w:rFonts w:ascii="Arial" w:hAnsi="Arial" w:cs="Arial"/>
          <w:sz w:val="27"/>
          <w:szCs w:val="27"/>
        </w:rPr>
        <w:t>r</w:t>
      </w:r>
      <w:r w:rsidR="00D840EE">
        <w:rPr>
          <w:rFonts w:ascii="Arial" w:hAnsi="Arial" w:cs="Arial"/>
          <w:sz w:val="27"/>
          <w:szCs w:val="27"/>
        </w:rPr>
        <w:t xml:space="preserve"> in</w:t>
      </w:r>
      <w:r w:rsidR="00297C5F">
        <w:rPr>
          <w:rFonts w:ascii="Arial" w:hAnsi="Arial" w:cs="Arial"/>
          <w:sz w:val="27"/>
          <w:szCs w:val="27"/>
        </w:rPr>
        <w:t xml:space="preserve"> what was considered</w:t>
      </w:r>
      <w:r w:rsidR="00D840EE">
        <w:rPr>
          <w:rFonts w:ascii="Arial" w:hAnsi="Arial" w:cs="Arial"/>
          <w:sz w:val="27"/>
          <w:szCs w:val="27"/>
        </w:rPr>
        <w:t xml:space="preserve"> a more acceptable </w:t>
      </w:r>
      <w:r w:rsidR="00297C5F">
        <w:rPr>
          <w:rFonts w:ascii="Arial" w:hAnsi="Arial" w:cs="Arial"/>
          <w:sz w:val="27"/>
          <w:szCs w:val="27"/>
        </w:rPr>
        <w:t xml:space="preserve">reaction </w:t>
      </w:r>
      <w:r w:rsidR="00D840EE">
        <w:rPr>
          <w:rFonts w:ascii="Arial" w:hAnsi="Arial" w:cs="Arial"/>
          <w:sz w:val="27"/>
          <w:szCs w:val="27"/>
        </w:rPr>
        <w:t>for a woman.</w:t>
      </w:r>
      <w:r w:rsidR="00D840EE">
        <w:rPr>
          <w:rStyle w:val="FootnoteReference"/>
          <w:rFonts w:ascii="Arial" w:hAnsi="Arial" w:cs="Arial"/>
          <w:sz w:val="27"/>
          <w:szCs w:val="27"/>
        </w:rPr>
        <w:footnoteReference w:id="33"/>
      </w:r>
    </w:p>
    <w:p w14:paraId="4732C5DE" w14:textId="3E6044D1" w:rsidR="00566688" w:rsidRDefault="00AD65E3">
      <w:pPr>
        <w:rPr>
          <w:rFonts w:ascii="Arial" w:hAnsi="Arial" w:cs="Arial"/>
          <w:sz w:val="27"/>
          <w:szCs w:val="27"/>
        </w:rPr>
      </w:pPr>
      <w:r>
        <w:rPr>
          <w:rFonts w:ascii="Arial" w:hAnsi="Arial" w:cs="Arial"/>
          <w:sz w:val="27"/>
          <w:szCs w:val="27"/>
        </w:rPr>
        <w:t>Furthermore, i</w:t>
      </w:r>
      <w:r w:rsidR="00B8337A">
        <w:rPr>
          <w:rFonts w:ascii="Arial" w:hAnsi="Arial" w:cs="Arial"/>
          <w:sz w:val="27"/>
          <w:szCs w:val="27"/>
        </w:rPr>
        <w:t xml:space="preserve">n seeking revenge on Jason for breaking his oath to </w:t>
      </w:r>
      <w:r w:rsidR="00033418">
        <w:rPr>
          <w:rFonts w:ascii="Arial" w:hAnsi="Arial" w:cs="Arial"/>
          <w:sz w:val="27"/>
          <w:szCs w:val="27"/>
        </w:rPr>
        <w:t xml:space="preserve">her and the gods by abandoning his wife, Medea can be viewed as a divine force seeking retribution for a transgression against the divine order. </w:t>
      </w:r>
      <w:r w:rsidR="00DF190B">
        <w:rPr>
          <w:rFonts w:ascii="Arial" w:hAnsi="Arial" w:cs="Arial"/>
          <w:sz w:val="27"/>
          <w:szCs w:val="27"/>
        </w:rPr>
        <w:t>The Chorus describe</w:t>
      </w:r>
      <w:r w:rsidR="007F3388">
        <w:rPr>
          <w:rFonts w:ascii="Arial" w:hAnsi="Arial" w:cs="Arial"/>
          <w:sz w:val="27"/>
          <w:szCs w:val="27"/>
        </w:rPr>
        <w:t>s</w:t>
      </w:r>
      <w:r w:rsidR="00DF190B">
        <w:rPr>
          <w:rFonts w:ascii="Arial" w:hAnsi="Arial" w:cs="Arial"/>
          <w:sz w:val="27"/>
          <w:szCs w:val="27"/>
        </w:rPr>
        <w:t xml:space="preserve"> Medea going into the house to kill her children as a ‘bloody avenging Fury’, and ‘characterise her no longer as woman and mother, but as a dire supernatural power.’</w:t>
      </w:r>
      <w:r w:rsidR="00DF190B">
        <w:rPr>
          <w:rStyle w:val="FootnoteReference"/>
          <w:rFonts w:ascii="Arial" w:hAnsi="Arial" w:cs="Arial"/>
          <w:sz w:val="27"/>
          <w:szCs w:val="27"/>
        </w:rPr>
        <w:footnoteReference w:id="34"/>
      </w:r>
      <w:r w:rsidR="007F034F">
        <w:rPr>
          <w:rFonts w:ascii="Arial" w:hAnsi="Arial" w:cs="Arial"/>
          <w:sz w:val="27"/>
          <w:szCs w:val="27"/>
        </w:rPr>
        <w:t xml:space="preserve"> </w:t>
      </w:r>
      <w:r w:rsidR="00033418">
        <w:rPr>
          <w:rFonts w:ascii="Arial" w:hAnsi="Arial" w:cs="Arial"/>
          <w:sz w:val="27"/>
          <w:szCs w:val="27"/>
        </w:rPr>
        <w:t xml:space="preserve">Her subversion therefore can be viewed as entirely necessary in the context of being wielded by the gods as a </w:t>
      </w:r>
      <w:r w:rsidR="00EC5687">
        <w:rPr>
          <w:rFonts w:ascii="Arial" w:hAnsi="Arial" w:cs="Arial"/>
          <w:sz w:val="27"/>
          <w:szCs w:val="27"/>
        </w:rPr>
        <w:t>‘deadly instrument’ to destroy Jason.</w:t>
      </w:r>
      <w:r w:rsidR="00EC5687">
        <w:rPr>
          <w:rStyle w:val="FootnoteReference"/>
          <w:rFonts w:ascii="Arial" w:hAnsi="Arial" w:cs="Arial"/>
          <w:sz w:val="27"/>
          <w:szCs w:val="27"/>
        </w:rPr>
        <w:footnoteReference w:id="35"/>
      </w:r>
      <w:r w:rsidR="00723A1C">
        <w:rPr>
          <w:rFonts w:ascii="Arial" w:hAnsi="Arial" w:cs="Arial"/>
          <w:sz w:val="27"/>
          <w:szCs w:val="27"/>
        </w:rPr>
        <w:t xml:space="preserve"> The Chorus highlights the tragedy after the murder of Glauce as an event of the gods: </w:t>
      </w:r>
      <w:r w:rsidR="00723A1C">
        <w:rPr>
          <w:rFonts w:ascii="Arial" w:hAnsi="Arial" w:cs="Arial"/>
          <w:sz w:val="27"/>
          <w:szCs w:val="27"/>
        </w:rPr>
        <w:lastRenderedPageBreak/>
        <w:t>‘Today we see the will of Heaven, blow after blow, bring down on Jason justice and calamity.’</w:t>
      </w:r>
      <w:r w:rsidR="00723A1C">
        <w:rPr>
          <w:rStyle w:val="FootnoteReference"/>
          <w:rFonts w:ascii="Arial" w:hAnsi="Arial" w:cs="Arial"/>
          <w:sz w:val="27"/>
          <w:szCs w:val="27"/>
        </w:rPr>
        <w:footnoteReference w:id="36"/>
      </w:r>
      <w:r w:rsidR="00DF190B">
        <w:rPr>
          <w:rFonts w:ascii="Arial" w:hAnsi="Arial" w:cs="Arial"/>
          <w:sz w:val="27"/>
          <w:szCs w:val="27"/>
        </w:rPr>
        <w:t xml:space="preserve"> </w:t>
      </w:r>
      <w:r w:rsidR="00566688">
        <w:rPr>
          <w:rFonts w:ascii="Arial" w:hAnsi="Arial" w:cs="Arial"/>
          <w:sz w:val="27"/>
          <w:szCs w:val="27"/>
        </w:rPr>
        <w:t xml:space="preserve">Medea’s subversion </w:t>
      </w:r>
      <w:r w:rsidR="001A5CC3">
        <w:rPr>
          <w:rFonts w:ascii="Arial" w:hAnsi="Arial" w:cs="Arial"/>
          <w:sz w:val="27"/>
          <w:szCs w:val="27"/>
        </w:rPr>
        <w:t xml:space="preserve">was arguably therefore </w:t>
      </w:r>
      <w:r w:rsidR="00566688">
        <w:rPr>
          <w:rFonts w:ascii="Arial" w:hAnsi="Arial" w:cs="Arial"/>
          <w:sz w:val="27"/>
          <w:szCs w:val="27"/>
        </w:rPr>
        <w:t>needed to enforce Jason’s failure to perform as an honourable m</w:t>
      </w:r>
      <w:r w:rsidR="00FC43FA">
        <w:rPr>
          <w:rFonts w:ascii="Arial" w:hAnsi="Arial" w:cs="Arial"/>
          <w:sz w:val="27"/>
          <w:szCs w:val="27"/>
        </w:rPr>
        <w:t xml:space="preserve">an with his disloyalty to his wife and breaking of his oaths. </w:t>
      </w:r>
    </w:p>
    <w:p w14:paraId="1E472F9D" w14:textId="0E3CE7DC" w:rsidR="00B724A4" w:rsidRDefault="000860CF">
      <w:pPr>
        <w:rPr>
          <w:rFonts w:ascii="Arial" w:hAnsi="Arial" w:cs="Arial"/>
          <w:sz w:val="26"/>
          <w:szCs w:val="26"/>
        </w:rPr>
      </w:pPr>
      <w:r>
        <w:rPr>
          <w:rFonts w:ascii="Arial" w:hAnsi="Arial" w:cs="Arial"/>
          <w:sz w:val="26"/>
          <w:szCs w:val="26"/>
        </w:rPr>
        <w:t>The failed attempts to categorise Medea as wife, mother</w:t>
      </w:r>
      <w:r w:rsidR="007F3388">
        <w:rPr>
          <w:rFonts w:ascii="Arial" w:hAnsi="Arial" w:cs="Arial"/>
          <w:sz w:val="26"/>
          <w:szCs w:val="26"/>
        </w:rPr>
        <w:t>,</w:t>
      </w:r>
      <w:r>
        <w:rPr>
          <w:rFonts w:ascii="Arial" w:hAnsi="Arial" w:cs="Arial"/>
          <w:sz w:val="26"/>
          <w:szCs w:val="26"/>
        </w:rPr>
        <w:t xml:space="preserve"> and woman lead instead to explicit comparisons of Medea to </w:t>
      </w:r>
      <w:r w:rsidR="00E8733F">
        <w:rPr>
          <w:rFonts w:ascii="Arial" w:hAnsi="Arial" w:cs="Arial"/>
          <w:sz w:val="26"/>
          <w:szCs w:val="26"/>
        </w:rPr>
        <w:t xml:space="preserve">a mythical monster, ‘lioness and bull, storm cloud and lightning, intractable wave and rock’. In transcending </w:t>
      </w:r>
      <w:r w:rsidR="00C130B1">
        <w:rPr>
          <w:rFonts w:ascii="Arial" w:hAnsi="Arial" w:cs="Arial"/>
          <w:sz w:val="26"/>
          <w:szCs w:val="26"/>
        </w:rPr>
        <w:t xml:space="preserve">social </w:t>
      </w:r>
      <w:r w:rsidR="00E8733F">
        <w:rPr>
          <w:rFonts w:ascii="Arial" w:hAnsi="Arial" w:cs="Arial"/>
          <w:sz w:val="26"/>
          <w:szCs w:val="26"/>
        </w:rPr>
        <w:t xml:space="preserve">categories, not only of gender as following Butler’s notion of performativity, but also citizen and </w:t>
      </w:r>
      <w:r w:rsidR="00C130B1">
        <w:rPr>
          <w:rFonts w:ascii="Arial" w:hAnsi="Arial" w:cs="Arial"/>
          <w:sz w:val="26"/>
          <w:szCs w:val="26"/>
        </w:rPr>
        <w:t xml:space="preserve">even human, Medea becomes a terrifyingly warped version of what she was expected to be. This vision </w:t>
      </w:r>
      <w:r w:rsidR="00F5024F">
        <w:rPr>
          <w:rFonts w:ascii="Arial" w:hAnsi="Arial" w:cs="Arial"/>
          <w:sz w:val="26"/>
          <w:szCs w:val="26"/>
        </w:rPr>
        <w:t>of her blatant manipulation and transgression means it is no wonder that she bec</w:t>
      </w:r>
      <w:r w:rsidR="00C03790">
        <w:rPr>
          <w:rFonts w:ascii="Arial" w:hAnsi="Arial" w:cs="Arial"/>
          <w:sz w:val="26"/>
          <w:szCs w:val="26"/>
        </w:rPr>
        <w:t>ame demonise</w:t>
      </w:r>
      <w:r w:rsidR="004D1C5F">
        <w:rPr>
          <w:rFonts w:ascii="Arial" w:hAnsi="Arial" w:cs="Arial"/>
          <w:sz w:val="26"/>
          <w:szCs w:val="26"/>
        </w:rPr>
        <w:t>d by the ancient Greeks.</w:t>
      </w:r>
      <w:r w:rsidR="00DF190B">
        <w:rPr>
          <w:rFonts w:ascii="Arial" w:hAnsi="Arial" w:cs="Arial"/>
          <w:sz w:val="26"/>
          <w:szCs w:val="26"/>
        </w:rPr>
        <w:t xml:space="preserve"> Butler’s theory of gender performativity </w:t>
      </w:r>
      <w:r w:rsidR="00161F1C">
        <w:rPr>
          <w:rFonts w:ascii="Arial" w:hAnsi="Arial" w:cs="Arial"/>
          <w:sz w:val="26"/>
          <w:szCs w:val="26"/>
        </w:rPr>
        <w:t>helps</w:t>
      </w:r>
      <w:r w:rsidR="00DF190B">
        <w:rPr>
          <w:rFonts w:ascii="Arial" w:hAnsi="Arial" w:cs="Arial"/>
          <w:sz w:val="26"/>
          <w:szCs w:val="26"/>
        </w:rPr>
        <w:t xml:space="preserve"> to </w:t>
      </w:r>
      <w:r w:rsidR="00161F1C">
        <w:rPr>
          <w:rFonts w:ascii="Arial" w:hAnsi="Arial" w:cs="Arial"/>
          <w:sz w:val="26"/>
          <w:szCs w:val="26"/>
        </w:rPr>
        <w:t>suggest reasoning for</w:t>
      </w:r>
      <w:r w:rsidR="00DF190B">
        <w:rPr>
          <w:rFonts w:ascii="Arial" w:hAnsi="Arial" w:cs="Arial"/>
          <w:sz w:val="26"/>
          <w:szCs w:val="26"/>
        </w:rPr>
        <w:t xml:space="preserve"> th</w:t>
      </w:r>
      <w:r w:rsidR="007F034F">
        <w:rPr>
          <w:rFonts w:ascii="Arial" w:hAnsi="Arial" w:cs="Arial"/>
          <w:sz w:val="26"/>
          <w:szCs w:val="26"/>
        </w:rPr>
        <w:t xml:space="preserve">e degradation of Medea’s character in </w:t>
      </w:r>
      <w:r w:rsidR="006942F2">
        <w:rPr>
          <w:rFonts w:ascii="Arial" w:hAnsi="Arial" w:cs="Arial"/>
          <w:sz w:val="26"/>
          <w:szCs w:val="26"/>
        </w:rPr>
        <w:t xml:space="preserve">classical literature. </w:t>
      </w:r>
    </w:p>
    <w:p w14:paraId="2784DAF2" w14:textId="5197A5E8" w:rsidR="00E534F6" w:rsidRDefault="004C2800">
      <w:pPr>
        <w:rPr>
          <w:rFonts w:ascii="Arial" w:hAnsi="Arial" w:cs="Arial"/>
          <w:sz w:val="26"/>
          <w:szCs w:val="26"/>
        </w:rPr>
      </w:pPr>
      <w:r>
        <w:rPr>
          <w:rFonts w:ascii="Arial" w:hAnsi="Arial" w:cs="Arial"/>
          <w:sz w:val="26"/>
          <w:szCs w:val="26"/>
        </w:rPr>
        <w:t>As a non-conforming being, Medea’s performance was not regulated, and thus throughout the text she became more and more of a threat</w:t>
      </w:r>
      <w:r w:rsidR="004210AF">
        <w:rPr>
          <w:rFonts w:ascii="Arial" w:hAnsi="Arial" w:cs="Arial"/>
          <w:sz w:val="26"/>
          <w:szCs w:val="26"/>
        </w:rPr>
        <w:t xml:space="preserve"> to the heteronormative systems of power she actively resisted. Her refusal to perform as commanded and failure to reinforce the gender norms by her </w:t>
      </w:r>
      <w:r w:rsidR="0092082B">
        <w:rPr>
          <w:rFonts w:ascii="Arial" w:hAnsi="Arial" w:cs="Arial"/>
          <w:sz w:val="26"/>
          <w:szCs w:val="26"/>
        </w:rPr>
        <w:t xml:space="preserve">practice would aid in dismantling the ‘correct’/’appropriate’ </w:t>
      </w:r>
      <w:r w:rsidR="00D93555">
        <w:rPr>
          <w:rFonts w:ascii="Arial" w:hAnsi="Arial" w:cs="Arial"/>
          <w:sz w:val="26"/>
          <w:szCs w:val="26"/>
        </w:rPr>
        <w:t>notions of gender performance in the ancient world.</w:t>
      </w:r>
      <w:r w:rsidR="00B10C61">
        <w:rPr>
          <w:rFonts w:ascii="Arial" w:hAnsi="Arial" w:cs="Arial"/>
          <w:sz w:val="26"/>
          <w:szCs w:val="26"/>
        </w:rPr>
        <w:t xml:space="preserve"> </w:t>
      </w:r>
    </w:p>
    <w:p w14:paraId="7ADCFE2E" w14:textId="63293311" w:rsidR="00F45266" w:rsidRDefault="00611B41">
      <w:pPr>
        <w:rPr>
          <w:rFonts w:ascii="Arial" w:hAnsi="Arial" w:cs="Arial"/>
          <w:sz w:val="27"/>
          <w:szCs w:val="27"/>
        </w:rPr>
      </w:pPr>
      <w:r>
        <w:rPr>
          <w:rFonts w:ascii="Arial" w:hAnsi="Arial" w:cs="Arial"/>
          <w:sz w:val="27"/>
          <w:szCs w:val="27"/>
        </w:rPr>
        <w:t xml:space="preserve">Butler’s theory is </w:t>
      </w:r>
      <w:r w:rsidR="006C3338">
        <w:rPr>
          <w:rFonts w:ascii="Arial" w:hAnsi="Arial" w:cs="Arial"/>
          <w:sz w:val="27"/>
          <w:szCs w:val="27"/>
        </w:rPr>
        <w:t xml:space="preserve">overall </w:t>
      </w:r>
      <w:r>
        <w:rPr>
          <w:rFonts w:ascii="Arial" w:hAnsi="Arial" w:cs="Arial"/>
          <w:sz w:val="27"/>
          <w:szCs w:val="27"/>
        </w:rPr>
        <w:t>well adapted to be applied</w:t>
      </w:r>
      <w:r w:rsidR="006C3338">
        <w:rPr>
          <w:rFonts w:ascii="Arial" w:hAnsi="Arial" w:cs="Arial"/>
          <w:sz w:val="27"/>
          <w:szCs w:val="27"/>
        </w:rPr>
        <w:t xml:space="preserve"> to </w:t>
      </w:r>
      <w:r w:rsidR="007F3388">
        <w:rPr>
          <w:rFonts w:ascii="Arial" w:hAnsi="Arial" w:cs="Arial"/>
          <w:sz w:val="27"/>
          <w:szCs w:val="27"/>
        </w:rPr>
        <w:t xml:space="preserve">the </w:t>
      </w:r>
      <w:r w:rsidR="006C3338">
        <w:rPr>
          <w:rFonts w:ascii="Arial" w:hAnsi="Arial" w:cs="Arial"/>
          <w:sz w:val="27"/>
          <w:szCs w:val="27"/>
        </w:rPr>
        <w:t xml:space="preserve">analysis of Medea, as well as other </w:t>
      </w:r>
      <w:r w:rsidR="00450377">
        <w:rPr>
          <w:rFonts w:ascii="Arial" w:hAnsi="Arial" w:cs="Arial"/>
          <w:sz w:val="27"/>
          <w:szCs w:val="27"/>
        </w:rPr>
        <w:t>gender non-conforming figures from antiquity, as it offers insight into why one may act in one way but feel another, and how repetition of conforming performance</w:t>
      </w:r>
      <w:r w:rsidR="00B82242">
        <w:rPr>
          <w:rFonts w:ascii="Arial" w:hAnsi="Arial" w:cs="Arial"/>
          <w:sz w:val="27"/>
          <w:szCs w:val="27"/>
        </w:rPr>
        <w:t xml:space="preserve"> can create the appearance </w:t>
      </w:r>
      <w:r w:rsidR="00476BC7">
        <w:rPr>
          <w:rFonts w:ascii="Arial" w:hAnsi="Arial" w:cs="Arial"/>
          <w:sz w:val="27"/>
          <w:szCs w:val="27"/>
        </w:rPr>
        <w:t>of</w:t>
      </w:r>
      <w:r w:rsidR="00EB3642">
        <w:rPr>
          <w:rFonts w:ascii="Arial" w:hAnsi="Arial" w:cs="Arial"/>
          <w:sz w:val="27"/>
          <w:szCs w:val="27"/>
        </w:rPr>
        <w:t xml:space="preserve"> </w:t>
      </w:r>
      <w:r w:rsidR="00B82242">
        <w:rPr>
          <w:rFonts w:ascii="Arial" w:hAnsi="Arial" w:cs="Arial"/>
          <w:sz w:val="27"/>
          <w:szCs w:val="27"/>
        </w:rPr>
        <w:t xml:space="preserve">natural binary. </w:t>
      </w:r>
      <w:r w:rsidR="00476BC7">
        <w:rPr>
          <w:rFonts w:ascii="Arial" w:hAnsi="Arial" w:cs="Arial"/>
          <w:sz w:val="27"/>
          <w:szCs w:val="27"/>
        </w:rPr>
        <w:t xml:space="preserve">The most key part of </w:t>
      </w:r>
      <w:r w:rsidR="00F45266">
        <w:rPr>
          <w:rFonts w:ascii="Arial" w:hAnsi="Arial" w:cs="Arial"/>
          <w:sz w:val="27"/>
          <w:szCs w:val="27"/>
        </w:rPr>
        <w:t xml:space="preserve">Medea’s characterisation </w:t>
      </w:r>
      <w:r w:rsidR="007F3388">
        <w:rPr>
          <w:rFonts w:ascii="Arial" w:hAnsi="Arial" w:cs="Arial"/>
          <w:sz w:val="27"/>
          <w:szCs w:val="27"/>
        </w:rPr>
        <w:t>concerning</w:t>
      </w:r>
      <w:r w:rsidR="00F45266">
        <w:rPr>
          <w:rFonts w:ascii="Arial" w:hAnsi="Arial" w:cs="Arial"/>
          <w:sz w:val="27"/>
          <w:szCs w:val="27"/>
        </w:rPr>
        <w:t xml:space="preserve"> Judith Butler however is arguably </w:t>
      </w:r>
      <w:r w:rsidR="0036240E">
        <w:rPr>
          <w:rFonts w:ascii="Arial" w:hAnsi="Arial" w:cs="Arial"/>
          <w:sz w:val="27"/>
          <w:szCs w:val="27"/>
        </w:rPr>
        <w:t xml:space="preserve">the </w:t>
      </w:r>
      <w:r w:rsidR="005129A9">
        <w:rPr>
          <w:rFonts w:ascii="Arial" w:hAnsi="Arial" w:cs="Arial"/>
          <w:sz w:val="27"/>
          <w:szCs w:val="27"/>
        </w:rPr>
        <w:t xml:space="preserve">reactions </w:t>
      </w:r>
      <w:r w:rsidR="005129A9" w:rsidRPr="00831B78">
        <w:rPr>
          <w:rFonts w:ascii="Arial" w:hAnsi="Arial" w:cs="Arial"/>
          <w:i/>
          <w:iCs/>
          <w:sz w:val="27"/>
          <w:szCs w:val="27"/>
        </w:rPr>
        <w:t>to</w:t>
      </w:r>
      <w:r w:rsidR="005129A9">
        <w:rPr>
          <w:rFonts w:ascii="Arial" w:hAnsi="Arial" w:cs="Arial"/>
          <w:sz w:val="27"/>
          <w:szCs w:val="27"/>
        </w:rPr>
        <w:t xml:space="preserve"> Medea</w:t>
      </w:r>
      <w:r w:rsidR="00831B78">
        <w:rPr>
          <w:rFonts w:ascii="Arial" w:hAnsi="Arial" w:cs="Arial"/>
          <w:sz w:val="27"/>
          <w:szCs w:val="27"/>
        </w:rPr>
        <w:t>’s actions,</w:t>
      </w:r>
      <w:r w:rsidR="005129A9">
        <w:rPr>
          <w:rFonts w:ascii="Arial" w:hAnsi="Arial" w:cs="Arial"/>
          <w:sz w:val="27"/>
          <w:szCs w:val="27"/>
        </w:rPr>
        <w:t xml:space="preserve"> from characters such as Creon, the Nurs</w:t>
      </w:r>
      <w:r w:rsidR="0036240E">
        <w:rPr>
          <w:rFonts w:ascii="Arial" w:hAnsi="Arial" w:cs="Arial"/>
          <w:sz w:val="27"/>
          <w:szCs w:val="27"/>
        </w:rPr>
        <w:t>e</w:t>
      </w:r>
      <w:r w:rsidR="007F3388">
        <w:rPr>
          <w:rFonts w:ascii="Arial" w:hAnsi="Arial" w:cs="Arial"/>
          <w:sz w:val="27"/>
          <w:szCs w:val="27"/>
        </w:rPr>
        <w:t>,</w:t>
      </w:r>
      <w:r w:rsidR="0036240E">
        <w:rPr>
          <w:rFonts w:ascii="Arial" w:hAnsi="Arial" w:cs="Arial"/>
          <w:sz w:val="27"/>
          <w:szCs w:val="27"/>
        </w:rPr>
        <w:t xml:space="preserve"> and </w:t>
      </w:r>
      <w:r w:rsidR="005129A9">
        <w:rPr>
          <w:rFonts w:ascii="Arial" w:hAnsi="Arial" w:cs="Arial"/>
          <w:sz w:val="27"/>
          <w:szCs w:val="27"/>
        </w:rPr>
        <w:t>Jason</w:t>
      </w:r>
      <w:r w:rsidR="001E7DD1">
        <w:rPr>
          <w:rFonts w:ascii="Arial" w:hAnsi="Arial" w:cs="Arial"/>
          <w:sz w:val="27"/>
          <w:szCs w:val="27"/>
        </w:rPr>
        <w:t xml:space="preserve">, as well as the Chorus. </w:t>
      </w:r>
      <w:r w:rsidR="00C51113">
        <w:rPr>
          <w:rFonts w:ascii="Arial" w:hAnsi="Arial" w:cs="Arial"/>
          <w:sz w:val="27"/>
          <w:szCs w:val="27"/>
        </w:rPr>
        <w:t xml:space="preserve">Inspecting </w:t>
      </w:r>
      <w:r w:rsidR="00FC38DC">
        <w:rPr>
          <w:rFonts w:ascii="Arial" w:hAnsi="Arial" w:cs="Arial"/>
          <w:sz w:val="27"/>
          <w:szCs w:val="27"/>
        </w:rPr>
        <w:t xml:space="preserve">how </w:t>
      </w:r>
      <w:r w:rsidR="007F3388">
        <w:rPr>
          <w:rFonts w:ascii="Arial" w:hAnsi="Arial" w:cs="Arial"/>
          <w:sz w:val="27"/>
          <w:szCs w:val="27"/>
        </w:rPr>
        <w:t xml:space="preserve">the </w:t>
      </w:r>
      <w:r w:rsidR="00134081">
        <w:rPr>
          <w:rFonts w:ascii="Arial" w:hAnsi="Arial" w:cs="Arial"/>
          <w:sz w:val="27"/>
          <w:szCs w:val="27"/>
        </w:rPr>
        <w:t>perception of Medea changes from the beginning to the end of the play</w:t>
      </w:r>
      <w:r w:rsidR="00CC37CB">
        <w:rPr>
          <w:rFonts w:ascii="Arial" w:hAnsi="Arial" w:cs="Arial"/>
          <w:sz w:val="27"/>
          <w:szCs w:val="27"/>
        </w:rPr>
        <w:t xml:space="preserve">, the </w:t>
      </w:r>
      <w:r w:rsidR="00F81E33">
        <w:rPr>
          <w:rFonts w:ascii="Arial" w:hAnsi="Arial" w:cs="Arial"/>
          <w:sz w:val="27"/>
          <w:szCs w:val="27"/>
        </w:rPr>
        <w:t>deterioration</w:t>
      </w:r>
      <w:r w:rsidR="00CC37CB">
        <w:rPr>
          <w:rFonts w:ascii="Arial" w:hAnsi="Arial" w:cs="Arial"/>
          <w:sz w:val="27"/>
          <w:szCs w:val="27"/>
        </w:rPr>
        <w:t xml:space="preserve"> of her portrayal from a </w:t>
      </w:r>
      <w:r w:rsidR="00F81E33">
        <w:rPr>
          <w:rFonts w:ascii="Arial" w:hAnsi="Arial" w:cs="Arial"/>
          <w:sz w:val="27"/>
          <w:szCs w:val="27"/>
        </w:rPr>
        <w:t xml:space="preserve">betrayed and sympathetic woman to a supernatural force of evil can be directly linked </w:t>
      </w:r>
      <w:r w:rsidR="000A3D65">
        <w:rPr>
          <w:rFonts w:ascii="Arial" w:hAnsi="Arial" w:cs="Arial"/>
          <w:sz w:val="27"/>
          <w:szCs w:val="27"/>
        </w:rPr>
        <w:t>to</w:t>
      </w:r>
      <w:r w:rsidR="00AD45E4">
        <w:rPr>
          <w:rFonts w:ascii="Arial" w:hAnsi="Arial" w:cs="Arial"/>
          <w:sz w:val="27"/>
          <w:szCs w:val="27"/>
        </w:rPr>
        <w:t xml:space="preserve"> changes in her presentation and her failure to perform appropriately as a female subject.</w:t>
      </w:r>
    </w:p>
    <w:p w14:paraId="30042F55" w14:textId="2854CAB5" w:rsidR="00170408" w:rsidRPr="00D62C7C" w:rsidRDefault="00831B78">
      <w:pPr>
        <w:rPr>
          <w:rFonts w:ascii="Arial" w:hAnsi="Arial" w:cs="Arial"/>
          <w:sz w:val="27"/>
          <w:szCs w:val="27"/>
        </w:rPr>
      </w:pPr>
      <w:r>
        <w:rPr>
          <w:rFonts w:ascii="Arial" w:hAnsi="Arial" w:cs="Arial"/>
          <w:sz w:val="27"/>
          <w:szCs w:val="27"/>
        </w:rPr>
        <w:t>More broadly, a</w:t>
      </w:r>
      <w:r w:rsidR="00B82242">
        <w:rPr>
          <w:rFonts w:ascii="Arial" w:hAnsi="Arial" w:cs="Arial"/>
          <w:sz w:val="27"/>
          <w:szCs w:val="27"/>
        </w:rPr>
        <w:t xml:space="preserve">ncient evidence such as </w:t>
      </w:r>
      <w:r w:rsidR="00EB3642">
        <w:rPr>
          <w:rFonts w:ascii="Arial" w:hAnsi="Arial" w:cs="Arial"/>
          <w:sz w:val="27"/>
          <w:szCs w:val="27"/>
        </w:rPr>
        <w:t>plays,</w:t>
      </w:r>
      <w:r w:rsidR="00B82242">
        <w:rPr>
          <w:rFonts w:ascii="Arial" w:hAnsi="Arial" w:cs="Arial"/>
          <w:sz w:val="27"/>
          <w:szCs w:val="27"/>
        </w:rPr>
        <w:t xml:space="preserve"> and art</w:t>
      </w:r>
      <w:r>
        <w:rPr>
          <w:rFonts w:ascii="Arial" w:hAnsi="Arial" w:cs="Arial"/>
          <w:sz w:val="27"/>
          <w:szCs w:val="27"/>
        </w:rPr>
        <w:t xml:space="preserve"> can</w:t>
      </w:r>
      <w:r w:rsidR="00B82242">
        <w:rPr>
          <w:rFonts w:ascii="Arial" w:hAnsi="Arial" w:cs="Arial"/>
          <w:sz w:val="27"/>
          <w:szCs w:val="27"/>
        </w:rPr>
        <w:t xml:space="preserve"> offer insight into how gender characteristics were exaggerated to convey messages about </w:t>
      </w:r>
      <w:r w:rsidR="00DE4190">
        <w:rPr>
          <w:rFonts w:ascii="Arial" w:hAnsi="Arial" w:cs="Arial"/>
          <w:sz w:val="27"/>
          <w:szCs w:val="27"/>
        </w:rPr>
        <w:t xml:space="preserve">the cultural meaning and weight behind a person’s assigned gender and the accompanying </w:t>
      </w:r>
      <w:r w:rsidR="00EB3642">
        <w:rPr>
          <w:rFonts w:ascii="Arial" w:hAnsi="Arial" w:cs="Arial"/>
          <w:sz w:val="27"/>
          <w:szCs w:val="27"/>
        </w:rPr>
        <w:t>expectations.</w:t>
      </w:r>
      <w:r w:rsidR="00170408">
        <w:rPr>
          <w:rFonts w:ascii="Arial" w:hAnsi="Arial" w:cs="Arial"/>
          <w:sz w:val="27"/>
          <w:szCs w:val="27"/>
        </w:rPr>
        <w:t xml:space="preserve"> </w:t>
      </w:r>
      <w:r w:rsidR="00876501">
        <w:rPr>
          <w:rFonts w:ascii="Arial" w:hAnsi="Arial" w:cs="Arial"/>
          <w:sz w:val="27"/>
          <w:szCs w:val="27"/>
        </w:rPr>
        <w:t xml:space="preserve"> </w:t>
      </w:r>
      <w:r w:rsidR="00CC4C1B">
        <w:rPr>
          <w:rFonts w:ascii="Arial" w:hAnsi="Arial" w:cs="Arial"/>
          <w:sz w:val="27"/>
          <w:szCs w:val="27"/>
        </w:rPr>
        <w:t xml:space="preserve">Applying Judith Butler’s </w:t>
      </w:r>
      <w:r w:rsidR="00B36690">
        <w:rPr>
          <w:rFonts w:ascii="Arial" w:hAnsi="Arial" w:cs="Arial"/>
          <w:sz w:val="27"/>
          <w:szCs w:val="27"/>
        </w:rPr>
        <w:t xml:space="preserve">theory of gender performativity to ancient textual evidence </w:t>
      </w:r>
      <w:r w:rsidR="00D62C7C">
        <w:rPr>
          <w:rFonts w:ascii="Arial" w:hAnsi="Arial" w:cs="Arial"/>
          <w:sz w:val="27"/>
          <w:szCs w:val="27"/>
        </w:rPr>
        <w:t xml:space="preserve">such as Euripides’ </w:t>
      </w:r>
      <w:r w:rsidR="00D62C7C">
        <w:rPr>
          <w:rFonts w:ascii="Arial" w:hAnsi="Arial" w:cs="Arial"/>
          <w:i/>
          <w:iCs/>
          <w:sz w:val="27"/>
          <w:szCs w:val="27"/>
        </w:rPr>
        <w:t xml:space="preserve">Medea </w:t>
      </w:r>
      <w:r w:rsidR="007B08A2">
        <w:rPr>
          <w:rFonts w:ascii="Arial" w:hAnsi="Arial" w:cs="Arial"/>
          <w:sz w:val="27"/>
          <w:szCs w:val="27"/>
        </w:rPr>
        <w:t>is overall very helpful in dissecting not just ancient gender p</w:t>
      </w:r>
      <w:r w:rsidR="00050580">
        <w:rPr>
          <w:rFonts w:ascii="Arial" w:hAnsi="Arial" w:cs="Arial"/>
          <w:sz w:val="27"/>
          <w:szCs w:val="27"/>
        </w:rPr>
        <w:t>ortrayals</w:t>
      </w:r>
      <w:r w:rsidR="007B08A2">
        <w:rPr>
          <w:rFonts w:ascii="Arial" w:hAnsi="Arial" w:cs="Arial"/>
          <w:sz w:val="27"/>
          <w:szCs w:val="27"/>
        </w:rPr>
        <w:t xml:space="preserve"> but also </w:t>
      </w:r>
      <w:r w:rsidR="00CD66D5">
        <w:rPr>
          <w:rFonts w:ascii="Arial" w:hAnsi="Arial" w:cs="Arial"/>
          <w:sz w:val="27"/>
          <w:szCs w:val="27"/>
        </w:rPr>
        <w:t>how well Butler’s ideas can fit into</w:t>
      </w:r>
      <w:r w:rsidR="00050580">
        <w:rPr>
          <w:rFonts w:ascii="Arial" w:hAnsi="Arial" w:cs="Arial"/>
          <w:sz w:val="27"/>
          <w:szCs w:val="27"/>
        </w:rPr>
        <w:t xml:space="preserve"> not just modern gender norms</w:t>
      </w:r>
      <w:r w:rsidR="00876501">
        <w:rPr>
          <w:rFonts w:ascii="Arial" w:hAnsi="Arial" w:cs="Arial"/>
          <w:sz w:val="27"/>
          <w:szCs w:val="27"/>
        </w:rPr>
        <w:t>,</w:t>
      </w:r>
      <w:r w:rsidR="00050580">
        <w:rPr>
          <w:rFonts w:ascii="Arial" w:hAnsi="Arial" w:cs="Arial"/>
          <w:sz w:val="27"/>
          <w:szCs w:val="27"/>
        </w:rPr>
        <w:t xml:space="preserve"> but also </w:t>
      </w:r>
      <w:r w:rsidR="00876501">
        <w:rPr>
          <w:rFonts w:ascii="Arial" w:hAnsi="Arial" w:cs="Arial"/>
          <w:sz w:val="27"/>
          <w:szCs w:val="27"/>
        </w:rPr>
        <w:t xml:space="preserve">aid in examination of social gender conceptions in ancient history. </w:t>
      </w:r>
    </w:p>
    <w:p w14:paraId="33CCACED" w14:textId="64282404" w:rsidR="0068198F" w:rsidRDefault="0068198F">
      <w:pPr>
        <w:rPr>
          <w:rFonts w:ascii="Arial" w:hAnsi="Arial" w:cs="Arial"/>
          <w:sz w:val="26"/>
          <w:szCs w:val="26"/>
        </w:rPr>
      </w:pPr>
    </w:p>
    <w:p w14:paraId="6034D0DF" w14:textId="77777777" w:rsidR="00DA310E" w:rsidRDefault="00DA310E">
      <w:pPr>
        <w:rPr>
          <w:rFonts w:ascii="Arial" w:hAnsi="Arial" w:cs="Arial"/>
          <w:sz w:val="26"/>
          <w:szCs w:val="26"/>
        </w:rPr>
      </w:pPr>
    </w:p>
    <w:p w14:paraId="14B8EBB8" w14:textId="77777777" w:rsidR="00DA310E" w:rsidRDefault="00DA310E">
      <w:pPr>
        <w:rPr>
          <w:rFonts w:ascii="Arial" w:hAnsi="Arial" w:cs="Arial"/>
          <w:sz w:val="26"/>
          <w:szCs w:val="26"/>
        </w:rPr>
      </w:pPr>
    </w:p>
    <w:p w14:paraId="11DF7733" w14:textId="77777777" w:rsidR="00DA310E" w:rsidRDefault="00DA310E">
      <w:pPr>
        <w:rPr>
          <w:rFonts w:ascii="Arial" w:hAnsi="Arial" w:cs="Arial"/>
          <w:sz w:val="26"/>
          <w:szCs w:val="26"/>
        </w:rPr>
      </w:pPr>
    </w:p>
    <w:p w14:paraId="4243855F" w14:textId="77777777" w:rsidR="00DA310E" w:rsidRDefault="00DA310E">
      <w:pPr>
        <w:rPr>
          <w:rFonts w:ascii="Arial" w:hAnsi="Arial" w:cs="Arial"/>
          <w:sz w:val="26"/>
          <w:szCs w:val="26"/>
        </w:rPr>
      </w:pPr>
    </w:p>
    <w:p w14:paraId="15DC88B0" w14:textId="77777777" w:rsidR="00DA310E" w:rsidRDefault="00DA310E">
      <w:pPr>
        <w:rPr>
          <w:rFonts w:ascii="Arial" w:hAnsi="Arial" w:cs="Arial"/>
          <w:sz w:val="26"/>
          <w:szCs w:val="26"/>
        </w:rPr>
      </w:pPr>
    </w:p>
    <w:p w14:paraId="386FFA84" w14:textId="77777777" w:rsidR="00DA310E" w:rsidRDefault="00DA310E">
      <w:pPr>
        <w:rPr>
          <w:rFonts w:ascii="Arial" w:hAnsi="Arial" w:cs="Arial"/>
          <w:sz w:val="26"/>
          <w:szCs w:val="26"/>
        </w:rPr>
      </w:pPr>
    </w:p>
    <w:p w14:paraId="15265B7E" w14:textId="77777777" w:rsidR="00DA310E" w:rsidRDefault="00DA310E">
      <w:pPr>
        <w:rPr>
          <w:rFonts w:ascii="Arial" w:hAnsi="Arial" w:cs="Arial"/>
          <w:sz w:val="26"/>
          <w:szCs w:val="26"/>
        </w:rPr>
      </w:pPr>
    </w:p>
    <w:p w14:paraId="38A7BF55" w14:textId="77777777" w:rsidR="00DA310E" w:rsidRPr="00DA310E" w:rsidRDefault="00DA310E" w:rsidP="00DA310E">
      <w:pPr>
        <w:spacing w:after="240" w:line="360" w:lineRule="auto"/>
        <w:outlineLvl w:val="0"/>
        <w:rPr>
          <w:rFonts w:ascii="Arial" w:eastAsia="Times New Roman" w:hAnsi="Arial" w:cs="Arial"/>
          <w:b/>
          <w:bCs/>
          <w:kern w:val="36"/>
          <w:sz w:val="39"/>
          <w:szCs w:val="39"/>
          <w:lang w:eastAsia="en-GB"/>
          <w14:ligatures w14:val="none"/>
        </w:rPr>
      </w:pPr>
      <w:r w:rsidRPr="00DA310E">
        <w:rPr>
          <w:rFonts w:ascii="Arial" w:eastAsia="Times New Roman" w:hAnsi="Arial" w:cs="Arial"/>
          <w:b/>
          <w:bCs/>
          <w:kern w:val="36"/>
          <w:sz w:val="39"/>
          <w:szCs w:val="39"/>
          <w:lang w:eastAsia="en-GB"/>
          <w14:ligatures w14:val="none"/>
        </w:rPr>
        <w:t>Bibliography</w:t>
      </w:r>
    </w:p>
    <w:p w14:paraId="1663FA05" w14:textId="77777777" w:rsidR="00DA310E" w:rsidRPr="00DA310E" w:rsidRDefault="00DA310E" w:rsidP="00DA310E">
      <w:pPr>
        <w:spacing w:after="240" w:line="360" w:lineRule="auto"/>
        <w:ind w:hanging="720"/>
        <w:rPr>
          <w:rFonts w:ascii="Arial" w:eastAsia="Times New Roman" w:hAnsi="Arial" w:cs="Arial"/>
          <w:kern w:val="0"/>
          <w:sz w:val="26"/>
          <w:szCs w:val="26"/>
          <w:lang w:eastAsia="en-GB"/>
          <w14:ligatures w14:val="none"/>
        </w:rPr>
      </w:pPr>
      <w:r w:rsidRPr="00DA310E">
        <w:rPr>
          <w:rFonts w:ascii="Arial" w:eastAsia="Times New Roman" w:hAnsi="Arial" w:cs="Arial"/>
          <w:kern w:val="0"/>
          <w:sz w:val="26"/>
          <w:szCs w:val="26"/>
          <w:lang w:eastAsia="en-GB"/>
          <w14:ligatures w14:val="none"/>
        </w:rPr>
        <w:t xml:space="preserve">Boedeker, Deborah, ‘Becoming Medea: Assimilation in Euripides’, in </w:t>
      </w:r>
      <w:r w:rsidRPr="00DA310E">
        <w:rPr>
          <w:rFonts w:ascii="Arial" w:eastAsia="Times New Roman" w:hAnsi="Arial" w:cs="Arial"/>
          <w:i/>
          <w:iCs/>
          <w:kern w:val="0"/>
          <w:sz w:val="26"/>
          <w:szCs w:val="26"/>
          <w:lang w:eastAsia="en-GB"/>
          <w14:ligatures w14:val="none"/>
        </w:rPr>
        <w:t>Medea: Essays on Medea in Myth, Literature, Philosophy and Art</w:t>
      </w:r>
      <w:r w:rsidRPr="00DA310E">
        <w:rPr>
          <w:rFonts w:ascii="Arial" w:eastAsia="Times New Roman" w:hAnsi="Arial" w:cs="Arial"/>
          <w:kern w:val="0"/>
          <w:sz w:val="26"/>
          <w:szCs w:val="26"/>
          <w:lang w:eastAsia="en-GB"/>
          <w14:ligatures w14:val="none"/>
        </w:rPr>
        <w:t>, ed. by James J Clauss and Sarah Iles Johnston (Princeton University Press, 1997), pp. 127–</w:t>
      </w:r>
      <w:proofErr w:type="gramStart"/>
      <w:r w:rsidRPr="00DA310E">
        <w:rPr>
          <w:rFonts w:ascii="Arial" w:eastAsia="Times New Roman" w:hAnsi="Arial" w:cs="Arial"/>
          <w:kern w:val="0"/>
          <w:sz w:val="26"/>
          <w:szCs w:val="26"/>
          <w:lang w:eastAsia="en-GB"/>
          <w14:ligatures w14:val="none"/>
        </w:rPr>
        <w:t>48</w:t>
      </w:r>
      <w:proofErr w:type="gramEnd"/>
    </w:p>
    <w:p w14:paraId="147B5900" w14:textId="77777777" w:rsidR="00DA310E" w:rsidRPr="00DA310E" w:rsidRDefault="00DA310E" w:rsidP="00DA310E">
      <w:pPr>
        <w:spacing w:after="240" w:line="360" w:lineRule="auto"/>
        <w:ind w:hanging="720"/>
        <w:rPr>
          <w:rFonts w:ascii="Arial" w:eastAsia="Times New Roman" w:hAnsi="Arial" w:cs="Arial"/>
          <w:kern w:val="0"/>
          <w:sz w:val="26"/>
          <w:szCs w:val="26"/>
          <w:lang w:eastAsia="en-GB"/>
          <w14:ligatures w14:val="none"/>
        </w:rPr>
      </w:pPr>
      <w:r w:rsidRPr="00DA310E">
        <w:rPr>
          <w:rFonts w:ascii="Arial" w:eastAsia="Times New Roman" w:hAnsi="Arial" w:cs="Arial"/>
          <w:kern w:val="0"/>
          <w:sz w:val="26"/>
          <w:szCs w:val="26"/>
          <w:lang w:eastAsia="en-GB"/>
          <w14:ligatures w14:val="none"/>
        </w:rPr>
        <w:t xml:space="preserve">Brady, Anita, and Tony Schirato, </w:t>
      </w:r>
      <w:r w:rsidRPr="00DA310E">
        <w:rPr>
          <w:rFonts w:ascii="Arial" w:eastAsia="Times New Roman" w:hAnsi="Arial" w:cs="Arial"/>
          <w:i/>
          <w:iCs/>
          <w:kern w:val="0"/>
          <w:sz w:val="26"/>
          <w:szCs w:val="26"/>
          <w:lang w:eastAsia="en-GB"/>
          <w14:ligatures w14:val="none"/>
        </w:rPr>
        <w:t>Understanding Judith Butler</w:t>
      </w:r>
      <w:r w:rsidRPr="00DA310E">
        <w:rPr>
          <w:rFonts w:ascii="Arial" w:eastAsia="Times New Roman" w:hAnsi="Arial" w:cs="Arial"/>
          <w:kern w:val="0"/>
          <w:sz w:val="26"/>
          <w:szCs w:val="26"/>
          <w:lang w:eastAsia="en-GB"/>
          <w14:ligatures w14:val="none"/>
        </w:rPr>
        <w:t xml:space="preserve"> (Los Angeles Sage, 2011)</w:t>
      </w:r>
    </w:p>
    <w:p w14:paraId="5B121DE7" w14:textId="77777777" w:rsidR="00DA310E" w:rsidRPr="00DA310E" w:rsidRDefault="00DA310E" w:rsidP="00DA310E">
      <w:pPr>
        <w:spacing w:after="240" w:line="360" w:lineRule="auto"/>
        <w:ind w:hanging="720"/>
        <w:rPr>
          <w:rFonts w:ascii="Arial" w:eastAsia="Times New Roman" w:hAnsi="Arial" w:cs="Arial"/>
          <w:kern w:val="0"/>
          <w:sz w:val="26"/>
          <w:szCs w:val="26"/>
          <w:lang w:eastAsia="en-GB"/>
          <w14:ligatures w14:val="none"/>
        </w:rPr>
      </w:pPr>
      <w:r w:rsidRPr="00DA310E">
        <w:rPr>
          <w:rFonts w:ascii="Arial" w:eastAsia="Times New Roman" w:hAnsi="Arial" w:cs="Arial"/>
          <w:kern w:val="0"/>
          <w:sz w:val="26"/>
          <w:szCs w:val="26"/>
          <w:lang w:eastAsia="en-GB"/>
          <w14:ligatures w14:val="none"/>
        </w:rPr>
        <w:t xml:space="preserve">Butler, Judith, ‘Performative Acts and Gender Constitution: An Essay in Phenomenology and Feminist Theory’, </w:t>
      </w:r>
      <w:r w:rsidRPr="00DA310E">
        <w:rPr>
          <w:rFonts w:ascii="Arial" w:eastAsia="Times New Roman" w:hAnsi="Arial" w:cs="Arial"/>
          <w:i/>
          <w:iCs/>
          <w:kern w:val="0"/>
          <w:sz w:val="26"/>
          <w:szCs w:val="26"/>
          <w:lang w:eastAsia="en-GB"/>
          <w14:ligatures w14:val="none"/>
        </w:rPr>
        <w:t>Theatre Journal</w:t>
      </w:r>
      <w:r w:rsidRPr="00DA310E">
        <w:rPr>
          <w:rFonts w:ascii="Arial" w:eastAsia="Times New Roman" w:hAnsi="Arial" w:cs="Arial"/>
          <w:kern w:val="0"/>
          <w:sz w:val="26"/>
          <w:szCs w:val="26"/>
          <w:lang w:eastAsia="en-GB"/>
          <w14:ligatures w14:val="none"/>
        </w:rPr>
        <w:t>, 40.4 (1988), 519–31 &lt;https://www.jstor.org/stable/3207893&gt;</w:t>
      </w:r>
    </w:p>
    <w:p w14:paraId="61121D01" w14:textId="77777777" w:rsidR="00DA310E" w:rsidRPr="00DA310E" w:rsidRDefault="00DA310E" w:rsidP="00DA310E">
      <w:pPr>
        <w:spacing w:after="240" w:line="360" w:lineRule="auto"/>
        <w:ind w:hanging="720"/>
        <w:rPr>
          <w:rFonts w:ascii="Arial" w:eastAsia="Times New Roman" w:hAnsi="Arial" w:cs="Arial"/>
          <w:kern w:val="0"/>
          <w:sz w:val="26"/>
          <w:szCs w:val="26"/>
          <w:lang w:eastAsia="en-GB"/>
          <w14:ligatures w14:val="none"/>
        </w:rPr>
      </w:pPr>
      <w:r w:rsidRPr="00DA310E">
        <w:rPr>
          <w:rFonts w:ascii="Arial" w:eastAsia="Times New Roman" w:hAnsi="Arial" w:cs="Arial"/>
          <w:kern w:val="0"/>
          <w:sz w:val="26"/>
          <w:szCs w:val="26"/>
          <w:lang w:eastAsia="en-GB"/>
          <w14:ligatures w14:val="none"/>
        </w:rPr>
        <w:t xml:space="preserve">C A E </w:t>
      </w:r>
      <w:proofErr w:type="spellStart"/>
      <w:r w:rsidRPr="00DA310E">
        <w:rPr>
          <w:rFonts w:ascii="Arial" w:eastAsia="Times New Roman" w:hAnsi="Arial" w:cs="Arial"/>
          <w:kern w:val="0"/>
          <w:sz w:val="26"/>
          <w:szCs w:val="26"/>
          <w:lang w:eastAsia="en-GB"/>
          <w14:ligatures w14:val="none"/>
        </w:rPr>
        <w:t>Luschnig</w:t>
      </w:r>
      <w:proofErr w:type="spellEnd"/>
      <w:r w:rsidRPr="00DA310E">
        <w:rPr>
          <w:rFonts w:ascii="Arial" w:eastAsia="Times New Roman" w:hAnsi="Arial" w:cs="Arial"/>
          <w:kern w:val="0"/>
          <w:sz w:val="26"/>
          <w:szCs w:val="26"/>
          <w:lang w:eastAsia="en-GB"/>
          <w14:ligatures w14:val="none"/>
        </w:rPr>
        <w:t xml:space="preserve">, </w:t>
      </w:r>
      <w:r w:rsidRPr="00DA310E">
        <w:rPr>
          <w:rFonts w:ascii="Arial" w:eastAsia="Times New Roman" w:hAnsi="Arial" w:cs="Arial"/>
          <w:i/>
          <w:iCs/>
          <w:kern w:val="0"/>
          <w:sz w:val="26"/>
          <w:szCs w:val="26"/>
          <w:lang w:eastAsia="en-GB"/>
          <w14:ligatures w14:val="none"/>
        </w:rPr>
        <w:t xml:space="preserve">Granddaughter of the </w:t>
      </w:r>
      <w:proofErr w:type="gramStart"/>
      <w:r w:rsidRPr="00DA310E">
        <w:rPr>
          <w:rFonts w:ascii="Arial" w:eastAsia="Times New Roman" w:hAnsi="Arial" w:cs="Arial"/>
          <w:i/>
          <w:iCs/>
          <w:kern w:val="0"/>
          <w:sz w:val="26"/>
          <w:szCs w:val="26"/>
          <w:lang w:eastAsia="en-GB"/>
          <w14:ligatures w14:val="none"/>
        </w:rPr>
        <w:t>Sun :</w:t>
      </w:r>
      <w:proofErr w:type="gramEnd"/>
      <w:r w:rsidRPr="00DA310E">
        <w:rPr>
          <w:rFonts w:ascii="Arial" w:eastAsia="Times New Roman" w:hAnsi="Arial" w:cs="Arial"/>
          <w:i/>
          <w:iCs/>
          <w:kern w:val="0"/>
          <w:sz w:val="26"/>
          <w:szCs w:val="26"/>
          <w:lang w:eastAsia="en-GB"/>
          <w14:ligatures w14:val="none"/>
        </w:rPr>
        <w:t xml:space="preserve"> A Study of Euripides’ Medea</w:t>
      </w:r>
      <w:r w:rsidRPr="00DA310E">
        <w:rPr>
          <w:rFonts w:ascii="Arial" w:eastAsia="Times New Roman" w:hAnsi="Arial" w:cs="Arial"/>
          <w:kern w:val="0"/>
          <w:sz w:val="26"/>
          <w:szCs w:val="26"/>
          <w:lang w:eastAsia="en-GB"/>
          <w14:ligatures w14:val="none"/>
        </w:rPr>
        <w:t xml:space="preserve"> (Leiden ; Boston: Brill, 2007)</w:t>
      </w:r>
    </w:p>
    <w:p w14:paraId="0EEF9365" w14:textId="77777777" w:rsidR="00DA310E" w:rsidRPr="00DA310E" w:rsidRDefault="00DA310E" w:rsidP="00DA310E">
      <w:pPr>
        <w:spacing w:after="240" w:line="360" w:lineRule="auto"/>
        <w:ind w:hanging="720"/>
        <w:rPr>
          <w:rFonts w:ascii="Arial" w:eastAsia="Times New Roman" w:hAnsi="Arial" w:cs="Arial"/>
          <w:kern w:val="0"/>
          <w:sz w:val="26"/>
          <w:szCs w:val="26"/>
          <w:lang w:eastAsia="en-GB"/>
          <w14:ligatures w14:val="none"/>
        </w:rPr>
      </w:pPr>
      <w:r w:rsidRPr="00DA310E">
        <w:rPr>
          <w:rFonts w:ascii="Arial" w:eastAsia="Times New Roman" w:hAnsi="Arial" w:cs="Arial"/>
          <w:kern w:val="0"/>
          <w:sz w:val="26"/>
          <w:szCs w:val="26"/>
          <w:lang w:eastAsia="en-GB"/>
          <w14:ligatures w14:val="none"/>
        </w:rPr>
        <w:t xml:space="preserve">Cartwright, Mark, ‘Scylla and Charybdis’, </w:t>
      </w:r>
      <w:r w:rsidRPr="00DA310E">
        <w:rPr>
          <w:rFonts w:ascii="Arial" w:eastAsia="Times New Roman" w:hAnsi="Arial" w:cs="Arial"/>
          <w:i/>
          <w:iCs/>
          <w:kern w:val="0"/>
          <w:sz w:val="26"/>
          <w:szCs w:val="26"/>
          <w:lang w:eastAsia="en-GB"/>
          <w14:ligatures w14:val="none"/>
        </w:rPr>
        <w:t xml:space="preserve">World History </w:t>
      </w:r>
      <w:proofErr w:type="spellStart"/>
      <w:r w:rsidRPr="00DA310E">
        <w:rPr>
          <w:rFonts w:ascii="Arial" w:eastAsia="Times New Roman" w:hAnsi="Arial" w:cs="Arial"/>
          <w:i/>
          <w:iCs/>
          <w:kern w:val="0"/>
          <w:sz w:val="26"/>
          <w:szCs w:val="26"/>
          <w:lang w:eastAsia="en-GB"/>
          <w14:ligatures w14:val="none"/>
        </w:rPr>
        <w:t>Encyclopedia</w:t>
      </w:r>
      <w:proofErr w:type="spellEnd"/>
      <w:r w:rsidRPr="00DA310E">
        <w:rPr>
          <w:rFonts w:ascii="Arial" w:eastAsia="Times New Roman" w:hAnsi="Arial" w:cs="Arial"/>
          <w:kern w:val="0"/>
          <w:sz w:val="26"/>
          <w:szCs w:val="26"/>
          <w:lang w:eastAsia="en-GB"/>
          <w14:ligatures w14:val="none"/>
        </w:rPr>
        <w:t>, 2017 &lt;https://www.worldhistory.org/Scylla_and_Charybdis/&gt;</w:t>
      </w:r>
    </w:p>
    <w:p w14:paraId="17F64FFA" w14:textId="77777777" w:rsidR="00DA310E" w:rsidRPr="00DA310E" w:rsidRDefault="00DA310E" w:rsidP="00DA310E">
      <w:pPr>
        <w:spacing w:after="240" w:line="360" w:lineRule="auto"/>
        <w:ind w:hanging="720"/>
        <w:rPr>
          <w:rFonts w:ascii="Arial" w:eastAsia="Times New Roman" w:hAnsi="Arial" w:cs="Arial"/>
          <w:kern w:val="0"/>
          <w:sz w:val="26"/>
          <w:szCs w:val="26"/>
          <w:lang w:eastAsia="en-GB"/>
          <w14:ligatures w14:val="none"/>
        </w:rPr>
      </w:pPr>
      <w:r w:rsidRPr="00DA310E">
        <w:rPr>
          <w:rFonts w:ascii="Arial" w:eastAsia="Times New Roman" w:hAnsi="Arial" w:cs="Arial"/>
          <w:kern w:val="0"/>
          <w:sz w:val="26"/>
          <w:szCs w:val="26"/>
          <w:lang w:eastAsia="en-GB"/>
          <w14:ligatures w14:val="none"/>
        </w:rPr>
        <w:t xml:space="preserve">Euripides, </w:t>
      </w:r>
      <w:proofErr w:type="gramStart"/>
      <w:r w:rsidRPr="00DA310E">
        <w:rPr>
          <w:rFonts w:ascii="Arial" w:eastAsia="Times New Roman" w:hAnsi="Arial" w:cs="Arial"/>
          <w:i/>
          <w:iCs/>
          <w:kern w:val="0"/>
          <w:sz w:val="26"/>
          <w:szCs w:val="26"/>
          <w:lang w:eastAsia="en-GB"/>
          <w14:ligatures w14:val="none"/>
        </w:rPr>
        <w:t>Medea</w:t>
      </w:r>
      <w:proofErr w:type="gramEnd"/>
      <w:r w:rsidRPr="00DA310E">
        <w:rPr>
          <w:rFonts w:ascii="Arial" w:eastAsia="Times New Roman" w:hAnsi="Arial" w:cs="Arial"/>
          <w:i/>
          <w:iCs/>
          <w:kern w:val="0"/>
          <w:sz w:val="26"/>
          <w:szCs w:val="26"/>
          <w:lang w:eastAsia="en-GB"/>
          <w14:ligatures w14:val="none"/>
        </w:rPr>
        <w:t xml:space="preserve"> and Other Plays</w:t>
      </w:r>
      <w:r w:rsidRPr="00DA310E">
        <w:rPr>
          <w:rFonts w:ascii="Arial" w:eastAsia="Times New Roman" w:hAnsi="Arial" w:cs="Arial"/>
          <w:kern w:val="0"/>
          <w:sz w:val="26"/>
          <w:szCs w:val="26"/>
          <w:lang w:eastAsia="en-GB"/>
          <w14:ligatures w14:val="none"/>
        </w:rPr>
        <w:t xml:space="preserve"> (Penguin UK, 2003)</w:t>
      </w:r>
    </w:p>
    <w:p w14:paraId="5F66EBD5" w14:textId="77777777" w:rsidR="00DA310E" w:rsidRPr="00DA310E" w:rsidRDefault="00DA310E" w:rsidP="00DA310E">
      <w:pPr>
        <w:spacing w:after="240" w:line="360" w:lineRule="auto"/>
        <w:ind w:hanging="720"/>
        <w:rPr>
          <w:rFonts w:ascii="Arial" w:eastAsia="Times New Roman" w:hAnsi="Arial" w:cs="Arial"/>
          <w:kern w:val="0"/>
          <w:sz w:val="26"/>
          <w:szCs w:val="26"/>
          <w:lang w:eastAsia="en-GB"/>
          <w14:ligatures w14:val="none"/>
        </w:rPr>
      </w:pPr>
      <w:r w:rsidRPr="00DA310E">
        <w:rPr>
          <w:rFonts w:ascii="Arial" w:eastAsia="Times New Roman" w:hAnsi="Arial" w:cs="Arial"/>
          <w:kern w:val="0"/>
          <w:sz w:val="26"/>
          <w:szCs w:val="26"/>
          <w:lang w:eastAsia="en-GB"/>
          <w14:ligatures w14:val="none"/>
        </w:rPr>
        <w:t xml:space="preserve">Figes, Lydia, ‘Representing Medea: The Tale of a Mythical Murderess | Art UK’, </w:t>
      </w:r>
      <w:r w:rsidRPr="00DA310E">
        <w:rPr>
          <w:rFonts w:ascii="Arial" w:eastAsia="Times New Roman" w:hAnsi="Arial" w:cs="Arial"/>
          <w:i/>
          <w:iCs/>
          <w:kern w:val="0"/>
          <w:sz w:val="26"/>
          <w:szCs w:val="26"/>
          <w:lang w:eastAsia="en-GB"/>
          <w14:ligatures w14:val="none"/>
        </w:rPr>
        <w:t>Artuk.org</w:t>
      </w:r>
      <w:r w:rsidRPr="00DA310E">
        <w:rPr>
          <w:rFonts w:ascii="Arial" w:eastAsia="Times New Roman" w:hAnsi="Arial" w:cs="Arial"/>
          <w:kern w:val="0"/>
          <w:sz w:val="26"/>
          <w:szCs w:val="26"/>
          <w:lang w:eastAsia="en-GB"/>
          <w14:ligatures w14:val="none"/>
        </w:rPr>
        <w:t>, 2020 &lt;https://artuk.org/discover/stories/representing-medea-the-tale-of-a-mythical-murderess&gt;</w:t>
      </w:r>
    </w:p>
    <w:p w14:paraId="0A722532" w14:textId="77777777" w:rsidR="00DA310E" w:rsidRPr="00DA310E" w:rsidRDefault="00DA310E" w:rsidP="00DA310E">
      <w:pPr>
        <w:spacing w:after="240" w:line="360" w:lineRule="auto"/>
        <w:ind w:hanging="720"/>
        <w:rPr>
          <w:rFonts w:ascii="Arial" w:eastAsia="Times New Roman" w:hAnsi="Arial" w:cs="Arial"/>
          <w:kern w:val="0"/>
          <w:sz w:val="26"/>
          <w:szCs w:val="26"/>
          <w:lang w:eastAsia="en-GB"/>
          <w14:ligatures w14:val="none"/>
        </w:rPr>
      </w:pPr>
      <w:r w:rsidRPr="00DA310E">
        <w:rPr>
          <w:rFonts w:ascii="Arial" w:eastAsia="Times New Roman" w:hAnsi="Arial" w:cs="Arial"/>
          <w:kern w:val="0"/>
          <w:sz w:val="26"/>
          <w:szCs w:val="26"/>
          <w:lang w:eastAsia="en-GB"/>
          <w14:ligatures w14:val="none"/>
        </w:rPr>
        <w:t>Gabriel, Katherine, ‘Performing Femininity: Gender in Ancient Greek Myth’ (unpublished Senior Thesis, 2016), pp. 1–</w:t>
      </w:r>
      <w:proofErr w:type="gramStart"/>
      <w:r w:rsidRPr="00DA310E">
        <w:rPr>
          <w:rFonts w:ascii="Arial" w:eastAsia="Times New Roman" w:hAnsi="Arial" w:cs="Arial"/>
          <w:kern w:val="0"/>
          <w:sz w:val="26"/>
          <w:szCs w:val="26"/>
          <w:lang w:eastAsia="en-GB"/>
          <w14:ligatures w14:val="none"/>
        </w:rPr>
        <w:t>129</w:t>
      </w:r>
      <w:proofErr w:type="gramEnd"/>
    </w:p>
    <w:p w14:paraId="5809A855" w14:textId="77777777" w:rsidR="00DA310E" w:rsidRPr="00DA310E" w:rsidRDefault="00DA310E" w:rsidP="00DA310E">
      <w:pPr>
        <w:spacing w:after="240" w:line="360" w:lineRule="auto"/>
        <w:ind w:hanging="720"/>
        <w:rPr>
          <w:rFonts w:ascii="Arial" w:eastAsia="Times New Roman" w:hAnsi="Arial" w:cs="Arial"/>
          <w:kern w:val="0"/>
          <w:sz w:val="26"/>
          <w:szCs w:val="26"/>
          <w:lang w:eastAsia="en-GB"/>
          <w14:ligatures w14:val="none"/>
        </w:rPr>
      </w:pPr>
      <w:r w:rsidRPr="00DA310E">
        <w:rPr>
          <w:rFonts w:ascii="Arial" w:eastAsia="Times New Roman" w:hAnsi="Arial" w:cs="Arial"/>
          <w:kern w:val="0"/>
          <w:sz w:val="26"/>
          <w:szCs w:val="26"/>
          <w:lang w:eastAsia="en-GB"/>
          <w14:ligatures w14:val="none"/>
        </w:rPr>
        <w:t xml:space="preserve">Harris, Laura, ‘Barbarian or Greek Murder? Medea’s Gift of Clothing and Identity in Euripides’ Medea’, </w:t>
      </w:r>
      <w:r w:rsidRPr="00DA310E">
        <w:rPr>
          <w:rFonts w:ascii="Arial" w:eastAsia="Times New Roman" w:hAnsi="Arial" w:cs="Arial"/>
          <w:i/>
          <w:iCs/>
          <w:kern w:val="0"/>
          <w:sz w:val="26"/>
          <w:szCs w:val="26"/>
          <w:lang w:eastAsia="en-GB"/>
          <w14:ligatures w14:val="none"/>
        </w:rPr>
        <w:t>Plebeian</w:t>
      </w:r>
      <w:r w:rsidRPr="00DA310E">
        <w:rPr>
          <w:rFonts w:ascii="Arial" w:eastAsia="Times New Roman" w:hAnsi="Arial" w:cs="Arial"/>
          <w:kern w:val="0"/>
          <w:sz w:val="26"/>
          <w:szCs w:val="26"/>
          <w:lang w:eastAsia="en-GB"/>
          <w14:ligatures w14:val="none"/>
        </w:rPr>
        <w:t>, 3 (2017), 23–36</w:t>
      </w:r>
    </w:p>
    <w:p w14:paraId="058BB56D" w14:textId="77777777" w:rsidR="00DA310E" w:rsidRPr="00DA310E" w:rsidRDefault="00DA310E" w:rsidP="00DA310E">
      <w:pPr>
        <w:spacing w:after="240" w:line="360" w:lineRule="auto"/>
        <w:ind w:hanging="720"/>
        <w:rPr>
          <w:rFonts w:ascii="Arial" w:eastAsia="Times New Roman" w:hAnsi="Arial" w:cs="Arial"/>
          <w:kern w:val="0"/>
          <w:sz w:val="26"/>
          <w:szCs w:val="26"/>
          <w:lang w:eastAsia="en-GB"/>
          <w14:ligatures w14:val="none"/>
        </w:rPr>
      </w:pPr>
      <w:r w:rsidRPr="00DA310E">
        <w:rPr>
          <w:rFonts w:ascii="Arial" w:eastAsia="Times New Roman" w:hAnsi="Arial" w:cs="Arial"/>
          <w:kern w:val="0"/>
          <w:sz w:val="26"/>
          <w:szCs w:val="26"/>
          <w:lang w:eastAsia="en-GB"/>
          <w14:ligatures w14:val="none"/>
        </w:rPr>
        <w:t xml:space="preserve">Homer, </w:t>
      </w:r>
      <w:r w:rsidRPr="00DA310E">
        <w:rPr>
          <w:rFonts w:ascii="Arial" w:eastAsia="Times New Roman" w:hAnsi="Arial" w:cs="Arial"/>
          <w:i/>
          <w:iCs/>
          <w:kern w:val="0"/>
          <w:sz w:val="26"/>
          <w:szCs w:val="26"/>
          <w:lang w:eastAsia="en-GB"/>
          <w14:ligatures w14:val="none"/>
        </w:rPr>
        <w:t>The Odyssey</w:t>
      </w:r>
      <w:r w:rsidRPr="00DA310E">
        <w:rPr>
          <w:rFonts w:ascii="Arial" w:eastAsia="Times New Roman" w:hAnsi="Arial" w:cs="Arial"/>
          <w:kern w:val="0"/>
          <w:sz w:val="26"/>
          <w:szCs w:val="26"/>
          <w:lang w:eastAsia="en-GB"/>
          <w14:ligatures w14:val="none"/>
        </w:rPr>
        <w:t xml:space="preserve"> (</w:t>
      </w:r>
      <w:proofErr w:type="gramStart"/>
      <w:r w:rsidRPr="00DA310E">
        <w:rPr>
          <w:rFonts w:ascii="Arial" w:eastAsia="Times New Roman" w:hAnsi="Arial" w:cs="Arial"/>
          <w:kern w:val="0"/>
          <w:sz w:val="26"/>
          <w:szCs w:val="26"/>
          <w:lang w:eastAsia="en-GB"/>
          <w14:ligatures w14:val="none"/>
        </w:rPr>
        <w:t>London ;</w:t>
      </w:r>
      <w:proofErr w:type="gramEnd"/>
      <w:r w:rsidRPr="00DA310E">
        <w:rPr>
          <w:rFonts w:ascii="Arial" w:eastAsia="Times New Roman" w:hAnsi="Arial" w:cs="Arial"/>
          <w:kern w:val="0"/>
          <w:sz w:val="26"/>
          <w:szCs w:val="26"/>
          <w:lang w:eastAsia="en-GB"/>
          <w14:ligatures w14:val="none"/>
        </w:rPr>
        <w:t xml:space="preserve"> New York: Penguin Classics, 2009)</w:t>
      </w:r>
    </w:p>
    <w:p w14:paraId="5BBBC354" w14:textId="2477CC2E" w:rsidR="00DA310E" w:rsidRPr="00DA310E" w:rsidRDefault="00DA310E" w:rsidP="00DA310E">
      <w:pPr>
        <w:spacing w:after="240" w:line="360" w:lineRule="auto"/>
        <w:ind w:hanging="720"/>
        <w:rPr>
          <w:rFonts w:ascii="Arial" w:eastAsia="Times New Roman" w:hAnsi="Arial" w:cs="Arial"/>
          <w:kern w:val="0"/>
          <w:sz w:val="26"/>
          <w:szCs w:val="26"/>
          <w:lang w:eastAsia="en-GB"/>
          <w14:ligatures w14:val="none"/>
        </w:rPr>
      </w:pPr>
      <w:r w:rsidRPr="00DA310E">
        <w:rPr>
          <w:rFonts w:ascii="Arial" w:eastAsia="Times New Roman" w:hAnsi="Arial" w:cs="Arial"/>
          <w:kern w:val="0"/>
          <w:sz w:val="26"/>
          <w:szCs w:val="26"/>
          <w:lang w:eastAsia="en-GB"/>
          <w14:ligatures w14:val="none"/>
        </w:rPr>
        <w:t>Killough, Gabrielle, ‘Taking on the Man: Female Rebellion against Gender Roles in Classical Greek Drama’ (unpublished Senior Thesis, 2016), pp. 1–</w:t>
      </w:r>
      <w:proofErr w:type="gramStart"/>
      <w:r w:rsidRPr="00DA310E">
        <w:rPr>
          <w:rFonts w:ascii="Arial" w:eastAsia="Times New Roman" w:hAnsi="Arial" w:cs="Arial"/>
          <w:kern w:val="0"/>
          <w:sz w:val="26"/>
          <w:szCs w:val="26"/>
          <w:lang w:eastAsia="en-GB"/>
          <w14:ligatures w14:val="none"/>
        </w:rPr>
        <w:t>31</w:t>
      </w:r>
      <w:proofErr w:type="gramEnd"/>
    </w:p>
    <w:p w14:paraId="4D415837" w14:textId="77777777" w:rsidR="00DA310E" w:rsidRPr="00DA310E" w:rsidRDefault="00DA310E" w:rsidP="00DA310E">
      <w:pPr>
        <w:spacing w:after="240" w:line="360" w:lineRule="auto"/>
        <w:ind w:hanging="720"/>
        <w:rPr>
          <w:rFonts w:ascii="Arial" w:eastAsia="Times New Roman" w:hAnsi="Arial" w:cs="Arial"/>
          <w:kern w:val="0"/>
          <w:sz w:val="26"/>
          <w:szCs w:val="26"/>
          <w:lang w:eastAsia="en-GB"/>
          <w14:ligatures w14:val="none"/>
        </w:rPr>
      </w:pPr>
      <w:proofErr w:type="spellStart"/>
      <w:r w:rsidRPr="00DA310E">
        <w:rPr>
          <w:rFonts w:ascii="Arial" w:eastAsia="Times New Roman" w:hAnsi="Arial" w:cs="Arial"/>
          <w:kern w:val="0"/>
          <w:sz w:val="26"/>
          <w:szCs w:val="26"/>
          <w:lang w:eastAsia="en-GB"/>
          <w14:ligatures w14:val="none"/>
        </w:rPr>
        <w:t>Miate</w:t>
      </w:r>
      <w:proofErr w:type="spellEnd"/>
      <w:r w:rsidRPr="00DA310E">
        <w:rPr>
          <w:rFonts w:ascii="Arial" w:eastAsia="Times New Roman" w:hAnsi="Arial" w:cs="Arial"/>
          <w:kern w:val="0"/>
          <w:sz w:val="26"/>
          <w:szCs w:val="26"/>
          <w:lang w:eastAsia="en-GB"/>
          <w14:ligatures w14:val="none"/>
        </w:rPr>
        <w:t xml:space="preserve">, Liana, ‘Medea’, </w:t>
      </w:r>
      <w:r w:rsidRPr="00DA310E">
        <w:rPr>
          <w:rFonts w:ascii="Arial" w:eastAsia="Times New Roman" w:hAnsi="Arial" w:cs="Arial"/>
          <w:i/>
          <w:iCs/>
          <w:kern w:val="0"/>
          <w:sz w:val="26"/>
          <w:szCs w:val="26"/>
          <w:lang w:eastAsia="en-GB"/>
          <w14:ligatures w14:val="none"/>
        </w:rPr>
        <w:t xml:space="preserve">World History </w:t>
      </w:r>
      <w:proofErr w:type="spellStart"/>
      <w:r w:rsidRPr="00DA310E">
        <w:rPr>
          <w:rFonts w:ascii="Arial" w:eastAsia="Times New Roman" w:hAnsi="Arial" w:cs="Arial"/>
          <w:i/>
          <w:iCs/>
          <w:kern w:val="0"/>
          <w:sz w:val="26"/>
          <w:szCs w:val="26"/>
          <w:lang w:eastAsia="en-GB"/>
          <w14:ligatures w14:val="none"/>
        </w:rPr>
        <w:t>Encyclopedia</w:t>
      </w:r>
      <w:proofErr w:type="spellEnd"/>
      <w:r w:rsidRPr="00DA310E">
        <w:rPr>
          <w:rFonts w:ascii="Arial" w:eastAsia="Times New Roman" w:hAnsi="Arial" w:cs="Arial"/>
          <w:kern w:val="0"/>
          <w:sz w:val="26"/>
          <w:szCs w:val="26"/>
          <w:lang w:eastAsia="en-GB"/>
          <w14:ligatures w14:val="none"/>
        </w:rPr>
        <w:t>, 2023 &lt;https://www.worldhistory.org/medea/&gt;</w:t>
      </w:r>
    </w:p>
    <w:p w14:paraId="5EE202A1" w14:textId="77777777" w:rsidR="00DA310E" w:rsidRPr="00DA310E" w:rsidRDefault="00DA310E" w:rsidP="00DA310E">
      <w:pPr>
        <w:spacing w:after="240" w:line="360" w:lineRule="auto"/>
        <w:ind w:hanging="720"/>
        <w:rPr>
          <w:rFonts w:ascii="Arial" w:eastAsia="Times New Roman" w:hAnsi="Arial" w:cs="Arial"/>
          <w:kern w:val="0"/>
          <w:sz w:val="26"/>
          <w:szCs w:val="26"/>
          <w:lang w:eastAsia="en-GB"/>
          <w14:ligatures w14:val="none"/>
        </w:rPr>
      </w:pPr>
      <w:r w:rsidRPr="00DA310E">
        <w:rPr>
          <w:rFonts w:ascii="Arial" w:eastAsia="Times New Roman" w:hAnsi="Arial" w:cs="Arial"/>
          <w:kern w:val="0"/>
          <w:sz w:val="26"/>
          <w:szCs w:val="26"/>
          <w:lang w:eastAsia="en-GB"/>
          <w14:ligatures w14:val="none"/>
        </w:rPr>
        <w:t xml:space="preserve">Olsen, Sarah, and Mario </w:t>
      </w:r>
      <w:proofErr w:type="spellStart"/>
      <w:r w:rsidRPr="00DA310E">
        <w:rPr>
          <w:rFonts w:ascii="Arial" w:eastAsia="Times New Roman" w:hAnsi="Arial" w:cs="Arial"/>
          <w:kern w:val="0"/>
          <w:sz w:val="26"/>
          <w:szCs w:val="26"/>
          <w:lang w:eastAsia="en-GB"/>
          <w14:ligatures w14:val="none"/>
        </w:rPr>
        <w:t>Telò</w:t>
      </w:r>
      <w:proofErr w:type="spellEnd"/>
      <w:r w:rsidRPr="00DA310E">
        <w:rPr>
          <w:rFonts w:ascii="Arial" w:eastAsia="Times New Roman" w:hAnsi="Arial" w:cs="Arial"/>
          <w:kern w:val="0"/>
          <w:sz w:val="26"/>
          <w:szCs w:val="26"/>
          <w:lang w:eastAsia="en-GB"/>
          <w14:ligatures w14:val="none"/>
        </w:rPr>
        <w:t xml:space="preserve">, </w:t>
      </w:r>
      <w:r w:rsidRPr="00DA310E">
        <w:rPr>
          <w:rFonts w:ascii="Arial" w:eastAsia="Times New Roman" w:hAnsi="Arial" w:cs="Arial"/>
          <w:i/>
          <w:iCs/>
          <w:kern w:val="0"/>
          <w:sz w:val="26"/>
          <w:szCs w:val="26"/>
          <w:lang w:eastAsia="en-GB"/>
          <w14:ligatures w14:val="none"/>
        </w:rPr>
        <w:t>Queer Euripides</w:t>
      </w:r>
      <w:r w:rsidRPr="00DA310E">
        <w:rPr>
          <w:rFonts w:ascii="Arial" w:eastAsia="Times New Roman" w:hAnsi="Arial" w:cs="Arial"/>
          <w:kern w:val="0"/>
          <w:sz w:val="26"/>
          <w:szCs w:val="26"/>
          <w:lang w:eastAsia="en-GB"/>
          <w14:ligatures w14:val="none"/>
        </w:rPr>
        <w:t xml:space="preserve"> (Bloomsbury Publishing, 2022)</w:t>
      </w:r>
    </w:p>
    <w:p w14:paraId="1F8BD3B9" w14:textId="77777777" w:rsidR="00DA310E" w:rsidRPr="00DA310E" w:rsidRDefault="00DA310E" w:rsidP="00DA310E">
      <w:pPr>
        <w:spacing w:after="240" w:line="360" w:lineRule="auto"/>
        <w:ind w:hanging="720"/>
        <w:rPr>
          <w:rFonts w:ascii="Arial" w:eastAsia="Times New Roman" w:hAnsi="Arial" w:cs="Arial"/>
          <w:kern w:val="0"/>
          <w:sz w:val="26"/>
          <w:szCs w:val="26"/>
          <w:lang w:eastAsia="en-GB"/>
          <w14:ligatures w14:val="none"/>
        </w:rPr>
      </w:pPr>
      <w:r w:rsidRPr="00DA310E">
        <w:rPr>
          <w:rFonts w:ascii="Arial" w:eastAsia="Times New Roman" w:hAnsi="Arial" w:cs="Arial"/>
          <w:kern w:val="0"/>
          <w:sz w:val="26"/>
          <w:szCs w:val="26"/>
          <w:lang w:eastAsia="en-GB"/>
          <w14:ligatures w14:val="none"/>
        </w:rPr>
        <w:t xml:space="preserve">Othman, Johan Awang Bin, ‘Can Medea Speak? Tracing Euripides’ Medea’s Complex Performative Gendering in Her Speech from the Outside in the Outside’, </w:t>
      </w:r>
      <w:r w:rsidRPr="00DA310E">
        <w:rPr>
          <w:rFonts w:ascii="Arial" w:eastAsia="Times New Roman" w:hAnsi="Arial" w:cs="Arial"/>
          <w:i/>
          <w:iCs/>
          <w:kern w:val="0"/>
          <w:sz w:val="26"/>
          <w:szCs w:val="26"/>
          <w:lang w:eastAsia="en-GB"/>
          <w14:ligatures w14:val="none"/>
        </w:rPr>
        <w:t>Procedia</w:t>
      </w:r>
      <w:r w:rsidRPr="00DA310E">
        <w:rPr>
          <w:rFonts w:ascii="Arial" w:eastAsia="Times New Roman" w:hAnsi="Arial" w:cs="Arial"/>
          <w:kern w:val="0"/>
          <w:sz w:val="26"/>
          <w:szCs w:val="26"/>
          <w:lang w:eastAsia="en-GB"/>
          <w14:ligatures w14:val="none"/>
        </w:rPr>
        <w:t>, 208 (2015), 175–81</w:t>
      </w:r>
    </w:p>
    <w:p w14:paraId="52463600" w14:textId="77777777" w:rsidR="00DA310E" w:rsidRPr="00DA310E" w:rsidRDefault="00DA310E" w:rsidP="00DA310E">
      <w:pPr>
        <w:spacing w:after="240" w:line="360" w:lineRule="auto"/>
        <w:ind w:hanging="720"/>
        <w:rPr>
          <w:rFonts w:ascii="Arial" w:eastAsia="Times New Roman" w:hAnsi="Arial" w:cs="Arial"/>
          <w:kern w:val="0"/>
          <w:sz w:val="26"/>
          <w:szCs w:val="26"/>
          <w:lang w:eastAsia="en-GB"/>
          <w14:ligatures w14:val="none"/>
        </w:rPr>
      </w:pPr>
      <w:r w:rsidRPr="00DA310E">
        <w:rPr>
          <w:rFonts w:ascii="Arial" w:eastAsia="Times New Roman" w:hAnsi="Arial" w:cs="Arial"/>
          <w:kern w:val="0"/>
          <w:sz w:val="26"/>
          <w:szCs w:val="26"/>
          <w:lang w:eastAsia="en-GB"/>
          <w14:ligatures w14:val="none"/>
        </w:rPr>
        <w:t xml:space="preserve">Salmond, Paul, ‘Guide to the Classics: Euripides’ Medea and Her Terrible Revenge against the Patriarchy’, </w:t>
      </w:r>
      <w:r w:rsidRPr="00DA310E">
        <w:rPr>
          <w:rFonts w:ascii="Arial" w:eastAsia="Times New Roman" w:hAnsi="Arial" w:cs="Arial"/>
          <w:i/>
          <w:iCs/>
          <w:kern w:val="0"/>
          <w:sz w:val="26"/>
          <w:szCs w:val="26"/>
          <w:lang w:eastAsia="en-GB"/>
          <w14:ligatures w14:val="none"/>
        </w:rPr>
        <w:t>The Conversation</w:t>
      </w:r>
      <w:r w:rsidRPr="00DA310E">
        <w:rPr>
          <w:rFonts w:ascii="Arial" w:eastAsia="Times New Roman" w:hAnsi="Arial" w:cs="Arial"/>
          <w:kern w:val="0"/>
          <w:sz w:val="26"/>
          <w:szCs w:val="26"/>
          <w:lang w:eastAsia="en-GB"/>
          <w14:ligatures w14:val="none"/>
        </w:rPr>
        <w:t>, 2018 &lt;https://theconversation.com/guide-to-the-classics-euripides-medea-and-her-terrible-revenge-against-the-patriarchy-106151&gt; [accessed 25 November 2023]</w:t>
      </w:r>
    </w:p>
    <w:p w14:paraId="4C119529" w14:textId="77777777" w:rsidR="00DA310E" w:rsidRPr="006C3338" w:rsidRDefault="00DA310E">
      <w:pPr>
        <w:rPr>
          <w:rFonts w:ascii="Arial" w:hAnsi="Arial" w:cs="Arial"/>
          <w:sz w:val="26"/>
          <w:szCs w:val="26"/>
        </w:rPr>
      </w:pPr>
    </w:p>
    <w:sectPr w:rsidR="00DA310E" w:rsidRPr="006C33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0739B8" w14:textId="77777777" w:rsidR="00813DCF" w:rsidRDefault="00813DCF" w:rsidP="007748E6">
      <w:pPr>
        <w:spacing w:after="0" w:line="240" w:lineRule="auto"/>
      </w:pPr>
      <w:r>
        <w:separator/>
      </w:r>
    </w:p>
  </w:endnote>
  <w:endnote w:type="continuationSeparator" w:id="0">
    <w:p w14:paraId="18888BD0" w14:textId="77777777" w:rsidR="00813DCF" w:rsidRDefault="00813DCF" w:rsidP="007748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7CFBAE" w14:textId="77777777" w:rsidR="00813DCF" w:rsidRDefault="00813DCF" w:rsidP="007748E6">
      <w:pPr>
        <w:spacing w:after="0" w:line="240" w:lineRule="auto"/>
      </w:pPr>
      <w:r>
        <w:separator/>
      </w:r>
    </w:p>
  </w:footnote>
  <w:footnote w:type="continuationSeparator" w:id="0">
    <w:p w14:paraId="219082AC" w14:textId="77777777" w:rsidR="00813DCF" w:rsidRDefault="00813DCF" w:rsidP="007748E6">
      <w:pPr>
        <w:spacing w:after="0" w:line="240" w:lineRule="auto"/>
      </w:pPr>
      <w:r>
        <w:continuationSeparator/>
      </w:r>
    </w:p>
  </w:footnote>
  <w:footnote w:id="1">
    <w:p w14:paraId="39524135" w14:textId="2B20D91A" w:rsidR="007748E6" w:rsidRPr="00D71818" w:rsidRDefault="007748E6">
      <w:pPr>
        <w:pStyle w:val="FootnoteText"/>
      </w:pPr>
      <w:r w:rsidRPr="00D71818">
        <w:rPr>
          <w:rStyle w:val="FootnoteReference"/>
        </w:rPr>
        <w:footnoteRef/>
      </w:r>
      <w:r w:rsidRPr="00D71818">
        <w:t xml:space="preserve"> </w:t>
      </w:r>
      <w:r w:rsidRPr="00D71818">
        <w:rPr>
          <w:rFonts w:ascii="Arial" w:hAnsi="Arial" w:cs="Arial"/>
          <w:sz w:val="26"/>
          <w:szCs w:val="26"/>
        </w:rPr>
        <w:t xml:space="preserve">Anita Brady and Tony Schirato, </w:t>
      </w:r>
      <w:r w:rsidRPr="00D71818">
        <w:rPr>
          <w:rFonts w:ascii="Arial" w:hAnsi="Arial" w:cs="Arial"/>
          <w:i/>
          <w:iCs/>
          <w:sz w:val="26"/>
          <w:szCs w:val="26"/>
        </w:rPr>
        <w:t>Understanding Judith Butler</w:t>
      </w:r>
      <w:r w:rsidRPr="00D71818">
        <w:rPr>
          <w:rFonts w:ascii="Arial" w:hAnsi="Arial" w:cs="Arial"/>
          <w:sz w:val="26"/>
          <w:szCs w:val="26"/>
        </w:rPr>
        <w:t xml:space="preserve"> (Los Angeles Sage, 2011), </w:t>
      </w:r>
      <w:proofErr w:type="spellStart"/>
      <w:r w:rsidRPr="00D71818">
        <w:rPr>
          <w:rFonts w:ascii="Arial" w:hAnsi="Arial" w:cs="Arial"/>
          <w:sz w:val="26"/>
          <w:szCs w:val="26"/>
        </w:rPr>
        <w:t>ch.</w:t>
      </w:r>
      <w:proofErr w:type="spellEnd"/>
      <w:r w:rsidRPr="00D71818">
        <w:rPr>
          <w:rFonts w:ascii="Arial" w:hAnsi="Arial" w:cs="Arial"/>
          <w:sz w:val="26"/>
          <w:szCs w:val="26"/>
        </w:rPr>
        <w:t xml:space="preserve"> 2. </w:t>
      </w:r>
    </w:p>
  </w:footnote>
  <w:footnote w:id="2">
    <w:p w14:paraId="4C155C56" w14:textId="48D024FD" w:rsidR="007748E6" w:rsidRPr="00D71818" w:rsidRDefault="007748E6">
      <w:pPr>
        <w:pStyle w:val="FootnoteText"/>
      </w:pPr>
      <w:r w:rsidRPr="00D71818">
        <w:rPr>
          <w:rStyle w:val="FootnoteReference"/>
        </w:rPr>
        <w:footnoteRef/>
      </w:r>
      <w:r w:rsidRPr="00D71818">
        <w:rPr>
          <w:rFonts w:ascii="Arial" w:hAnsi="Arial" w:cs="Arial"/>
          <w:sz w:val="26"/>
          <w:szCs w:val="26"/>
        </w:rPr>
        <w:t xml:space="preserve"> Ibid., </w:t>
      </w:r>
      <w:proofErr w:type="spellStart"/>
      <w:r w:rsidRPr="00D71818">
        <w:rPr>
          <w:rFonts w:ascii="Arial" w:hAnsi="Arial" w:cs="Arial"/>
          <w:sz w:val="26"/>
          <w:szCs w:val="26"/>
        </w:rPr>
        <w:t>ch.</w:t>
      </w:r>
      <w:proofErr w:type="spellEnd"/>
      <w:r w:rsidRPr="00D71818">
        <w:rPr>
          <w:rFonts w:ascii="Arial" w:hAnsi="Arial" w:cs="Arial"/>
          <w:sz w:val="26"/>
          <w:szCs w:val="26"/>
        </w:rPr>
        <w:t xml:space="preserve"> 2.</w:t>
      </w:r>
    </w:p>
  </w:footnote>
  <w:footnote w:id="3">
    <w:p w14:paraId="21B34E86" w14:textId="381EBDC3" w:rsidR="007748E6" w:rsidRPr="00D71818" w:rsidRDefault="007748E6">
      <w:pPr>
        <w:pStyle w:val="FootnoteText"/>
      </w:pPr>
      <w:r w:rsidRPr="00D71818">
        <w:rPr>
          <w:rStyle w:val="FootnoteReference"/>
        </w:rPr>
        <w:footnoteRef/>
      </w:r>
      <w:r w:rsidRPr="00D71818">
        <w:t xml:space="preserve"> </w:t>
      </w:r>
      <w:r w:rsidRPr="00D71818">
        <w:rPr>
          <w:rFonts w:ascii="Arial" w:hAnsi="Arial" w:cs="Arial"/>
          <w:sz w:val="26"/>
          <w:szCs w:val="26"/>
        </w:rPr>
        <w:t xml:space="preserve">Judith Butler, ‘Performative Acts and Gender Constitution: An Essay in Phenomenology and Feminist Theory’, </w:t>
      </w:r>
      <w:r w:rsidRPr="00D71818">
        <w:rPr>
          <w:rFonts w:ascii="Arial" w:hAnsi="Arial" w:cs="Arial"/>
          <w:i/>
          <w:iCs/>
          <w:sz w:val="26"/>
          <w:szCs w:val="26"/>
        </w:rPr>
        <w:t>Theatre Journal</w:t>
      </w:r>
      <w:r w:rsidRPr="00D71818">
        <w:rPr>
          <w:rFonts w:ascii="Arial" w:hAnsi="Arial" w:cs="Arial"/>
          <w:sz w:val="26"/>
          <w:szCs w:val="26"/>
        </w:rPr>
        <w:t>, 40.4 (1988), 519–31 &lt;</w:t>
      </w:r>
      <w:hyperlink r:id="rId1" w:history="1">
        <w:r w:rsidRPr="00D71818">
          <w:rPr>
            <w:rStyle w:val="Hyperlink"/>
            <w:rFonts w:ascii="Arial" w:hAnsi="Arial" w:cs="Arial"/>
            <w:sz w:val="26"/>
            <w:szCs w:val="26"/>
          </w:rPr>
          <w:t>https://www.jstor.org/stable/3207893</w:t>
        </w:r>
      </w:hyperlink>
      <w:r w:rsidRPr="00D71818">
        <w:rPr>
          <w:rFonts w:ascii="Arial" w:hAnsi="Arial" w:cs="Arial"/>
          <w:sz w:val="26"/>
          <w:szCs w:val="26"/>
        </w:rPr>
        <w:t>&gt;.</w:t>
      </w:r>
    </w:p>
  </w:footnote>
  <w:footnote w:id="4">
    <w:p w14:paraId="0D65AAB5" w14:textId="11FE9269" w:rsidR="007748E6" w:rsidRPr="00D71818" w:rsidRDefault="007748E6">
      <w:pPr>
        <w:pStyle w:val="FootnoteText"/>
      </w:pPr>
      <w:r w:rsidRPr="00D71818">
        <w:rPr>
          <w:rStyle w:val="FootnoteReference"/>
        </w:rPr>
        <w:footnoteRef/>
      </w:r>
      <w:r w:rsidRPr="00D71818">
        <w:t xml:space="preserve"> </w:t>
      </w:r>
      <w:r w:rsidRPr="00D71818">
        <w:rPr>
          <w:rFonts w:ascii="Arial" w:hAnsi="Arial" w:cs="Arial"/>
          <w:sz w:val="26"/>
          <w:szCs w:val="26"/>
        </w:rPr>
        <w:t xml:space="preserve">Brady and Schirato, </w:t>
      </w:r>
      <w:r w:rsidRPr="00D71818">
        <w:rPr>
          <w:rFonts w:ascii="Arial" w:hAnsi="Arial" w:cs="Arial"/>
          <w:i/>
          <w:iCs/>
          <w:sz w:val="26"/>
          <w:szCs w:val="26"/>
        </w:rPr>
        <w:t>Understanding Judith Butler</w:t>
      </w:r>
      <w:r w:rsidRPr="00D71818">
        <w:rPr>
          <w:rFonts w:ascii="Arial" w:hAnsi="Arial" w:cs="Arial"/>
          <w:sz w:val="26"/>
          <w:szCs w:val="26"/>
        </w:rPr>
        <w:t xml:space="preserve">, </w:t>
      </w:r>
      <w:proofErr w:type="spellStart"/>
      <w:r w:rsidRPr="00D71818">
        <w:rPr>
          <w:rFonts w:ascii="Arial" w:hAnsi="Arial" w:cs="Arial"/>
          <w:sz w:val="26"/>
          <w:szCs w:val="26"/>
        </w:rPr>
        <w:t>ch.</w:t>
      </w:r>
      <w:proofErr w:type="spellEnd"/>
      <w:r w:rsidRPr="00D71818">
        <w:rPr>
          <w:rFonts w:ascii="Arial" w:hAnsi="Arial" w:cs="Arial"/>
          <w:sz w:val="26"/>
          <w:szCs w:val="26"/>
        </w:rPr>
        <w:t xml:space="preserve"> 2.</w:t>
      </w:r>
    </w:p>
  </w:footnote>
  <w:footnote w:id="5">
    <w:p w14:paraId="45C1D67D" w14:textId="6CD7CF27" w:rsidR="00025CA5" w:rsidRPr="00D71818" w:rsidRDefault="00025CA5">
      <w:pPr>
        <w:pStyle w:val="FootnoteText"/>
      </w:pPr>
      <w:r w:rsidRPr="00D71818">
        <w:rPr>
          <w:rStyle w:val="FootnoteReference"/>
        </w:rPr>
        <w:footnoteRef/>
      </w:r>
      <w:r w:rsidRPr="00D71818">
        <w:t xml:space="preserve"> </w:t>
      </w:r>
      <w:r w:rsidR="00106B62" w:rsidRPr="00D71818">
        <w:rPr>
          <w:rFonts w:ascii="Arial" w:hAnsi="Arial" w:cs="Arial"/>
          <w:sz w:val="26"/>
          <w:szCs w:val="26"/>
        </w:rPr>
        <w:t xml:space="preserve">C.A.E </w:t>
      </w:r>
      <w:proofErr w:type="spellStart"/>
      <w:r w:rsidR="00106B62" w:rsidRPr="00D71818">
        <w:rPr>
          <w:rFonts w:ascii="Arial" w:hAnsi="Arial" w:cs="Arial"/>
          <w:sz w:val="26"/>
          <w:szCs w:val="26"/>
        </w:rPr>
        <w:t>Luschnig</w:t>
      </w:r>
      <w:proofErr w:type="spellEnd"/>
      <w:r w:rsidR="00106B62" w:rsidRPr="00D71818">
        <w:rPr>
          <w:rFonts w:ascii="Arial" w:hAnsi="Arial" w:cs="Arial"/>
          <w:sz w:val="26"/>
          <w:szCs w:val="26"/>
        </w:rPr>
        <w:t xml:space="preserve">, </w:t>
      </w:r>
      <w:r w:rsidR="00106B62" w:rsidRPr="00D71818">
        <w:rPr>
          <w:rFonts w:ascii="Arial" w:hAnsi="Arial" w:cs="Arial"/>
          <w:i/>
          <w:iCs/>
          <w:sz w:val="26"/>
          <w:szCs w:val="26"/>
        </w:rPr>
        <w:t>Granddaughter of the Sun: A Study of Euripides’ Medea</w:t>
      </w:r>
      <w:r w:rsidR="00106B62" w:rsidRPr="00D71818">
        <w:rPr>
          <w:rFonts w:ascii="Arial" w:hAnsi="Arial" w:cs="Arial"/>
          <w:sz w:val="26"/>
          <w:szCs w:val="26"/>
        </w:rPr>
        <w:t xml:space="preserve"> (Leiden; Boston: Brill, 2007), p. </w:t>
      </w:r>
      <w:r w:rsidR="00FA1B66" w:rsidRPr="00D71818">
        <w:rPr>
          <w:rFonts w:ascii="Arial" w:hAnsi="Arial" w:cs="Arial"/>
          <w:sz w:val="26"/>
          <w:szCs w:val="26"/>
        </w:rPr>
        <w:t xml:space="preserve">7. </w:t>
      </w:r>
    </w:p>
  </w:footnote>
  <w:footnote w:id="6">
    <w:p w14:paraId="3A50B3AF" w14:textId="49EA4AE0" w:rsidR="00025CA5" w:rsidRPr="00D71818" w:rsidRDefault="00025CA5">
      <w:pPr>
        <w:pStyle w:val="FootnoteText"/>
      </w:pPr>
      <w:r w:rsidRPr="00D71818">
        <w:rPr>
          <w:rStyle w:val="FootnoteReference"/>
        </w:rPr>
        <w:footnoteRef/>
      </w:r>
      <w:r w:rsidRPr="00D71818">
        <w:t xml:space="preserve"> </w:t>
      </w:r>
      <w:r w:rsidR="00556B38" w:rsidRPr="00D71818">
        <w:rPr>
          <w:rFonts w:ascii="Arial" w:hAnsi="Arial" w:cs="Arial"/>
          <w:sz w:val="26"/>
          <w:szCs w:val="26"/>
        </w:rPr>
        <w:t xml:space="preserve">Laura Harris, ‘Barbarian or Greek Murder? Medea’s Gift of Clothing and Identity in Euripides’ Medea’, </w:t>
      </w:r>
      <w:r w:rsidR="00556B38" w:rsidRPr="00D71818">
        <w:rPr>
          <w:rFonts w:ascii="Arial" w:hAnsi="Arial" w:cs="Arial"/>
          <w:i/>
          <w:iCs/>
          <w:sz w:val="26"/>
          <w:szCs w:val="26"/>
        </w:rPr>
        <w:t>Plebeian</w:t>
      </w:r>
      <w:r w:rsidR="00556B38" w:rsidRPr="00D71818">
        <w:rPr>
          <w:rFonts w:ascii="Arial" w:hAnsi="Arial" w:cs="Arial"/>
          <w:sz w:val="26"/>
          <w:szCs w:val="26"/>
        </w:rPr>
        <w:t>, 3 (2017), p. 24.</w:t>
      </w:r>
    </w:p>
  </w:footnote>
  <w:footnote w:id="7">
    <w:p w14:paraId="3D94CC07" w14:textId="35028F09" w:rsidR="00025CA5" w:rsidRPr="00D71818" w:rsidRDefault="00025CA5">
      <w:pPr>
        <w:pStyle w:val="FootnoteText"/>
      </w:pPr>
      <w:r w:rsidRPr="00D71818">
        <w:rPr>
          <w:rStyle w:val="FootnoteReference"/>
        </w:rPr>
        <w:footnoteRef/>
      </w:r>
      <w:r w:rsidRPr="00D71818">
        <w:t xml:space="preserve"> </w:t>
      </w:r>
      <w:r w:rsidRPr="00D71818">
        <w:rPr>
          <w:rFonts w:ascii="Arial" w:hAnsi="Arial" w:cs="Arial"/>
          <w:sz w:val="26"/>
          <w:szCs w:val="26"/>
        </w:rPr>
        <w:t>Ibid., p. 24.</w:t>
      </w:r>
    </w:p>
  </w:footnote>
  <w:footnote w:id="8">
    <w:p w14:paraId="697155DE" w14:textId="43189835" w:rsidR="00482D73" w:rsidRPr="00D71818" w:rsidRDefault="00482D73">
      <w:pPr>
        <w:pStyle w:val="FootnoteText"/>
      </w:pPr>
      <w:r w:rsidRPr="00D71818">
        <w:rPr>
          <w:rStyle w:val="FootnoteReference"/>
        </w:rPr>
        <w:footnoteRef/>
      </w:r>
      <w:r w:rsidRPr="00D71818">
        <w:t xml:space="preserve"> </w:t>
      </w:r>
      <w:r w:rsidR="00EA7F6A" w:rsidRPr="00D71818">
        <w:rPr>
          <w:rFonts w:ascii="Arial" w:hAnsi="Arial" w:cs="Arial"/>
          <w:sz w:val="26"/>
          <w:szCs w:val="26"/>
        </w:rPr>
        <w:t xml:space="preserve">Euripides, </w:t>
      </w:r>
      <w:proofErr w:type="gramStart"/>
      <w:r w:rsidR="00EA7F6A" w:rsidRPr="00D71818">
        <w:rPr>
          <w:rFonts w:ascii="Arial" w:hAnsi="Arial" w:cs="Arial"/>
          <w:i/>
          <w:iCs/>
          <w:sz w:val="26"/>
          <w:szCs w:val="26"/>
        </w:rPr>
        <w:t>Medea</w:t>
      </w:r>
      <w:proofErr w:type="gramEnd"/>
      <w:r w:rsidR="00EA7F6A" w:rsidRPr="00D71818">
        <w:rPr>
          <w:rFonts w:ascii="Arial" w:hAnsi="Arial" w:cs="Arial"/>
          <w:i/>
          <w:iCs/>
          <w:sz w:val="26"/>
          <w:szCs w:val="26"/>
        </w:rPr>
        <w:t xml:space="preserve"> and Other Plays</w:t>
      </w:r>
      <w:r w:rsidR="00EA7F6A" w:rsidRPr="00D71818">
        <w:rPr>
          <w:rFonts w:ascii="Arial" w:hAnsi="Arial" w:cs="Arial"/>
          <w:sz w:val="26"/>
          <w:szCs w:val="26"/>
        </w:rPr>
        <w:t xml:space="preserve">, (Penguin UK, 2003), </w:t>
      </w:r>
      <w:r w:rsidR="00675FD6" w:rsidRPr="00D71818">
        <w:rPr>
          <w:rFonts w:ascii="Arial" w:hAnsi="Arial" w:cs="Arial"/>
          <w:sz w:val="26"/>
          <w:szCs w:val="26"/>
        </w:rPr>
        <w:t xml:space="preserve">p. </w:t>
      </w:r>
      <w:r w:rsidR="00675FD6" w:rsidRPr="00D71818">
        <w:rPr>
          <w:rFonts w:ascii="Arial" w:hAnsi="Arial" w:cs="Arial"/>
          <w:sz w:val="26"/>
          <w:szCs w:val="26"/>
        </w:rPr>
        <w:t>25.</w:t>
      </w:r>
    </w:p>
  </w:footnote>
  <w:footnote w:id="9">
    <w:p w14:paraId="5A4196BD" w14:textId="2BDF8BE5" w:rsidR="00934C1E" w:rsidRPr="00D71818" w:rsidRDefault="00934C1E">
      <w:pPr>
        <w:pStyle w:val="FootnoteText"/>
      </w:pPr>
      <w:r w:rsidRPr="00D71818">
        <w:rPr>
          <w:rStyle w:val="FootnoteReference"/>
        </w:rPr>
        <w:footnoteRef/>
      </w:r>
      <w:r w:rsidRPr="00D71818">
        <w:t xml:space="preserve"> </w:t>
      </w:r>
      <w:r w:rsidRPr="00D71818">
        <w:rPr>
          <w:rFonts w:ascii="Arial" w:hAnsi="Arial" w:cs="Arial"/>
          <w:sz w:val="26"/>
          <w:szCs w:val="26"/>
        </w:rPr>
        <w:t>Butler, ‘Performative Acts and Gender Constitution: An Essay in Phenomenology and Feminist Theory’,</w:t>
      </w:r>
      <w:r w:rsidRPr="00D71818">
        <w:rPr>
          <w:rFonts w:ascii="Arial" w:hAnsi="Arial" w:cs="Arial"/>
          <w:i/>
          <w:iCs/>
          <w:sz w:val="26"/>
          <w:szCs w:val="26"/>
        </w:rPr>
        <w:t xml:space="preserve"> </w:t>
      </w:r>
      <w:r w:rsidRPr="00D71818">
        <w:rPr>
          <w:rFonts w:ascii="Arial" w:hAnsi="Arial" w:cs="Arial"/>
          <w:sz w:val="26"/>
          <w:szCs w:val="26"/>
        </w:rPr>
        <w:t xml:space="preserve">P. 529. </w:t>
      </w:r>
    </w:p>
  </w:footnote>
  <w:footnote w:id="10">
    <w:p w14:paraId="3638265C" w14:textId="77777777" w:rsidR="00661919" w:rsidRPr="00D71818" w:rsidRDefault="00661919" w:rsidP="00661919">
      <w:pPr>
        <w:pStyle w:val="FootnoteText"/>
      </w:pPr>
      <w:r w:rsidRPr="00D71818">
        <w:rPr>
          <w:rStyle w:val="FootnoteReference"/>
        </w:rPr>
        <w:footnoteRef/>
      </w:r>
      <w:r w:rsidRPr="00D71818">
        <w:t xml:space="preserve"> </w:t>
      </w:r>
      <w:r w:rsidRPr="00D71818">
        <w:rPr>
          <w:rFonts w:ascii="Arial" w:hAnsi="Arial" w:cs="Arial"/>
          <w:sz w:val="26"/>
          <w:szCs w:val="26"/>
        </w:rPr>
        <w:t xml:space="preserve">Sarah Olsen and Mario </w:t>
      </w:r>
      <w:proofErr w:type="spellStart"/>
      <w:r w:rsidRPr="00D71818">
        <w:rPr>
          <w:rFonts w:ascii="Arial" w:hAnsi="Arial" w:cs="Arial"/>
          <w:sz w:val="26"/>
          <w:szCs w:val="26"/>
        </w:rPr>
        <w:t>Telò</w:t>
      </w:r>
      <w:proofErr w:type="spellEnd"/>
      <w:r w:rsidRPr="00D71818">
        <w:rPr>
          <w:rFonts w:ascii="Arial" w:hAnsi="Arial" w:cs="Arial"/>
          <w:sz w:val="26"/>
          <w:szCs w:val="26"/>
        </w:rPr>
        <w:t xml:space="preserve">, </w:t>
      </w:r>
      <w:r w:rsidRPr="00D71818">
        <w:rPr>
          <w:rFonts w:ascii="Arial" w:hAnsi="Arial" w:cs="Arial"/>
          <w:i/>
          <w:iCs/>
          <w:sz w:val="26"/>
          <w:szCs w:val="26"/>
        </w:rPr>
        <w:t>Queer Euripides</w:t>
      </w:r>
      <w:r w:rsidRPr="00D71818">
        <w:rPr>
          <w:rFonts w:ascii="Arial" w:hAnsi="Arial" w:cs="Arial"/>
          <w:sz w:val="26"/>
          <w:szCs w:val="26"/>
        </w:rPr>
        <w:t xml:space="preserve"> (Bloomsbury Publishing, 2022), p. 102.</w:t>
      </w:r>
    </w:p>
  </w:footnote>
  <w:footnote w:id="11">
    <w:p w14:paraId="232466FF" w14:textId="77777777" w:rsidR="00661919" w:rsidRPr="00D71818" w:rsidRDefault="00661919" w:rsidP="00661919">
      <w:pPr>
        <w:pStyle w:val="FootnoteText"/>
      </w:pPr>
      <w:r w:rsidRPr="00D71818">
        <w:rPr>
          <w:rStyle w:val="FootnoteReference"/>
        </w:rPr>
        <w:footnoteRef/>
      </w:r>
      <w:r w:rsidRPr="00D71818">
        <w:t xml:space="preserve"> </w:t>
      </w:r>
      <w:r w:rsidRPr="00D71818">
        <w:rPr>
          <w:rFonts w:ascii="Arial" w:hAnsi="Arial" w:cs="Arial"/>
          <w:sz w:val="26"/>
          <w:szCs w:val="26"/>
        </w:rPr>
        <w:t>Ibid., p. 102.</w:t>
      </w:r>
    </w:p>
  </w:footnote>
  <w:footnote w:id="12">
    <w:p w14:paraId="17713AA1" w14:textId="66E5FABD" w:rsidR="004118A5" w:rsidRPr="00D71818" w:rsidRDefault="004118A5" w:rsidP="004118A5">
      <w:pPr>
        <w:rPr>
          <w:rFonts w:ascii="Arial" w:hAnsi="Arial" w:cs="Arial"/>
          <w:sz w:val="26"/>
          <w:szCs w:val="26"/>
        </w:rPr>
      </w:pPr>
      <w:r w:rsidRPr="00D71818">
        <w:rPr>
          <w:rStyle w:val="FootnoteReference"/>
        </w:rPr>
        <w:footnoteRef/>
      </w:r>
      <w:r w:rsidRPr="00D71818">
        <w:t xml:space="preserve"> </w:t>
      </w:r>
      <w:r w:rsidRPr="00D71818">
        <w:rPr>
          <w:rFonts w:ascii="Arial" w:hAnsi="Arial" w:cs="Arial"/>
          <w:sz w:val="26"/>
          <w:szCs w:val="26"/>
        </w:rPr>
        <w:t xml:space="preserve">Deborah Boedeker, ‘Becoming Medea: Assimilation in Euripides’, in </w:t>
      </w:r>
      <w:r w:rsidRPr="00D71818">
        <w:rPr>
          <w:rFonts w:ascii="Arial" w:hAnsi="Arial" w:cs="Arial"/>
          <w:i/>
          <w:iCs/>
          <w:sz w:val="26"/>
          <w:szCs w:val="26"/>
        </w:rPr>
        <w:t>Medea: Essays on Medea in Myth, Literature, Philosophy and Art</w:t>
      </w:r>
      <w:r w:rsidRPr="00D71818">
        <w:rPr>
          <w:rFonts w:ascii="Arial" w:hAnsi="Arial" w:cs="Arial"/>
          <w:sz w:val="26"/>
          <w:szCs w:val="26"/>
        </w:rPr>
        <w:t>, ed. by James J Clauss and Sarah Iles Johnston (Princeton University Press, 1997), p. 1</w:t>
      </w:r>
      <w:r w:rsidRPr="00D71818">
        <w:rPr>
          <w:rFonts w:ascii="Arial" w:hAnsi="Arial" w:cs="Arial"/>
          <w:sz w:val="26"/>
          <w:szCs w:val="26"/>
        </w:rPr>
        <w:t xml:space="preserve">46. </w:t>
      </w:r>
    </w:p>
  </w:footnote>
  <w:footnote w:id="13">
    <w:p w14:paraId="6416487C" w14:textId="67BF8994" w:rsidR="008B79F4" w:rsidRPr="00D71818" w:rsidRDefault="008B79F4">
      <w:pPr>
        <w:pStyle w:val="FootnoteText"/>
      </w:pPr>
      <w:r w:rsidRPr="00D71818">
        <w:rPr>
          <w:rStyle w:val="FootnoteReference"/>
        </w:rPr>
        <w:footnoteRef/>
      </w:r>
      <w:r w:rsidRPr="00D71818">
        <w:t xml:space="preserve"> </w:t>
      </w:r>
      <w:r w:rsidRPr="00D71818">
        <w:rPr>
          <w:rFonts w:ascii="Arial" w:hAnsi="Arial" w:cs="Arial"/>
          <w:sz w:val="26"/>
          <w:szCs w:val="26"/>
        </w:rPr>
        <w:t xml:space="preserve">Euripides, </w:t>
      </w:r>
      <w:r w:rsidRPr="00D71818">
        <w:rPr>
          <w:rFonts w:ascii="Arial" w:hAnsi="Arial" w:cs="Arial"/>
          <w:i/>
          <w:iCs/>
          <w:sz w:val="26"/>
          <w:szCs w:val="26"/>
        </w:rPr>
        <w:t>Medea and Other Plays</w:t>
      </w:r>
      <w:r w:rsidRPr="00D71818">
        <w:rPr>
          <w:rFonts w:ascii="Arial" w:hAnsi="Arial" w:cs="Arial"/>
          <w:sz w:val="26"/>
          <w:szCs w:val="26"/>
        </w:rPr>
        <w:t>,</w:t>
      </w:r>
      <w:r w:rsidR="00EA7F6A" w:rsidRPr="00D71818">
        <w:rPr>
          <w:rFonts w:ascii="Arial" w:hAnsi="Arial" w:cs="Arial"/>
          <w:sz w:val="26"/>
          <w:szCs w:val="26"/>
        </w:rPr>
        <w:t xml:space="preserve"> </w:t>
      </w:r>
      <w:r w:rsidRPr="00D71818">
        <w:rPr>
          <w:rFonts w:ascii="Arial" w:hAnsi="Arial" w:cs="Arial"/>
          <w:sz w:val="26"/>
          <w:szCs w:val="26"/>
        </w:rPr>
        <w:t>p. 44.</w:t>
      </w:r>
    </w:p>
  </w:footnote>
  <w:footnote w:id="14">
    <w:p w14:paraId="2BE93860" w14:textId="582B50AD" w:rsidR="00DF7DE7" w:rsidRPr="00D71818" w:rsidRDefault="00DF7DE7">
      <w:pPr>
        <w:pStyle w:val="FootnoteText"/>
      </w:pPr>
      <w:r w:rsidRPr="00D71818">
        <w:rPr>
          <w:rStyle w:val="FootnoteReference"/>
        </w:rPr>
        <w:footnoteRef/>
      </w:r>
      <w:r w:rsidRPr="00D71818">
        <w:t xml:space="preserve"> </w:t>
      </w:r>
      <w:r w:rsidRPr="00D71818">
        <w:rPr>
          <w:rFonts w:ascii="Arial" w:hAnsi="Arial" w:cs="Arial"/>
          <w:sz w:val="26"/>
          <w:szCs w:val="26"/>
        </w:rPr>
        <w:t xml:space="preserve">Ibid., p. 44. </w:t>
      </w:r>
    </w:p>
  </w:footnote>
  <w:footnote w:id="15">
    <w:p w14:paraId="63241CAA" w14:textId="1B06583F" w:rsidR="00CF6AB6" w:rsidRPr="00D71818" w:rsidRDefault="00CF6AB6">
      <w:pPr>
        <w:pStyle w:val="FootnoteText"/>
      </w:pPr>
      <w:r w:rsidRPr="00D71818">
        <w:rPr>
          <w:rStyle w:val="FootnoteReference"/>
        </w:rPr>
        <w:footnoteRef/>
      </w:r>
      <w:r w:rsidRPr="00D71818">
        <w:t xml:space="preserve"> </w:t>
      </w:r>
      <w:r w:rsidRPr="00D71818">
        <w:rPr>
          <w:rFonts w:ascii="Arial" w:hAnsi="Arial" w:cs="Arial"/>
          <w:sz w:val="26"/>
          <w:szCs w:val="26"/>
        </w:rPr>
        <w:t xml:space="preserve">Ibid., p. 46. </w:t>
      </w:r>
    </w:p>
  </w:footnote>
  <w:footnote w:id="16">
    <w:p w14:paraId="673FAD03" w14:textId="0C445E9A" w:rsidR="00BD5F29" w:rsidRPr="00D71818" w:rsidRDefault="00BD5F29" w:rsidP="00BD5F29">
      <w:pPr>
        <w:pStyle w:val="FootnoteText"/>
      </w:pPr>
      <w:r w:rsidRPr="00D71818">
        <w:rPr>
          <w:rStyle w:val="FootnoteReference"/>
        </w:rPr>
        <w:footnoteRef/>
      </w:r>
      <w:r w:rsidR="002D0599">
        <w:rPr>
          <w:rFonts w:ascii="Arial" w:hAnsi="Arial" w:cs="Arial"/>
          <w:sz w:val="26"/>
          <w:szCs w:val="26"/>
        </w:rPr>
        <w:t xml:space="preserve"> Ibid.</w:t>
      </w:r>
      <w:r w:rsidRPr="00D71818">
        <w:rPr>
          <w:rFonts w:ascii="Arial" w:hAnsi="Arial" w:cs="Arial"/>
          <w:sz w:val="26"/>
          <w:szCs w:val="26"/>
        </w:rPr>
        <w:t>, p. 45.</w:t>
      </w:r>
    </w:p>
  </w:footnote>
  <w:footnote w:id="17">
    <w:p w14:paraId="10DD3F1C" w14:textId="77777777" w:rsidR="00BD5F29" w:rsidRPr="00D71818" w:rsidRDefault="00BD5F29" w:rsidP="00BD5F29">
      <w:pPr>
        <w:pStyle w:val="FootnoteText"/>
      </w:pPr>
      <w:r w:rsidRPr="00D71818">
        <w:rPr>
          <w:rStyle w:val="FootnoteReference"/>
        </w:rPr>
        <w:footnoteRef/>
      </w:r>
      <w:r w:rsidRPr="00D71818">
        <w:t xml:space="preserve"> </w:t>
      </w:r>
      <w:r w:rsidRPr="00D71818">
        <w:rPr>
          <w:rFonts w:ascii="Arial" w:hAnsi="Arial" w:cs="Arial"/>
          <w:sz w:val="26"/>
          <w:szCs w:val="26"/>
        </w:rPr>
        <w:t>Gabriel, ‘Performing Femininity: Gender in Ancient Greek, p. 5.</w:t>
      </w:r>
    </w:p>
  </w:footnote>
  <w:footnote w:id="18">
    <w:p w14:paraId="00CC6A20" w14:textId="77777777" w:rsidR="00B01508" w:rsidRPr="00D71818" w:rsidRDefault="00B01508" w:rsidP="00B01508">
      <w:pPr>
        <w:pStyle w:val="FootnoteText"/>
      </w:pPr>
      <w:r w:rsidRPr="00D71818">
        <w:rPr>
          <w:rStyle w:val="FootnoteReference"/>
        </w:rPr>
        <w:footnoteRef/>
      </w:r>
      <w:r w:rsidRPr="00D71818">
        <w:t xml:space="preserve"> </w:t>
      </w:r>
      <w:r w:rsidRPr="00D71818">
        <w:rPr>
          <w:rFonts w:ascii="Arial" w:hAnsi="Arial" w:cs="Arial"/>
          <w:sz w:val="26"/>
          <w:szCs w:val="26"/>
        </w:rPr>
        <w:t>Harris, ‘Barbarian or Greek Murder? Medea’s Gift of Clothing and Identity in Euripides’ Medea’, p. 26.</w:t>
      </w:r>
    </w:p>
  </w:footnote>
  <w:footnote w:id="19">
    <w:p w14:paraId="3D100932" w14:textId="77777777" w:rsidR="00B01508" w:rsidRPr="00D71818" w:rsidRDefault="00B01508" w:rsidP="00B01508">
      <w:pPr>
        <w:pStyle w:val="FootnoteText"/>
      </w:pPr>
      <w:r w:rsidRPr="00D71818">
        <w:rPr>
          <w:rStyle w:val="FootnoteReference"/>
        </w:rPr>
        <w:footnoteRef/>
      </w:r>
      <w:r w:rsidRPr="00D71818">
        <w:t xml:space="preserve"> </w:t>
      </w:r>
      <w:r w:rsidRPr="00D71818">
        <w:rPr>
          <w:rFonts w:ascii="Arial" w:hAnsi="Arial" w:cs="Arial"/>
          <w:sz w:val="26"/>
          <w:szCs w:val="26"/>
        </w:rPr>
        <w:t>Ibid., p. 26.</w:t>
      </w:r>
    </w:p>
  </w:footnote>
  <w:footnote w:id="20">
    <w:p w14:paraId="2B3D8627" w14:textId="77777777" w:rsidR="00B01508" w:rsidRPr="00D71818" w:rsidRDefault="00B01508" w:rsidP="00B01508">
      <w:pPr>
        <w:rPr>
          <w:rFonts w:ascii="Arial" w:hAnsi="Arial" w:cs="Arial"/>
          <w:sz w:val="26"/>
          <w:szCs w:val="26"/>
        </w:rPr>
      </w:pPr>
      <w:r w:rsidRPr="00D71818">
        <w:rPr>
          <w:rStyle w:val="FootnoteReference"/>
        </w:rPr>
        <w:footnoteRef/>
      </w:r>
      <w:r w:rsidRPr="00D71818">
        <w:t xml:space="preserve"> </w:t>
      </w:r>
      <w:r w:rsidRPr="00D71818">
        <w:rPr>
          <w:rFonts w:ascii="Arial" w:hAnsi="Arial" w:cs="Arial"/>
          <w:sz w:val="26"/>
          <w:szCs w:val="26"/>
        </w:rPr>
        <w:t xml:space="preserve">Boedeker, ‘Becoming Medea: Assimilation in Euripides’, p. 135. </w:t>
      </w:r>
    </w:p>
  </w:footnote>
  <w:footnote w:id="21">
    <w:p w14:paraId="725053F1" w14:textId="77777777" w:rsidR="00B01508" w:rsidRPr="00D71818" w:rsidRDefault="00B01508" w:rsidP="00B01508">
      <w:pPr>
        <w:pStyle w:val="FootnoteText"/>
      </w:pPr>
      <w:r w:rsidRPr="00D71818">
        <w:rPr>
          <w:rStyle w:val="FootnoteReference"/>
        </w:rPr>
        <w:footnoteRef/>
      </w:r>
      <w:r w:rsidRPr="00D71818">
        <w:t xml:space="preserve"> </w:t>
      </w:r>
      <w:r w:rsidRPr="00D71818">
        <w:rPr>
          <w:rFonts w:ascii="Arial" w:hAnsi="Arial" w:cs="Arial"/>
          <w:sz w:val="26"/>
          <w:szCs w:val="26"/>
        </w:rPr>
        <w:t xml:space="preserve">Ibid., pp. 134-135. </w:t>
      </w:r>
    </w:p>
  </w:footnote>
  <w:footnote w:id="22">
    <w:p w14:paraId="38FBF77E" w14:textId="6674CC9D" w:rsidR="00EC1ECC" w:rsidRPr="00D71818" w:rsidRDefault="00EC1ECC">
      <w:pPr>
        <w:pStyle w:val="FootnoteText"/>
      </w:pPr>
      <w:r w:rsidRPr="00D71818">
        <w:rPr>
          <w:rStyle w:val="FootnoteReference"/>
        </w:rPr>
        <w:footnoteRef/>
      </w:r>
      <w:r w:rsidRPr="00D71818">
        <w:t xml:space="preserve"> </w:t>
      </w:r>
      <w:r w:rsidRPr="00D71818">
        <w:rPr>
          <w:rFonts w:ascii="Arial" w:hAnsi="Arial" w:cs="Arial"/>
          <w:sz w:val="26"/>
          <w:szCs w:val="26"/>
        </w:rPr>
        <w:t xml:space="preserve">Euripides, </w:t>
      </w:r>
      <w:r w:rsidRPr="00D71818">
        <w:rPr>
          <w:rFonts w:ascii="Arial" w:hAnsi="Arial" w:cs="Arial"/>
          <w:i/>
          <w:iCs/>
          <w:sz w:val="26"/>
          <w:szCs w:val="26"/>
        </w:rPr>
        <w:t>Medea and Other Plays</w:t>
      </w:r>
      <w:r w:rsidRPr="00D71818">
        <w:rPr>
          <w:rFonts w:ascii="Arial" w:hAnsi="Arial" w:cs="Arial"/>
          <w:sz w:val="26"/>
          <w:szCs w:val="26"/>
        </w:rPr>
        <w:t>, p. 58.</w:t>
      </w:r>
    </w:p>
  </w:footnote>
  <w:footnote w:id="23">
    <w:p w14:paraId="2E82EB61" w14:textId="28D41578" w:rsidR="00816829" w:rsidRPr="00D71818" w:rsidRDefault="00816829" w:rsidP="00816829">
      <w:pPr>
        <w:pStyle w:val="NormalWeb"/>
        <w:spacing w:before="0" w:beforeAutospacing="0" w:after="240" w:afterAutospacing="0"/>
        <w:ind w:left="720" w:hanging="720"/>
        <w:rPr>
          <w:rFonts w:ascii="Arial" w:hAnsi="Arial" w:cs="Arial"/>
          <w:sz w:val="27"/>
          <w:szCs w:val="27"/>
        </w:rPr>
      </w:pPr>
      <w:r w:rsidRPr="00D71818">
        <w:rPr>
          <w:rStyle w:val="FootnoteReference"/>
        </w:rPr>
        <w:footnoteRef/>
      </w:r>
      <w:r w:rsidRPr="00D71818">
        <w:t xml:space="preserve"> </w:t>
      </w:r>
      <w:r w:rsidR="00BF630D" w:rsidRPr="00D71818">
        <w:rPr>
          <w:rFonts w:ascii="Arial" w:hAnsi="Arial" w:cs="Arial"/>
          <w:sz w:val="26"/>
          <w:szCs w:val="26"/>
        </w:rPr>
        <w:t xml:space="preserve">Mark Cartwright, ‘Scylla and Charybdis’, </w:t>
      </w:r>
      <w:r w:rsidR="00BF630D" w:rsidRPr="00D71818">
        <w:rPr>
          <w:rFonts w:ascii="Arial" w:hAnsi="Arial" w:cs="Arial"/>
          <w:i/>
          <w:iCs/>
          <w:sz w:val="26"/>
          <w:szCs w:val="26"/>
        </w:rPr>
        <w:t xml:space="preserve">World History </w:t>
      </w:r>
      <w:proofErr w:type="spellStart"/>
      <w:r w:rsidR="00BF630D" w:rsidRPr="00D71818">
        <w:rPr>
          <w:rFonts w:ascii="Arial" w:hAnsi="Arial" w:cs="Arial"/>
          <w:i/>
          <w:iCs/>
          <w:sz w:val="26"/>
          <w:szCs w:val="26"/>
        </w:rPr>
        <w:t>Encyclopedia</w:t>
      </w:r>
      <w:proofErr w:type="spellEnd"/>
      <w:r w:rsidR="00BF630D" w:rsidRPr="00D71818">
        <w:rPr>
          <w:rFonts w:ascii="Arial" w:hAnsi="Arial" w:cs="Arial"/>
          <w:sz w:val="26"/>
          <w:szCs w:val="26"/>
        </w:rPr>
        <w:t>, 2017 &lt;</w:t>
      </w:r>
      <w:hyperlink r:id="rId2" w:history="1">
        <w:r w:rsidR="00BF630D" w:rsidRPr="00D71818">
          <w:rPr>
            <w:rStyle w:val="Hyperlink"/>
            <w:rFonts w:ascii="Arial" w:hAnsi="Arial" w:cs="Arial"/>
            <w:sz w:val="26"/>
            <w:szCs w:val="26"/>
          </w:rPr>
          <w:t>https://www.worldhistory.org/Scylla_and_Charybdis/</w:t>
        </w:r>
      </w:hyperlink>
      <w:r w:rsidR="00BF630D" w:rsidRPr="00D71818">
        <w:rPr>
          <w:rFonts w:ascii="Arial" w:hAnsi="Arial" w:cs="Arial"/>
          <w:sz w:val="26"/>
          <w:szCs w:val="26"/>
        </w:rPr>
        <w:t>&gt;.</w:t>
      </w:r>
    </w:p>
  </w:footnote>
  <w:footnote w:id="24">
    <w:p w14:paraId="0A29B90C" w14:textId="3C623129" w:rsidR="00816829" w:rsidRPr="00D71818" w:rsidRDefault="00816829" w:rsidP="00816829">
      <w:pPr>
        <w:pStyle w:val="NormalWeb"/>
        <w:spacing w:before="0" w:beforeAutospacing="0" w:after="240" w:afterAutospacing="0"/>
        <w:ind w:left="720" w:hanging="720"/>
        <w:rPr>
          <w:rFonts w:ascii="Arial" w:hAnsi="Arial" w:cs="Arial"/>
          <w:sz w:val="26"/>
          <w:szCs w:val="26"/>
        </w:rPr>
      </w:pPr>
      <w:r w:rsidRPr="00D71818">
        <w:rPr>
          <w:rStyle w:val="FootnoteReference"/>
        </w:rPr>
        <w:footnoteRef/>
      </w:r>
      <w:r w:rsidRPr="00D71818">
        <w:t xml:space="preserve"> </w:t>
      </w:r>
      <w:r w:rsidRPr="00D71818">
        <w:rPr>
          <w:rFonts w:ascii="Arial" w:hAnsi="Arial" w:cs="Arial"/>
          <w:sz w:val="26"/>
          <w:szCs w:val="26"/>
        </w:rPr>
        <w:t>Ibid.</w:t>
      </w:r>
    </w:p>
  </w:footnote>
  <w:footnote w:id="25">
    <w:p w14:paraId="2AF71500" w14:textId="384825A2" w:rsidR="00816829" w:rsidRPr="00D71818" w:rsidRDefault="00816829" w:rsidP="00816829">
      <w:pPr>
        <w:pStyle w:val="FootnoteText"/>
      </w:pPr>
      <w:r w:rsidRPr="00D71818">
        <w:rPr>
          <w:rStyle w:val="FootnoteReference"/>
        </w:rPr>
        <w:footnoteRef/>
      </w:r>
      <w:r w:rsidRPr="00D71818">
        <w:t xml:space="preserve"> </w:t>
      </w:r>
      <w:r w:rsidRPr="00D71818">
        <w:rPr>
          <w:rFonts w:ascii="Arial" w:hAnsi="Arial" w:cs="Arial"/>
          <w:sz w:val="26"/>
          <w:szCs w:val="26"/>
        </w:rPr>
        <w:t>Ibid.</w:t>
      </w:r>
    </w:p>
  </w:footnote>
  <w:footnote w:id="26">
    <w:p w14:paraId="11388D21" w14:textId="10FC95A3" w:rsidR="00514F6F" w:rsidRPr="00D71818" w:rsidRDefault="00514F6F">
      <w:pPr>
        <w:pStyle w:val="FootnoteText"/>
      </w:pPr>
      <w:r w:rsidRPr="00D71818">
        <w:rPr>
          <w:rStyle w:val="FootnoteReference"/>
        </w:rPr>
        <w:footnoteRef/>
      </w:r>
      <w:r w:rsidRPr="00D71818">
        <w:t xml:space="preserve"> </w:t>
      </w:r>
      <w:r w:rsidRPr="00D71818">
        <w:rPr>
          <w:rFonts w:ascii="Arial" w:hAnsi="Arial" w:cs="Arial"/>
          <w:sz w:val="26"/>
          <w:szCs w:val="26"/>
        </w:rPr>
        <w:t>Ibid.</w:t>
      </w:r>
    </w:p>
  </w:footnote>
  <w:footnote w:id="27">
    <w:p w14:paraId="37EEFF7F" w14:textId="50ACB93C" w:rsidR="00514F6F" w:rsidRPr="00D71818" w:rsidRDefault="00514F6F">
      <w:pPr>
        <w:pStyle w:val="FootnoteText"/>
      </w:pPr>
      <w:r w:rsidRPr="00D71818">
        <w:rPr>
          <w:rStyle w:val="FootnoteReference"/>
        </w:rPr>
        <w:footnoteRef/>
      </w:r>
      <w:r w:rsidRPr="00D71818">
        <w:t xml:space="preserve"> </w:t>
      </w:r>
      <w:r w:rsidRPr="00D71818">
        <w:rPr>
          <w:rFonts w:ascii="Arial" w:hAnsi="Arial" w:cs="Arial"/>
          <w:sz w:val="26"/>
          <w:szCs w:val="26"/>
        </w:rPr>
        <w:t>Ibid.</w:t>
      </w:r>
    </w:p>
  </w:footnote>
  <w:footnote w:id="28">
    <w:p w14:paraId="45167E38" w14:textId="452B3905" w:rsidR="00514F6F" w:rsidRPr="00D71818" w:rsidRDefault="00514F6F">
      <w:pPr>
        <w:pStyle w:val="FootnoteText"/>
      </w:pPr>
      <w:r w:rsidRPr="00D71818">
        <w:rPr>
          <w:rStyle w:val="FootnoteReference"/>
        </w:rPr>
        <w:footnoteRef/>
      </w:r>
      <w:r w:rsidRPr="00D71818">
        <w:t xml:space="preserve"> </w:t>
      </w:r>
      <w:r w:rsidRPr="00D71818">
        <w:rPr>
          <w:rFonts w:ascii="Arial" w:hAnsi="Arial" w:cs="Arial"/>
          <w:sz w:val="26"/>
          <w:szCs w:val="26"/>
        </w:rPr>
        <w:t>Ibid.</w:t>
      </w:r>
    </w:p>
  </w:footnote>
  <w:footnote w:id="29">
    <w:p w14:paraId="4019F0F1" w14:textId="40F4A848" w:rsidR="00DF190B" w:rsidRPr="00D71818" w:rsidRDefault="00DF190B" w:rsidP="00DF190B">
      <w:pPr>
        <w:pStyle w:val="FootnoteText"/>
      </w:pPr>
      <w:r w:rsidRPr="00D71818">
        <w:rPr>
          <w:rStyle w:val="FootnoteReference"/>
        </w:rPr>
        <w:footnoteRef/>
      </w:r>
      <w:r w:rsidRPr="00D71818">
        <w:t xml:space="preserve"> </w:t>
      </w:r>
      <w:r w:rsidRPr="00D71818">
        <w:rPr>
          <w:rFonts w:ascii="Arial" w:hAnsi="Arial" w:cs="Arial"/>
          <w:sz w:val="26"/>
          <w:szCs w:val="26"/>
        </w:rPr>
        <w:t xml:space="preserve">Olsen and </w:t>
      </w:r>
      <w:proofErr w:type="spellStart"/>
      <w:r w:rsidRPr="00D71818">
        <w:rPr>
          <w:rFonts w:ascii="Arial" w:hAnsi="Arial" w:cs="Arial"/>
          <w:sz w:val="26"/>
          <w:szCs w:val="26"/>
        </w:rPr>
        <w:t>Telò</w:t>
      </w:r>
      <w:proofErr w:type="spellEnd"/>
      <w:r w:rsidRPr="00D71818">
        <w:rPr>
          <w:rFonts w:ascii="Arial" w:hAnsi="Arial" w:cs="Arial"/>
          <w:sz w:val="26"/>
          <w:szCs w:val="26"/>
        </w:rPr>
        <w:t xml:space="preserve">, </w:t>
      </w:r>
      <w:r w:rsidRPr="00D71818">
        <w:rPr>
          <w:rFonts w:ascii="Arial" w:hAnsi="Arial" w:cs="Arial"/>
          <w:i/>
          <w:iCs/>
          <w:sz w:val="26"/>
          <w:szCs w:val="26"/>
        </w:rPr>
        <w:t>Queer Euripides</w:t>
      </w:r>
      <w:r w:rsidRPr="00D71818">
        <w:rPr>
          <w:rFonts w:ascii="Arial" w:hAnsi="Arial" w:cs="Arial"/>
          <w:sz w:val="26"/>
          <w:szCs w:val="26"/>
        </w:rPr>
        <w:t xml:space="preserve">, p. 99. </w:t>
      </w:r>
    </w:p>
  </w:footnote>
  <w:footnote w:id="30">
    <w:p w14:paraId="02C46D8B" w14:textId="6E181411" w:rsidR="00CC34BC" w:rsidRPr="00D71818" w:rsidRDefault="00CC34BC">
      <w:pPr>
        <w:pStyle w:val="FootnoteText"/>
      </w:pPr>
      <w:r w:rsidRPr="00D71818">
        <w:rPr>
          <w:rStyle w:val="FootnoteReference"/>
        </w:rPr>
        <w:footnoteRef/>
      </w:r>
      <w:r w:rsidRPr="00D71818">
        <w:t xml:space="preserve"> </w:t>
      </w:r>
      <w:proofErr w:type="spellStart"/>
      <w:r w:rsidR="00535FED" w:rsidRPr="00D71818">
        <w:rPr>
          <w:rFonts w:ascii="Arial" w:hAnsi="Arial" w:cs="Arial"/>
          <w:sz w:val="26"/>
          <w:szCs w:val="26"/>
        </w:rPr>
        <w:t>Luschnig</w:t>
      </w:r>
      <w:proofErr w:type="spellEnd"/>
      <w:r w:rsidR="00535FED" w:rsidRPr="00D71818">
        <w:rPr>
          <w:rFonts w:ascii="Arial" w:hAnsi="Arial" w:cs="Arial"/>
          <w:sz w:val="26"/>
          <w:szCs w:val="26"/>
        </w:rPr>
        <w:t xml:space="preserve">, </w:t>
      </w:r>
      <w:r w:rsidR="00535FED" w:rsidRPr="00D71818">
        <w:rPr>
          <w:rFonts w:ascii="Arial" w:hAnsi="Arial" w:cs="Arial"/>
          <w:i/>
          <w:iCs/>
          <w:sz w:val="26"/>
          <w:szCs w:val="26"/>
        </w:rPr>
        <w:t>Granddaughter of the Sun: A Study of Euripides’ Medea</w:t>
      </w:r>
      <w:r w:rsidR="00535FED" w:rsidRPr="00D71818">
        <w:rPr>
          <w:rFonts w:ascii="Arial" w:hAnsi="Arial" w:cs="Arial"/>
          <w:sz w:val="26"/>
          <w:szCs w:val="26"/>
        </w:rPr>
        <w:t xml:space="preserve">, </w:t>
      </w:r>
      <w:r w:rsidR="00535FED" w:rsidRPr="00D71818">
        <w:rPr>
          <w:rFonts w:ascii="Arial" w:hAnsi="Arial" w:cs="Arial"/>
          <w:sz w:val="26"/>
          <w:szCs w:val="26"/>
        </w:rPr>
        <w:t xml:space="preserve">p. </w:t>
      </w:r>
      <w:r w:rsidR="00535FED" w:rsidRPr="00D71818">
        <w:rPr>
          <w:rFonts w:ascii="Arial" w:hAnsi="Arial" w:cs="Arial"/>
          <w:sz w:val="26"/>
          <w:szCs w:val="26"/>
        </w:rPr>
        <w:t>34.</w:t>
      </w:r>
    </w:p>
  </w:footnote>
  <w:footnote w:id="31">
    <w:p w14:paraId="3AF38488" w14:textId="5C4A2D93" w:rsidR="009F15B0" w:rsidRPr="00D71818" w:rsidRDefault="009F15B0" w:rsidP="009F15B0">
      <w:pPr>
        <w:rPr>
          <w:rFonts w:ascii="Arial" w:hAnsi="Arial" w:cs="Arial"/>
          <w:sz w:val="26"/>
          <w:szCs w:val="26"/>
        </w:rPr>
      </w:pPr>
      <w:r w:rsidRPr="00D71818">
        <w:rPr>
          <w:rStyle w:val="FootnoteReference"/>
        </w:rPr>
        <w:footnoteRef/>
      </w:r>
      <w:r w:rsidRPr="00D71818">
        <w:t xml:space="preserve"> </w:t>
      </w:r>
      <w:r w:rsidRPr="00D71818">
        <w:rPr>
          <w:rFonts w:ascii="Arial" w:hAnsi="Arial" w:cs="Arial"/>
          <w:sz w:val="26"/>
          <w:szCs w:val="26"/>
        </w:rPr>
        <w:t>Boedeker, ‘Becoming Medea: Assimilation in Euripides’,</w:t>
      </w:r>
      <w:r w:rsidR="00D744F8" w:rsidRPr="00D71818">
        <w:rPr>
          <w:rFonts w:ascii="Arial" w:hAnsi="Arial" w:cs="Arial"/>
          <w:sz w:val="26"/>
          <w:szCs w:val="26"/>
        </w:rPr>
        <w:t xml:space="preserve"> </w:t>
      </w:r>
      <w:r w:rsidRPr="00D71818">
        <w:rPr>
          <w:rFonts w:ascii="Arial" w:hAnsi="Arial" w:cs="Arial"/>
          <w:sz w:val="26"/>
          <w:szCs w:val="26"/>
        </w:rPr>
        <w:t>p</w:t>
      </w:r>
      <w:r w:rsidRPr="00D71818">
        <w:rPr>
          <w:rFonts w:ascii="Arial" w:hAnsi="Arial" w:cs="Arial"/>
          <w:sz w:val="26"/>
          <w:szCs w:val="26"/>
        </w:rPr>
        <w:t>p. 127-128.</w:t>
      </w:r>
    </w:p>
  </w:footnote>
  <w:footnote w:id="32">
    <w:p w14:paraId="644D3BD4" w14:textId="7897BAA5" w:rsidR="00D36F54" w:rsidRPr="00D71818" w:rsidRDefault="00D36F54">
      <w:pPr>
        <w:pStyle w:val="FootnoteText"/>
      </w:pPr>
      <w:r w:rsidRPr="00D71818">
        <w:rPr>
          <w:rStyle w:val="FootnoteReference"/>
        </w:rPr>
        <w:footnoteRef/>
      </w:r>
      <w:r w:rsidRPr="00D71818">
        <w:t xml:space="preserve"> </w:t>
      </w:r>
      <w:r w:rsidRPr="00D71818">
        <w:rPr>
          <w:rFonts w:ascii="Arial" w:hAnsi="Arial" w:cs="Arial"/>
          <w:sz w:val="26"/>
          <w:szCs w:val="26"/>
        </w:rPr>
        <w:t>Ibid., p. 129.</w:t>
      </w:r>
    </w:p>
  </w:footnote>
  <w:footnote w:id="33">
    <w:p w14:paraId="748914F5" w14:textId="25E8ABED" w:rsidR="00D840EE" w:rsidRPr="00D71818" w:rsidRDefault="00D840EE">
      <w:pPr>
        <w:pStyle w:val="FootnoteText"/>
      </w:pPr>
      <w:r w:rsidRPr="00D71818">
        <w:rPr>
          <w:rStyle w:val="FootnoteReference"/>
        </w:rPr>
        <w:footnoteRef/>
      </w:r>
      <w:r w:rsidR="00876501">
        <w:rPr>
          <w:rFonts w:ascii="Arial" w:hAnsi="Arial" w:cs="Arial"/>
          <w:sz w:val="26"/>
          <w:szCs w:val="26"/>
        </w:rPr>
        <w:t xml:space="preserve"> Ibid., </w:t>
      </w:r>
      <w:r w:rsidR="004D0289" w:rsidRPr="00D71818">
        <w:rPr>
          <w:rFonts w:ascii="Arial" w:hAnsi="Arial" w:cs="Arial"/>
          <w:sz w:val="26"/>
          <w:szCs w:val="26"/>
        </w:rPr>
        <w:t>p</w:t>
      </w:r>
      <w:r w:rsidR="004D0289" w:rsidRPr="00D71818">
        <w:rPr>
          <w:rFonts w:ascii="Arial" w:hAnsi="Arial" w:cs="Arial"/>
          <w:sz w:val="26"/>
          <w:szCs w:val="26"/>
        </w:rPr>
        <w:t xml:space="preserve">. 129. </w:t>
      </w:r>
    </w:p>
  </w:footnote>
  <w:footnote w:id="34">
    <w:p w14:paraId="55BD6C21" w14:textId="1A1AD3D6" w:rsidR="00DF190B" w:rsidRPr="00D71818" w:rsidRDefault="00DF190B" w:rsidP="00DF190B">
      <w:pPr>
        <w:pStyle w:val="FootnoteText"/>
      </w:pPr>
      <w:r w:rsidRPr="00D71818">
        <w:rPr>
          <w:rStyle w:val="FootnoteReference"/>
        </w:rPr>
        <w:footnoteRef/>
      </w:r>
      <w:r w:rsidRPr="00D71818">
        <w:t xml:space="preserve"> </w:t>
      </w:r>
      <w:r w:rsidR="004D0289" w:rsidRPr="00D71818">
        <w:rPr>
          <w:rFonts w:ascii="Arial" w:hAnsi="Arial" w:cs="Arial"/>
          <w:sz w:val="26"/>
          <w:szCs w:val="26"/>
        </w:rPr>
        <w:t xml:space="preserve">Ibid., </w:t>
      </w:r>
      <w:r w:rsidRPr="00D71818">
        <w:rPr>
          <w:rFonts w:ascii="Arial" w:hAnsi="Arial" w:cs="Arial"/>
          <w:sz w:val="26"/>
          <w:szCs w:val="26"/>
        </w:rPr>
        <w:t>p. 136.</w:t>
      </w:r>
    </w:p>
  </w:footnote>
  <w:footnote w:id="35">
    <w:p w14:paraId="0BA3628E" w14:textId="6085B2FB" w:rsidR="00EC5687" w:rsidRPr="00D71818" w:rsidRDefault="00EC5687" w:rsidP="00EC5687">
      <w:pPr>
        <w:rPr>
          <w:rFonts w:ascii="Arial" w:hAnsi="Arial" w:cs="Arial"/>
          <w:sz w:val="26"/>
          <w:szCs w:val="26"/>
        </w:rPr>
      </w:pPr>
      <w:r w:rsidRPr="00D71818">
        <w:rPr>
          <w:rStyle w:val="FootnoteReference"/>
        </w:rPr>
        <w:footnoteRef/>
      </w:r>
      <w:r w:rsidRPr="00D71818">
        <w:rPr>
          <w:rFonts w:ascii="Arial" w:hAnsi="Arial" w:cs="Arial"/>
          <w:sz w:val="26"/>
          <w:szCs w:val="26"/>
        </w:rPr>
        <w:t xml:space="preserve"> </w:t>
      </w:r>
      <w:r w:rsidR="009F15B0" w:rsidRPr="00D71818">
        <w:rPr>
          <w:rFonts w:ascii="Arial" w:hAnsi="Arial" w:cs="Arial"/>
          <w:sz w:val="26"/>
          <w:szCs w:val="26"/>
        </w:rPr>
        <w:t xml:space="preserve">Ibid., </w:t>
      </w:r>
      <w:r w:rsidRPr="00D71818">
        <w:rPr>
          <w:rFonts w:ascii="Arial" w:hAnsi="Arial" w:cs="Arial"/>
          <w:sz w:val="26"/>
          <w:szCs w:val="26"/>
        </w:rPr>
        <w:t>p.</w:t>
      </w:r>
      <w:r w:rsidR="009F15B0" w:rsidRPr="00D71818">
        <w:rPr>
          <w:rFonts w:ascii="Arial" w:hAnsi="Arial" w:cs="Arial"/>
          <w:sz w:val="26"/>
          <w:szCs w:val="26"/>
        </w:rPr>
        <w:t xml:space="preserve"> 128. </w:t>
      </w:r>
    </w:p>
  </w:footnote>
  <w:footnote w:id="36">
    <w:p w14:paraId="302BAF4A" w14:textId="109741F1" w:rsidR="00723A1C" w:rsidRPr="00D71818" w:rsidRDefault="00723A1C">
      <w:pPr>
        <w:pStyle w:val="FootnoteText"/>
      </w:pPr>
      <w:r w:rsidRPr="00D71818">
        <w:rPr>
          <w:rStyle w:val="FootnoteReference"/>
        </w:rPr>
        <w:footnoteRef/>
      </w:r>
      <w:r w:rsidRPr="00D71818">
        <w:t xml:space="preserve"> </w:t>
      </w:r>
      <w:r w:rsidRPr="00D71818">
        <w:rPr>
          <w:rFonts w:ascii="Arial" w:hAnsi="Arial" w:cs="Arial"/>
          <w:sz w:val="26"/>
          <w:szCs w:val="26"/>
        </w:rPr>
        <w:t xml:space="preserve">Euripides, </w:t>
      </w:r>
      <w:r w:rsidRPr="00D71818">
        <w:rPr>
          <w:rFonts w:ascii="Arial" w:hAnsi="Arial" w:cs="Arial"/>
          <w:i/>
          <w:iCs/>
          <w:sz w:val="26"/>
          <w:szCs w:val="26"/>
        </w:rPr>
        <w:t>Medea and Other Plays</w:t>
      </w:r>
      <w:r w:rsidRPr="00D71818">
        <w:rPr>
          <w:rFonts w:ascii="Arial" w:hAnsi="Arial" w:cs="Arial"/>
          <w:sz w:val="26"/>
          <w:szCs w:val="26"/>
        </w:rPr>
        <w:t xml:space="preserve">, p. </w:t>
      </w:r>
      <w:r w:rsidRPr="00D71818">
        <w:rPr>
          <w:rFonts w:ascii="Arial" w:hAnsi="Arial" w:cs="Arial"/>
          <w:sz w:val="26"/>
          <w:szCs w:val="26"/>
        </w:rPr>
        <w:t>55.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18095A"/>
    <w:multiLevelType w:val="hybridMultilevel"/>
    <w:tmpl w:val="C82834A0"/>
    <w:lvl w:ilvl="0" w:tplc="0D303AAC">
      <w:start w:val="1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6793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QNiY0MDIwNjS0sDIyUdpeDU4uLM/DyQAsNaALweRH0sAAAA"/>
  </w:docVars>
  <w:rsids>
    <w:rsidRoot w:val="00493F75"/>
    <w:rsid w:val="00012FFF"/>
    <w:rsid w:val="00025CA5"/>
    <w:rsid w:val="00026CD9"/>
    <w:rsid w:val="00032E27"/>
    <w:rsid w:val="00033418"/>
    <w:rsid w:val="00036F76"/>
    <w:rsid w:val="00050580"/>
    <w:rsid w:val="00055277"/>
    <w:rsid w:val="00060F87"/>
    <w:rsid w:val="00071124"/>
    <w:rsid w:val="000860CF"/>
    <w:rsid w:val="000A3D65"/>
    <w:rsid w:val="000B1EFD"/>
    <w:rsid w:val="000C318C"/>
    <w:rsid w:val="000D3E8B"/>
    <w:rsid w:val="000E4908"/>
    <w:rsid w:val="000F3329"/>
    <w:rsid w:val="00106B62"/>
    <w:rsid w:val="001229EF"/>
    <w:rsid w:val="001232BC"/>
    <w:rsid w:val="00134081"/>
    <w:rsid w:val="00146B3A"/>
    <w:rsid w:val="00161F1C"/>
    <w:rsid w:val="00170408"/>
    <w:rsid w:val="00174160"/>
    <w:rsid w:val="00182A65"/>
    <w:rsid w:val="001836E5"/>
    <w:rsid w:val="001840C6"/>
    <w:rsid w:val="0019587A"/>
    <w:rsid w:val="001A2764"/>
    <w:rsid w:val="001A38DE"/>
    <w:rsid w:val="001A5CC3"/>
    <w:rsid w:val="001D3457"/>
    <w:rsid w:val="001E2C07"/>
    <w:rsid w:val="001E31C8"/>
    <w:rsid w:val="001E63AB"/>
    <w:rsid w:val="001E7DD1"/>
    <w:rsid w:val="00204F46"/>
    <w:rsid w:val="00221D78"/>
    <w:rsid w:val="0023432A"/>
    <w:rsid w:val="00241469"/>
    <w:rsid w:val="00244FDD"/>
    <w:rsid w:val="00251E09"/>
    <w:rsid w:val="00270480"/>
    <w:rsid w:val="0028364F"/>
    <w:rsid w:val="00287B8C"/>
    <w:rsid w:val="00297C5F"/>
    <w:rsid w:val="002A405C"/>
    <w:rsid w:val="002A4FB2"/>
    <w:rsid w:val="002A75B2"/>
    <w:rsid w:val="002C0255"/>
    <w:rsid w:val="002C2551"/>
    <w:rsid w:val="002D0599"/>
    <w:rsid w:val="002D0C6D"/>
    <w:rsid w:val="00304887"/>
    <w:rsid w:val="003214F2"/>
    <w:rsid w:val="00332908"/>
    <w:rsid w:val="00333E4C"/>
    <w:rsid w:val="0036240E"/>
    <w:rsid w:val="00364252"/>
    <w:rsid w:val="00364676"/>
    <w:rsid w:val="00380EC5"/>
    <w:rsid w:val="003974A4"/>
    <w:rsid w:val="003A20E7"/>
    <w:rsid w:val="003B4173"/>
    <w:rsid w:val="003B7D80"/>
    <w:rsid w:val="003C33ED"/>
    <w:rsid w:val="003E25C6"/>
    <w:rsid w:val="004118A5"/>
    <w:rsid w:val="00412709"/>
    <w:rsid w:val="004210AF"/>
    <w:rsid w:val="00424BDB"/>
    <w:rsid w:val="00425283"/>
    <w:rsid w:val="00441C25"/>
    <w:rsid w:val="00443E80"/>
    <w:rsid w:val="00450377"/>
    <w:rsid w:val="004636D0"/>
    <w:rsid w:val="00465901"/>
    <w:rsid w:val="00475683"/>
    <w:rsid w:val="00476BC7"/>
    <w:rsid w:val="00482D73"/>
    <w:rsid w:val="00493F75"/>
    <w:rsid w:val="00497377"/>
    <w:rsid w:val="004A3D34"/>
    <w:rsid w:val="004B3EDD"/>
    <w:rsid w:val="004C1EE6"/>
    <w:rsid w:val="004C2800"/>
    <w:rsid w:val="004C4854"/>
    <w:rsid w:val="004D0289"/>
    <w:rsid w:val="004D1C5F"/>
    <w:rsid w:val="0050046D"/>
    <w:rsid w:val="005004A0"/>
    <w:rsid w:val="00501F3A"/>
    <w:rsid w:val="00511E3C"/>
    <w:rsid w:val="005129A9"/>
    <w:rsid w:val="00514F6F"/>
    <w:rsid w:val="005351D2"/>
    <w:rsid w:val="00535FED"/>
    <w:rsid w:val="00556059"/>
    <w:rsid w:val="00556B38"/>
    <w:rsid w:val="00566688"/>
    <w:rsid w:val="00594BB6"/>
    <w:rsid w:val="005A54A3"/>
    <w:rsid w:val="005A7EBC"/>
    <w:rsid w:val="005D4F91"/>
    <w:rsid w:val="005D7A60"/>
    <w:rsid w:val="005E4AE1"/>
    <w:rsid w:val="005F3EAE"/>
    <w:rsid w:val="00600768"/>
    <w:rsid w:val="00611B41"/>
    <w:rsid w:val="00616FC4"/>
    <w:rsid w:val="0062620B"/>
    <w:rsid w:val="00640B62"/>
    <w:rsid w:val="00654A67"/>
    <w:rsid w:val="00656F75"/>
    <w:rsid w:val="00661919"/>
    <w:rsid w:val="00675FD6"/>
    <w:rsid w:val="0068198F"/>
    <w:rsid w:val="006874C4"/>
    <w:rsid w:val="00690D7A"/>
    <w:rsid w:val="006942F2"/>
    <w:rsid w:val="006A1F0F"/>
    <w:rsid w:val="006A7F35"/>
    <w:rsid w:val="006B089A"/>
    <w:rsid w:val="006B74B1"/>
    <w:rsid w:val="006C3338"/>
    <w:rsid w:val="006F40B6"/>
    <w:rsid w:val="00710FC1"/>
    <w:rsid w:val="0071215C"/>
    <w:rsid w:val="00723A1C"/>
    <w:rsid w:val="00727220"/>
    <w:rsid w:val="00753B9E"/>
    <w:rsid w:val="007748E6"/>
    <w:rsid w:val="007849DD"/>
    <w:rsid w:val="007869A3"/>
    <w:rsid w:val="007A3F91"/>
    <w:rsid w:val="007B08A2"/>
    <w:rsid w:val="007E119B"/>
    <w:rsid w:val="007E51FB"/>
    <w:rsid w:val="007F02A3"/>
    <w:rsid w:val="007F034F"/>
    <w:rsid w:val="007F3388"/>
    <w:rsid w:val="007F619F"/>
    <w:rsid w:val="007F6337"/>
    <w:rsid w:val="00813DCF"/>
    <w:rsid w:val="00816829"/>
    <w:rsid w:val="008278B3"/>
    <w:rsid w:val="00827A43"/>
    <w:rsid w:val="00831B78"/>
    <w:rsid w:val="00857538"/>
    <w:rsid w:val="008615F4"/>
    <w:rsid w:val="00861896"/>
    <w:rsid w:val="0086461F"/>
    <w:rsid w:val="0087401B"/>
    <w:rsid w:val="00874AA9"/>
    <w:rsid w:val="00876501"/>
    <w:rsid w:val="00892791"/>
    <w:rsid w:val="00895B34"/>
    <w:rsid w:val="008A4616"/>
    <w:rsid w:val="008B0AA1"/>
    <w:rsid w:val="008B79F4"/>
    <w:rsid w:val="008D178D"/>
    <w:rsid w:val="008D18A1"/>
    <w:rsid w:val="008E03C4"/>
    <w:rsid w:val="008E4BE8"/>
    <w:rsid w:val="008E5CC1"/>
    <w:rsid w:val="008F0E12"/>
    <w:rsid w:val="008F1362"/>
    <w:rsid w:val="008F1E13"/>
    <w:rsid w:val="008F2012"/>
    <w:rsid w:val="009045AC"/>
    <w:rsid w:val="009061C3"/>
    <w:rsid w:val="0092082B"/>
    <w:rsid w:val="009271A0"/>
    <w:rsid w:val="009274F1"/>
    <w:rsid w:val="00933993"/>
    <w:rsid w:val="00934C1E"/>
    <w:rsid w:val="009567BA"/>
    <w:rsid w:val="00957261"/>
    <w:rsid w:val="00995CF6"/>
    <w:rsid w:val="009A2944"/>
    <w:rsid w:val="009B4E5D"/>
    <w:rsid w:val="009D0D11"/>
    <w:rsid w:val="009E21F9"/>
    <w:rsid w:val="009F15B0"/>
    <w:rsid w:val="00A26320"/>
    <w:rsid w:val="00A413B2"/>
    <w:rsid w:val="00A70FA4"/>
    <w:rsid w:val="00A86E48"/>
    <w:rsid w:val="00AA40B6"/>
    <w:rsid w:val="00AD0E48"/>
    <w:rsid w:val="00AD45E4"/>
    <w:rsid w:val="00AD65E3"/>
    <w:rsid w:val="00AD7B57"/>
    <w:rsid w:val="00B01508"/>
    <w:rsid w:val="00B10C61"/>
    <w:rsid w:val="00B12C1F"/>
    <w:rsid w:val="00B130B4"/>
    <w:rsid w:val="00B149B4"/>
    <w:rsid w:val="00B348A1"/>
    <w:rsid w:val="00B36690"/>
    <w:rsid w:val="00B4056C"/>
    <w:rsid w:val="00B57F9A"/>
    <w:rsid w:val="00B65F6A"/>
    <w:rsid w:val="00B724A4"/>
    <w:rsid w:val="00B81172"/>
    <w:rsid w:val="00B82242"/>
    <w:rsid w:val="00B8337A"/>
    <w:rsid w:val="00BA7416"/>
    <w:rsid w:val="00BB59F0"/>
    <w:rsid w:val="00BC74A2"/>
    <w:rsid w:val="00BD244C"/>
    <w:rsid w:val="00BD333A"/>
    <w:rsid w:val="00BD5F29"/>
    <w:rsid w:val="00BF630D"/>
    <w:rsid w:val="00C03790"/>
    <w:rsid w:val="00C108E1"/>
    <w:rsid w:val="00C130B1"/>
    <w:rsid w:val="00C13D4F"/>
    <w:rsid w:val="00C30A16"/>
    <w:rsid w:val="00C33217"/>
    <w:rsid w:val="00C378EE"/>
    <w:rsid w:val="00C51113"/>
    <w:rsid w:val="00C560B3"/>
    <w:rsid w:val="00C57D4A"/>
    <w:rsid w:val="00C70D56"/>
    <w:rsid w:val="00C93991"/>
    <w:rsid w:val="00CA52A7"/>
    <w:rsid w:val="00CA7FEF"/>
    <w:rsid w:val="00CB04BF"/>
    <w:rsid w:val="00CB4F9E"/>
    <w:rsid w:val="00CB529D"/>
    <w:rsid w:val="00CC34BC"/>
    <w:rsid w:val="00CC37CB"/>
    <w:rsid w:val="00CC4C1B"/>
    <w:rsid w:val="00CD66D5"/>
    <w:rsid w:val="00CE0D64"/>
    <w:rsid w:val="00CE22B2"/>
    <w:rsid w:val="00CE3827"/>
    <w:rsid w:val="00CF0D9C"/>
    <w:rsid w:val="00CF6AB6"/>
    <w:rsid w:val="00D0457C"/>
    <w:rsid w:val="00D12B8F"/>
    <w:rsid w:val="00D21BC4"/>
    <w:rsid w:val="00D237D6"/>
    <w:rsid w:val="00D36F54"/>
    <w:rsid w:val="00D6005D"/>
    <w:rsid w:val="00D62C7C"/>
    <w:rsid w:val="00D64EF3"/>
    <w:rsid w:val="00D65367"/>
    <w:rsid w:val="00D66F18"/>
    <w:rsid w:val="00D71818"/>
    <w:rsid w:val="00D744F8"/>
    <w:rsid w:val="00D840EE"/>
    <w:rsid w:val="00D93555"/>
    <w:rsid w:val="00DA1806"/>
    <w:rsid w:val="00DA310E"/>
    <w:rsid w:val="00DC3CDE"/>
    <w:rsid w:val="00DD4602"/>
    <w:rsid w:val="00DE4190"/>
    <w:rsid w:val="00DE4C9B"/>
    <w:rsid w:val="00DF190B"/>
    <w:rsid w:val="00DF7DE7"/>
    <w:rsid w:val="00E0453B"/>
    <w:rsid w:val="00E11C5E"/>
    <w:rsid w:val="00E26BAF"/>
    <w:rsid w:val="00E52F57"/>
    <w:rsid w:val="00E53190"/>
    <w:rsid w:val="00E534F6"/>
    <w:rsid w:val="00E61F09"/>
    <w:rsid w:val="00E64661"/>
    <w:rsid w:val="00E65F73"/>
    <w:rsid w:val="00E70B7C"/>
    <w:rsid w:val="00E74BC5"/>
    <w:rsid w:val="00E84202"/>
    <w:rsid w:val="00E85FC2"/>
    <w:rsid w:val="00E862D5"/>
    <w:rsid w:val="00E8733F"/>
    <w:rsid w:val="00E87391"/>
    <w:rsid w:val="00E93A26"/>
    <w:rsid w:val="00E95A16"/>
    <w:rsid w:val="00EA1C98"/>
    <w:rsid w:val="00EA216E"/>
    <w:rsid w:val="00EA4159"/>
    <w:rsid w:val="00EA7F6A"/>
    <w:rsid w:val="00EB3642"/>
    <w:rsid w:val="00EC1ECC"/>
    <w:rsid w:val="00EC50D0"/>
    <w:rsid w:val="00EC5687"/>
    <w:rsid w:val="00EC7C67"/>
    <w:rsid w:val="00F010CA"/>
    <w:rsid w:val="00F065C6"/>
    <w:rsid w:val="00F16AD9"/>
    <w:rsid w:val="00F21F43"/>
    <w:rsid w:val="00F3077A"/>
    <w:rsid w:val="00F30EE9"/>
    <w:rsid w:val="00F34E32"/>
    <w:rsid w:val="00F44557"/>
    <w:rsid w:val="00F45266"/>
    <w:rsid w:val="00F4575A"/>
    <w:rsid w:val="00F5024F"/>
    <w:rsid w:val="00F565E0"/>
    <w:rsid w:val="00F63527"/>
    <w:rsid w:val="00F64C8F"/>
    <w:rsid w:val="00F659DE"/>
    <w:rsid w:val="00F81E33"/>
    <w:rsid w:val="00F86CCA"/>
    <w:rsid w:val="00F93069"/>
    <w:rsid w:val="00FA1B66"/>
    <w:rsid w:val="00FC044C"/>
    <w:rsid w:val="00FC38DC"/>
    <w:rsid w:val="00FC43FA"/>
    <w:rsid w:val="00FD1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34726"/>
  <w15:chartTrackingRefBased/>
  <w15:docId w15:val="{CBCE19B2-FCD5-476E-B1D1-241709E55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190B"/>
  </w:style>
  <w:style w:type="paragraph" w:styleId="Heading1">
    <w:name w:val="heading 1"/>
    <w:basedOn w:val="Normal"/>
    <w:link w:val="Heading1Char"/>
    <w:uiPriority w:val="9"/>
    <w:qFormat/>
    <w:rsid w:val="00DA310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748E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748E6"/>
    <w:rPr>
      <w:sz w:val="20"/>
      <w:szCs w:val="20"/>
    </w:rPr>
  </w:style>
  <w:style w:type="character" w:styleId="FootnoteReference">
    <w:name w:val="footnote reference"/>
    <w:basedOn w:val="DefaultParagraphFont"/>
    <w:uiPriority w:val="99"/>
    <w:semiHidden/>
    <w:unhideWhenUsed/>
    <w:rsid w:val="007748E6"/>
    <w:rPr>
      <w:vertAlign w:val="superscript"/>
    </w:rPr>
  </w:style>
  <w:style w:type="character" w:styleId="Hyperlink">
    <w:name w:val="Hyperlink"/>
    <w:basedOn w:val="DefaultParagraphFont"/>
    <w:uiPriority w:val="99"/>
    <w:unhideWhenUsed/>
    <w:rsid w:val="007748E6"/>
    <w:rPr>
      <w:color w:val="0000FF"/>
      <w:u w:val="single"/>
    </w:rPr>
  </w:style>
  <w:style w:type="paragraph" w:styleId="Header">
    <w:name w:val="header"/>
    <w:basedOn w:val="Normal"/>
    <w:link w:val="HeaderChar"/>
    <w:uiPriority w:val="99"/>
    <w:unhideWhenUsed/>
    <w:rsid w:val="008927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791"/>
  </w:style>
  <w:style w:type="paragraph" w:styleId="Footer">
    <w:name w:val="footer"/>
    <w:basedOn w:val="Normal"/>
    <w:link w:val="FooterChar"/>
    <w:uiPriority w:val="99"/>
    <w:unhideWhenUsed/>
    <w:rsid w:val="008927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791"/>
  </w:style>
  <w:style w:type="paragraph" w:styleId="NormalWeb">
    <w:name w:val="Normal (Web)"/>
    <w:basedOn w:val="Normal"/>
    <w:uiPriority w:val="99"/>
    <w:unhideWhenUsed/>
    <w:rsid w:val="0042528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D12B8F"/>
    <w:rPr>
      <w:color w:val="605E5C"/>
      <w:shd w:val="clear" w:color="auto" w:fill="E1DFDD"/>
    </w:rPr>
  </w:style>
  <w:style w:type="paragraph" w:styleId="ListParagraph">
    <w:name w:val="List Paragraph"/>
    <w:basedOn w:val="Normal"/>
    <w:uiPriority w:val="34"/>
    <w:qFormat/>
    <w:rsid w:val="007E119B"/>
    <w:pPr>
      <w:ind w:left="720"/>
      <w:contextualSpacing/>
    </w:pPr>
  </w:style>
  <w:style w:type="character" w:customStyle="1" w:styleId="Heading1Char">
    <w:name w:val="Heading 1 Char"/>
    <w:basedOn w:val="DefaultParagraphFont"/>
    <w:link w:val="Heading1"/>
    <w:uiPriority w:val="9"/>
    <w:rsid w:val="00DA310E"/>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506219">
      <w:bodyDiv w:val="1"/>
      <w:marLeft w:val="0"/>
      <w:marRight w:val="0"/>
      <w:marTop w:val="0"/>
      <w:marBottom w:val="0"/>
      <w:divBdr>
        <w:top w:val="none" w:sz="0" w:space="0" w:color="auto"/>
        <w:left w:val="none" w:sz="0" w:space="0" w:color="auto"/>
        <w:bottom w:val="none" w:sz="0" w:space="0" w:color="auto"/>
        <w:right w:val="none" w:sz="0" w:space="0" w:color="auto"/>
      </w:divBdr>
      <w:divsChild>
        <w:div w:id="1652753392">
          <w:marLeft w:val="-720"/>
          <w:marRight w:val="0"/>
          <w:marTop w:val="0"/>
          <w:marBottom w:val="0"/>
          <w:divBdr>
            <w:top w:val="none" w:sz="0" w:space="0" w:color="auto"/>
            <w:left w:val="none" w:sz="0" w:space="0" w:color="auto"/>
            <w:bottom w:val="none" w:sz="0" w:space="0" w:color="auto"/>
            <w:right w:val="none" w:sz="0" w:space="0" w:color="auto"/>
          </w:divBdr>
        </w:div>
      </w:divsChild>
    </w:div>
    <w:div w:id="1060248283">
      <w:bodyDiv w:val="1"/>
      <w:marLeft w:val="0"/>
      <w:marRight w:val="0"/>
      <w:marTop w:val="0"/>
      <w:marBottom w:val="0"/>
      <w:divBdr>
        <w:top w:val="none" w:sz="0" w:space="0" w:color="auto"/>
        <w:left w:val="none" w:sz="0" w:space="0" w:color="auto"/>
        <w:bottom w:val="none" w:sz="0" w:space="0" w:color="auto"/>
        <w:right w:val="none" w:sz="0" w:space="0" w:color="auto"/>
      </w:divBdr>
      <w:divsChild>
        <w:div w:id="208969503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worldhistory.org/Scylla_and_Charybdis/" TargetMode="External"/><Relationship Id="rId1" Type="http://schemas.openxmlformats.org/officeDocument/2006/relationships/hyperlink" Target="https://www.jstor.org/stable/32078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25C34C-5BB1-42EF-A34E-F79FE668E3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8685</TotalTime>
  <Pages>10</Pages>
  <Words>2870</Words>
  <Characters>16362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Neve Pule</dc:creator>
  <cp:keywords/>
  <dc:description/>
  <cp:lastModifiedBy>Neve Pule</cp:lastModifiedBy>
  <cp:revision>306</cp:revision>
  <cp:lastPrinted>2023-12-10T17:06:00Z</cp:lastPrinted>
  <dcterms:created xsi:type="dcterms:W3CDTF">2023-12-01T09:18:00Z</dcterms:created>
  <dcterms:modified xsi:type="dcterms:W3CDTF">2023-12-13T10:30:00Z</dcterms:modified>
</cp:coreProperties>
</file>