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583E5" w14:textId="3A11F6B2" w:rsidR="000725AC" w:rsidRPr="00CD625D" w:rsidRDefault="77D794B2" w:rsidP="00CD625D">
      <w:pPr>
        <w:spacing w:line="360" w:lineRule="auto"/>
        <w:rPr>
          <w:rFonts w:cstheme="minorHAnsi"/>
        </w:rPr>
      </w:pPr>
      <w:r w:rsidRPr="00CD625D">
        <w:rPr>
          <w:rFonts w:eastAsia="Arial" w:cstheme="minorHAnsi"/>
          <w:color w:val="000000" w:themeColor="text1"/>
          <w:sz w:val="100"/>
          <w:szCs w:val="100"/>
          <w:lang w:val="en-GB"/>
        </w:rPr>
        <w:t xml:space="preserve">                      </w:t>
      </w:r>
      <w:r w:rsidR="15988D74" w:rsidRPr="00CD625D">
        <w:rPr>
          <w:rFonts w:eastAsia="Arial" w:cstheme="minorHAnsi"/>
          <w:color w:val="000000" w:themeColor="text1"/>
          <w:sz w:val="100"/>
          <w:szCs w:val="100"/>
          <w:lang w:val="en-GB"/>
        </w:rPr>
        <w:t xml:space="preserve"> </w:t>
      </w:r>
      <w:r w:rsidR="3CA0D0BE" w:rsidRPr="00CD625D">
        <w:rPr>
          <w:rFonts w:cstheme="minorHAnsi"/>
          <w:noProof/>
        </w:rPr>
        <w:drawing>
          <wp:inline distT="0" distB="0" distL="0" distR="0" wp14:anchorId="2149B5A5" wp14:editId="503C24CC">
            <wp:extent cx="1872182" cy="784837"/>
            <wp:effectExtent l="0" t="0" r="0" b="0"/>
            <wp:docPr id="20232388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788893" name="Picture 1802788893"/>
                    <pic:cNvPicPr/>
                  </pic:nvPicPr>
                  <pic:blipFill>
                    <a:blip r:embed="rId7">
                      <a:extLst>
                        <a:ext uri="{28A0092B-C50C-407E-A947-70E740481C1C}">
                          <a14:useLocalDpi xmlns:a14="http://schemas.microsoft.com/office/drawing/2010/main"/>
                        </a:ext>
                      </a:extLst>
                    </a:blip>
                    <a:stretch>
                      <a:fillRect/>
                    </a:stretch>
                  </pic:blipFill>
                  <pic:spPr>
                    <a:xfrm>
                      <a:off x="0" y="0"/>
                      <a:ext cx="1872182" cy="784837"/>
                    </a:xfrm>
                    <a:prstGeom prst="rect">
                      <a:avLst/>
                    </a:prstGeom>
                  </pic:spPr>
                </pic:pic>
              </a:graphicData>
            </a:graphic>
          </wp:inline>
        </w:drawing>
      </w:r>
    </w:p>
    <w:p w14:paraId="554E3848" w14:textId="7F719361" w:rsidR="000725AC" w:rsidRPr="00CD625D" w:rsidRDefault="2F62E6F5" w:rsidP="00CD625D">
      <w:pPr>
        <w:spacing w:line="360" w:lineRule="auto"/>
        <w:rPr>
          <w:rFonts w:cstheme="minorHAnsi"/>
        </w:rPr>
      </w:pPr>
      <w:r w:rsidRPr="00CD625D">
        <w:rPr>
          <w:rFonts w:eastAsia="Arial" w:cstheme="minorHAnsi"/>
          <w:color w:val="000000" w:themeColor="text1"/>
          <w:sz w:val="80"/>
          <w:szCs w:val="80"/>
          <w:lang w:val="en-GB"/>
        </w:rPr>
        <w:t>Depression Report</w:t>
      </w:r>
    </w:p>
    <w:p w14:paraId="303E93EC" w14:textId="497B795F" w:rsidR="000725AC" w:rsidRPr="00CD625D" w:rsidRDefault="2F62E6F5" w:rsidP="00CD625D">
      <w:pPr>
        <w:spacing w:line="360" w:lineRule="auto"/>
        <w:rPr>
          <w:rFonts w:cstheme="minorHAnsi"/>
        </w:rPr>
      </w:pPr>
      <w:r w:rsidRPr="00CD625D">
        <w:rPr>
          <w:rFonts w:eastAsia="Arial" w:cstheme="minorHAnsi"/>
          <w:color w:val="000000" w:themeColor="text1"/>
          <w:sz w:val="40"/>
          <w:szCs w:val="40"/>
          <w:lang w:val="en-GB"/>
        </w:rPr>
        <w:t>Module Name: Public Health</w:t>
      </w:r>
    </w:p>
    <w:p w14:paraId="3B3251F0" w14:textId="00D45B36" w:rsidR="000725AC" w:rsidRPr="00CD625D" w:rsidRDefault="2F62E6F5" w:rsidP="00CD625D">
      <w:pPr>
        <w:spacing w:line="360" w:lineRule="auto"/>
        <w:rPr>
          <w:rFonts w:eastAsia="Arial" w:cstheme="minorHAnsi"/>
          <w:sz w:val="40"/>
          <w:szCs w:val="40"/>
          <w:lang w:val="en-GB"/>
        </w:rPr>
      </w:pPr>
      <w:r w:rsidRPr="00CD625D">
        <w:rPr>
          <w:rFonts w:eastAsia="Arial" w:cstheme="minorHAnsi"/>
          <w:color w:val="000000" w:themeColor="text1"/>
          <w:sz w:val="40"/>
          <w:szCs w:val="40"/>
          <w:lang w:val="en-GB"/>
        </w:rPr>
        <w:t xml:space="preserve">Module Code: </w:t>
      </w:r>
      <w:r w:rsidRPr="00CD625D">
        <w:rPr>
          <w:rFonts w:eastAsia="Arial" w:cstheme="minorHAnsi"/>
          <w:color w:val="1D2125"/>
          <w:sz w:val="40"/>
          <w:szCs w:val="40"/>
          <w:lang w:val="en-GB"/>
        </w:rPr>
        <w:t>LCHS4008</w:t>
      </w:r>
    </w:p>
    <w:p w14:paraId="30EE8C10" w14:textId="3628ECEC" w:rsidR="000725AC" w:rsidRPr="00CD625D" w:rsidRDefault="5DA5704B" w:rsidP="00CD625D">
      <w:pPr>
        <w:spacing w:line="360" w:lineRule="auto"/>
        <w:rPr>
          <w:rFonts w:cstheme="minorHAnsi"/>
        </w:rPr>
      </w:pPr>
      <w:r w:rsidRPr="00CD625D">
        <w:rPr>
          <w:rFonts w:eastAsia="Arial" w:cstheme="minorHAnsi"/>
          <w:color w:val="000000" w:themeColor="text1"/>
          <w:sz w:val="40"/>
          <w:szCs w:val="40"/>
          <w:lang w:val="en-GB"/>
        </w:rPr>
        <w:t>Student Name: Junieette Brenes</w:t>
      </w:r>
    </w:p>
    <w:p w14:paraId="5A81BAD6" w14:textId="7B18249E" w:rsidR="000725AC" w:rsidRPr="00CD625D" w:rsidRDefault="5DA5704B" w:rsidP="00CD625D">
      <w:pPr>
        <w:spacing w:line="360" w:lineRule="auto"/>
        <w:rPr>
          <w:rFonts w:cstheme="minorHAnsi"/>
        </w:rPr>
      </w:pPr>
      <w:r w:rsidRPr="00CD625D">
        <w:rPr>
          <w:rFonts w:eastAsia="Arial" w:cstheme="minorHAnsi"/>
          <w:color w:val="000000" w:themeColor="text1"/>
          <w:sz w:val="40"/>
          <w:szCs w:val="40"/>
          <w:lang w:val="en-GB"/>
        </w:rPr>
        <w:t>Lecturer's Name: Patronella Ganza</w:t>
      </w:r>
    </w:p>
    <w:p w14:paraId="04085CD9" w14:textId="7BA1504A" w:rsidR="000725AC" w:rsidRPr="00CD625D" w:rsidRDefault="000725AC" w:rsidP="00CD625D">
      <w:pPr>
        <w:spacing w:line="360" w:lineRule="auto"/>
        <w:rPr>
          <w:rFonts w:eastAsia="Arial" w:cstheme="minorHAnsi"/>
          <w:color w:val="000000" w:themeColor="text1"/>
          <w:sz w:val="40"/>
          <w:szCs w:val="40"/>
          <w:lang w:val="en-GB"/>
        </w:rPr>
      </w:pPr>
    </w:p>
    <w:p w14:paraId="14F4F8E1" w14:textId="2FF2DD62" w:rsidR="000725AC" w:rsidRPr="00CD625D" w:rsidRDefault="000725AC" w:rsidP="00CD625D">
      <w:pPr>
        <w:spacing w:line="360" w:lineRule="auto"/>
        <w:rPr>
          <w:rFonts w:eastAsia="Arial" w:cstheme="minorHAnsi"/>
          <w:color w:val="000000" w:themeColor="text1"/>
          <w:sz w:val="40"/>
          <w:szCs w:val="40"/>
          <w:lang w:val="en-GB"/>
        </w:rPr>
      </w:pPr>
    </w:p>
    <w:p w14:paraId="257AE3FB" w14:textId="5EDC9F23" w:rsidR="000725AC" w:rsidRPr="00CD625D" w:rsidRDefault="000725AC" w:rsidP="00CD625D">
      <w:pPr>
        <w:spacing w:line="360" w:lineRule="auto"/>
        <w:rPr>
          <w:rFonts w:eastAsia="Arial" w:cstheme="minorHAnsi"/>
          <w:color w:val="000000" w:themeColor="text1"/>
          <w:sz w:val="40"/>
          <w:szCs w:val="40"/>
          <w:lang w:val="en-GB"/>
        </w:rPr>
      </w:pPr>
    </w:p>
    <w:p w14:paraId="715AEC51" w14:textId="4DD60D3E" w:rsidR="000725AC" w:rsidRPr="00CD625D" w:rsidRDefault="000725AC" w:rsidP="00CD625D">
      <w:pPr>
        <w:spacing w:line="360" w:lineRule="auto"/>
        <w:rPr>
          <w:rFonts w:eastAsia="Arial" w:cstheme="minorHAnsi"/>
          <w:color w:val="000000" w:themeColor="text1"/>
          <w:sz w:val="40"/>
          <w:szCs w:val="40"/>
          <w:lang w:val="en-GB"/>
        </w:rPr>
      </w:pPr>
    </w:p>
    <w:p w14:paraId="1F9E3553" w14:textId="0E3F0563" w:rsidR="000725AC" w:rsidRPr="00CD625D" w:rsidRDefault="000725AC" w:rsidP="00CD625D">
      <w:pPr>
        <w:spacing w:line="360" w:lineRule="auto"/>
        <w:rPr>
          <w:rFonts w:eastAsia="Arial" w:cstheme="minorHAnsi"/>
          <w:color w:val="000000" w:themeColor="text1"/>
          <w:sz w:val="40"/>
          <w:szCs w:val="40"/>
          <w:lang w:val="en-GB"/>
        </w:rPr>
      </w:pPr>
    </w:p>
    <w:p w14:paraId="04DC2D23" w14:textId="32B57CDD" w:rsidR="000725AC" w:rsidRPr="00CD625D" w:rsidRDefault="000725AC" w:rsidP="00CD625D">
      <w:pPr>
        <w:spacing w:line="360" w:lineRule="auto"/>
        <w:rPr>
          <w:rFonts w:eastAsia="Arial" w:cstheme="minorHAnsi"/>
          <w:color w:val="000000" w:themeColor="text1"/>
          <w:sz w:val="40"/>
          <w:szCs w:val="40"/>
          <w:lang w:val="en-GB"/>
        </w:rPr>
      </w:pPr>
    </w:p>
    <w:p w14:paraId="51A55B7B" w14:textId="54A86035" w:rsidR="000725AC" w:rsidRPr="00CD625D" w:rsidRDefault="000725AC" w:rsidP="00CD625D">
      <w:pPr>
        <w:spacing w:line="360" w:lineRule="auto"/>
        <w:rPr>
          <w:rFonts w:eastAsia="Arial" w:cstheme="minorHAnsi"/>
          <w:color w:val="000000" w:themeColor="text1"/>
          <w:sz w:val="40"/>
          <w:szCs w:val="40"/>
          <w:lang w:val="en-GB"/>
        </w:rPr>
      </w:pPr>
    </w:p>
    <w:p w14:paraId="5C18264A" w14:textId="422930AA" w:rsidR="000725AC" w:rsidRPr="00CD625D" w:rsidRDefault="000725AC" w:rsidP="00CD625D">
      <w:pPr>
        <w:spacing w:line="360" w:lineRule="auto"/>
        <w:rPr>
          <w:rFonts w:eastAsia="Arial" w:cstheme="minorHAnsi"/>
          <w:color w:val="000000" w:themeColor="text1"/>
          <w:sz w:val="40"/>
          <w:szCs w:val="40"/>
          <w:lang w:val="en-GB"/>
        </w:rPr>
      </w:pPr>
    </w:p>
    <w:p w14:paraId="778CED7E" w14:textId="4BE7DCF6" w:rsidR="2DAF56F4" w:rsidRPr="00CD625D" w:rsidRDefault="2DAF56F4" w:rsidP="00CD625D">
      <w:pPr>
        <w:spacing w:line="360" w:lineRule="auto"/>
        <w:rPr>
          <w:rFonts w:eastAsia="Arial" w:cstheme="minorHAnsi"/>
          <w:color w:val="000000" w:themeColor="text1"/>
          <w:sz w:val="40"/>
          <w:szCs w:val="40"/>
          <w:lang w:val="en-GB"/>
        </w:rPr>
      </w:pPr>
    </w:p>
    <w:p w14:paraId="31452A6A" w14:textId="4F6FAF95" w:rsidR="000725AC" w:rsidRPr="00CD625D" w:rsidRDefault="000725AC" w:rsidP="00CD625D">
      <w:pPr>
        <w:pStyle w:val="Heading1"/>
        <w:spacing w:line="360" w:lineRule="auto"/>
        <w:rPr>
          <w:rFonts w:asciiTheme="minorHAnsi" w:eastAsiaTheme="minorEastAsia" w:hAnsiTheme="minorHAnsi" w:cstheme="minorHAnsi"/>
        </w:rPr>
      </w:pPr>
    </w:p>
    <w:p w14:paraId="0CAA034B" w14:textId="77777777" w:rsidR="003B3D67" w:rsidRPr="00CD625D" w:rsidRDefault="003B3D67" w:rsidP="00CD625D">
      <w:pPr>
        <w:spacing w:line="360" w:lineRule="auto"/>
        <w:rPr>
          <w:rFonts w:cstheme="minorHAnsi"/>
        </w:rPr>
      </w:pPr>
    </w:p>
    <w:p w14:paraId="337BB263" w14:textId="77777777" w:rsidR="003B3D67" w:rsidRPr="00CD625D" w:rsidRDefault="003B3D67" w:rsidP="00CD625D">
      <w:pPr>
        <w:spacing w:line="360" w:lineRule="auto"/>
        <w:rPr>
          <w:rFonts w:cstheme="minorHAnsi"/>
        </w:rPr>
      </w:pPr>
    </w:p>
    <w:sdt>
      <w:sdtPr>
        <w:rPr>
          <w:rFonts w:asciiTheme="minorHAnsi" w:eastAsiaTheme="minorEastAsia" w:hAnsiTheme="minorHAnsi" w:cstheme="minorHAnsi"/>
          <w:color w:val="auto"/>
          <w:sz w:val="24"/>
          <w:szCs w:val="24"/>
          <w:lang w:eastAsia="ja-JP"/>
        </w:rPr>
        <w:id w:val="1133361435"/>
        <w:docPartObj>
          <w:docPartGallery w:val="Table of Contents"/>
          <w:docPartUnique/>
        </w:docPartObj>
      </w:sdtPr>
      <w:sdtEndPr>
        <w:rPr>
          <w:b/>
          <w:bCs/>
          <w:noProof/>
        </w:rPr>
      </w:sdtEndPr>
      <w:sdtContent>
        <w:p w14:paraId="010B2FCE" w14:textId="1A32968F" w:rsidR="003B3D67" w:rsidRPr="00CD625D" w:rsidRDefault="003B3D67" w:rsidP="00CD625D">
          <w:pPr>
            <w:pStyle w:val="TOCHeading"/>
            <w:spacing w:line="360" w:lineRule="auto"/>
            <w:rPr>
              <w:rFonts w:asciiTheme="minorHAnsi" w:hAnsiTheme="minorHAnsi" w:cstheme="minorHAnsi"/>
            </w:rPr>
          </w:pPr>
          <w:r w:rsidRPr="00CD625D">
            <w:rPr>
              <w:rFonts w:asciiTheme="minorHAnsi" w:hAnsiTheme="minorHAnsi" w:cstheme="minorHAnsi"/>
            </w:rPr>
            <w:t>Contents</w:t>
          </w:r>
        </w:p>
        <w:p w14:paraId="26137831" w14:textId="1393BE18" w:rsidR="00CD625D" w:rsidRDefault="003B3D67">
          <w:pPr>
            <w:pStyle w:val="TOC1"/>
            <w:tabs>
              <w:tab w:val="right" w:leader="dot" w:pos="9350"/>
            </w:tabs>
            <w:rPr>
              <w:noProof/>
              <w:kern w:val="2"/>
              <w:lang w:val="en-GB" w:eastAsia="en-GB"/>
              <w14:ligatures w14:val="standardContextual"/>
            </w:rPr>
          </w:pPr>
          <w:r w:rsidRPr="00CD625D">
            <w:rPr>
              <w:rFonts w:cstheme="minorHAnsi"/>
            </w:rPr>
            <w:fldChar w:fldCharType="begin"/>
          </w:r>
          <w:r w:rsidRPr="00CD625D">
            <w:rPr>
              <w:rFonts w:cstheme="minorHAnsi"/>
            </w:rPr>
            <w:instrText xml:space="preserve"> TOC \o "1-3" \h \z \u </w:instrText>
          </w:r>
          <w:r w:rsidRPr="00CD625D">
            <w:rPr>
              <w:rFonts w:cstheme="minorHAnsi"/>
            </w:rPr>
            <w:fldChar w:fldCharType="separate"/>
          </w:r>
          <w:hyperlink w:anchor="_Toc237763450" w:history="1">
            <w:r w:rsidR="00CD625D" w:rsidRPr="00832F87">
              <w:rPr>
                <w:rStyle w:val="Hyperlink"/>
                <w:rFonts w:cstheme="minorHAnsi"/>
                <w:noProof/>
              </w:rPr>
              <w:t>Introduction</w:t>
            </w:r>
            <w:r w:rsidR="00CD625D">
              <w:rPr>
                <w:noProof/>
                <w:webHidden/>
              </w:rPr>
              <w:tab/>
            </w:r>
            <w:r w:rsidR="00CD625D">
              <w:rPr>
                <w:noProof/>
                <w:webHidden/>
              </w:rPr>
              <w:fldChar w:fldCharType="begin"/>
            </w:r>
            <w:r w:rsidR="00CD625D">
              <w:rPr>
                <w:noProof/>
                <w:webHidden/>
              </w:rPr>
              <w:instrText xml:space="preserve"> PAGEREF _Toc237763450 \h </w:instrText>
            </w:r>
            <w:r w:rsidR="00CD625D">
              <w:rPr>
                <w:noProof/>
                <w:webHidden/>
              </w:rPr>
            </w:r>
            <w:r w:rsidR="00CD625D">
              <w:rPr>
                <w:noProof/>
                <w:webHidden/>
              </w:rPr>
              <w:fldChar w:fldCharType="separate"/>
            </w:r>
            <w:r w:rsidR="00CD625D">
              <w:rPr>
                <w:noProof/>
                <w:webHidden/>
              </w:rPr>
              <w:t>1</w:t>
            </w:r>
            <w:r w:rsidR="00CD625D">
              <w:rPr>
                <w:noProof/>
                <w:webHidden/>
              </w:rPr>
              <w:fldChar w:fldCharType="end"/>
            </w:r>
          </w:hyperlink>
        </w:p>
        <w:p w14:paraId="53F6BBC7" w14:textId="0F5A5C2B" w:rsidR="00CD625D" w:rsidRDefault="00CD625D">
          <w:pPr>
            <w:pStyle w:val="TOC1"/>
            <w:tabs>
              <w:tab w:val="right" w:leader="dot" w:pos="9350"/>
            </w:tabs>
            <w:rPr>
              <w:noProof/>
              <w:kern w:val="2"/>
              <w:lang w:val="en-GB" w:eastAsia="en-GB"/>
              <w14:ligatures w14:val="standardContextual"/>
            </w:rPr>
          </w:pPr>
          <w:hyperlink w:anchor="_Toc237763451" w:history="1">
            <w:r w:rsidRPr="00832F87">
              <w:rPr>
                <w:rStyle w:val="Hyperlink"/>
                <w:rFonts w:eastAsia="Arial" w:cstheme="minorHAnsi"/>
                <w:noProof/>
              </w:rPr>
              <w:t>Measurement and Monitoring in the UK</w:t>
            </w:r>
            <w:r>
              <w:rPr>
                <w:noProof/>
                <w:webHidden/>
              </w:rPr>
              <w:tab/>
            </w:r>
            <w:r>
              <w:rPr>
                <w:noProof/>
                <w:webHidden/>
              </w:rPr>
              <w:fldChar w:fldCharType="begin"/>
            </w:r>
            <w:r>
              <w:rPr>
                <w:noProof/>
                <w:webHidden/>
              </w:rPr>
              <w:instrText xml:space="preserve"> PAGEREF _Toc237763451 \h </w:instrText>
            </w:r>
            <w:r>
              <w:rPr>
                <w:noProof/>
                <w:webHidden/>
              </w:rPr>
            </w:r>
            <w:r>
              <w:rPr>
                <w:noProof/>
                <w:webHidden/>
              </w:rPr>
              <w:fldChar w:fldCharType="separate"/>
            </w:r>
            <w:r>
              <w:rPr>
                <w:noProof/>
                <w:webHidden/>
              </w:rPr>
              <w:t>2</w:t>
            </w:r>
            <w:r>
              <w:rPr>
                <w:noProof/>
                <w:webHidden/>
              </w:rPr>
              <w:fldChar w:fldCharType="end"/>
            </w:r>
          </w:hyperlink>
        </w:p>
        <w:p w14:paraId="3B8EA22D" w14:textId="2FEE42EE" w:rsidR="00CD625D" w:rsidRDefault="00CD625D">
          <w:pPr>
            <w:pStyle w:val="TOC1"/>
            <w:tabs>
              <w:tab w:val="right" w:leader="dot" w:pos="9350"/>
            </w:tabs>
            <w:rPr>
              <w:noProof/>
              <w:kern w:val="2"/>
              <w:lang w:val="en-GB" w:eastAsia="en-GB"/>
              <w14:ligatures w14:val="standardContextual"/>
            </w:rPr>
          </w:pPr>
          <w:hyperlink w:anchor="_Toc237763452" w:history="1">
            <w:r w:rsidRPr="00832F87">
              <w:rPr>
                <w:rStyle w:val="Hyperlink"/>
                <w:rFonts w:cstheme="minorHAnsi"/>
                <w:noProof/>
              </w:rPr>
              <w:t>Control of depression in the UK</w:t>
            </w:r>
            <w:r>
              <w:rPr>
                <w:noProof/>
                <w:webHidden/>
              </w:rPr>
              <w:tab/>
            </w:r>
            <w:r>
              <w:rPr>
                <w:noProof/>
                <w:webHidden/>
              </w:rPr>
              <w:fldChar w:fldCharType="begin"/>
            </w:r>
            <w:r>
              <w:rPr>
                <w:noProof/>
                <w:webHidden/>
              </w:rPr>
              <w:instrText xml:space="preserve"> PAGEREF _Toc237763452 \h </w:instrText>
            </w:r>
            <w:r>
              <w:rPr>
                <w:noProof/>
                <w:webHidden/>
              </w:rPr>
            </w:r>
            <w:r>
              <w:rPr>
                <w:noProof/>
                <w:webHidden/>
              </w:rPr>
              <w:fldChar w:fldCharType="separate"/>
            </w:r>
            <w:r>
              <w:rPr>
                <w:noProof/>
                <w:webHidden/>
              </w:rPr>
              <w:t>3</w:t>
            </w:r>
            <w:r>
              <w:rPr>
                <w:noProof/>
                <w:webHidden/>
              </w:rPr>
              <w:fldChar w:fldCharType="end"/>
            </w:r>
          </w:hyperlink>
        </w:p>
        <w:p w14:paraId="69F06CDD" w14:textId="720010FA" w:rsidR="00CD625D" w:rsidRDefault="00CD625D">
          <w:pPr>
            <w:pStyle w:val="TOC1"/>
            <w:tabs>
              <w:tab w:val="right" w:leader="dot" w:pos="9350"/>
            </w:tabs>
            <w:rPr>
              <w:noProof/>
              <w:kern w:val="2"/>
              <w:lang w:val="en-GB" w:eastAsia="en-GB"/>
              <w14:ligatures w14:val="standardContextual"/>
            </w:rPr>
          </w:pPr>
          <w:hyperlink w:anchor="_Toc237763453" w:history="1">
            <w:r w:rsidRPr="00832F87">
              <w:rPr>
                <w:rStyle w:val="Hyperlink"/>
                <w:rFonts w:cstheme="minorHAnsi"/>
                <w:noProof/>
              </w:rPr>
              <w:t>Consequences and community challenges in the UK</w:t>
            </w:r>
            <w:r>
              <w:rPr>
                <w:noProof/>
                <w:webHidden/>
              </w:rPr>
              <w:tab/>
            </w:r>
            <w:r>
              <w:rPr>
                <w:noProof/>
                <w:webHidden/>
              </w:rPr>
              <w:fldChar w:fldCharType="begin"/>
            </w:r>
            <w:r>
              <w:rPr>
                <w:noProof/>
                <w:webHidden/>
              </w:rPr>
              <w:instrText xml:space="preserve"> PAGEREF _Toc237763453 \h </w:instrText>
            </w:r>
            <w:r>
              <w:rPr>
                <w:noProof/>
                <w:webHidden/>
              </w:rPr>
            </w:r>
            <w:r>
              <w:rPr>
                <w:noProof/>
                <w:webHidden/>
              </w:rPr>
              <w:fldChar w:fldCharType="separate"/>
            </w:r>
            <w:r>
              <w:rPr>
                <w:noProof/>
                <w:webHidden/>
              </w:rPr>
              <w:t>4</w:t>
            </w:r>
            <w:r>
              <w:rPr>
                <w:noProof/>
                <w:webHidden/>
              </w:rPr>
              <w:fldChar w:fldCharType="end"/>
            </w:r>
          </w:hyperlink>
        </w:p>
        <w:p w14:paraId="478D564B" w14:textId="73EA30F7" w:rsidR="00CD625D" w:rsidRDefault="00CD625D">
          <w:pPr>
            <w:pStyle w:val="TOC1"/>
            <w:tabs>
              <w:tab w:val="right" w:leader="dot" w:pos="9350"/>
            </w:tabs>
            <w:rPr>
              <w:noProof/>
              <w:kern w:val="2"/>
              <w:lang w:val="en-GB" w:eastAsia="en-GB"/>
              <w14:ligatures w14:val="standardContextual"/>
            </w:rPr>
          </w:pPr>
          <w:hyperlink w:anchor="_Toc237763454" w:history="1">
            <w:r w:rsidRPr="00832F87">
              <w:rPr>
                <w:rStyle w:val="Hyperlink"/>
                <w:rFonts w:cstheme="minorHAnsi"/>
                <w:noProof/>
              </w:rPr>
              <w:t>Health and social care support services required in the UK</w:t>
            </w:r>
            <w:r>
              <w:rPr>
                <w:noProof/>
                <w:webHidden/>
              </w:rPr>
              <w:tab/>
            </w:r>
            <w:r>
              <w:rPr>
                <w:noProof/>
                <w:webHidden/>
              </w:rPr>
              <w:fldChar w:fldCharType="begin"/>
            </w:r>
            <w:r>
              <w:rPr>
                <w:noProof/>
                <w:webHidden/>
              </w:rPr>
              <w:instrText xml:space="preserve"> PAGEREF _Toc237763454 \h </w:instrText>
            </w:r>
            <w:r>
              <w:rPr>
                <w:noProof/>
                <w:webHidden/>
              </w:rPr>
            </w:r>
            <w:r>
              <w:rPr>
                <w:noProof/>
                <w:webHidden/>
              </w:rPr>
              <w:fldChar w:fldCharType="separate"/>
            </w:r>
            <w:r>
              <w:rPr>
                <w:noProof/>
                <w:webHidden/>
              </w:rPr>
              <w:t>5</w:t>
            </w:r>
            <w:r>
              <w:rPr>
                <w:noProof/>
                <w:webHidden/>
              </w:rPr>
              <w:fldChar w:fldCharType="end"/>
            </w:r>
          </w:hyperlink>
        </w:p>
        <w:p w14:paraId="14344654" w14:textId="1DBC3093" w:rsidR="00CD625D" w:rsidRDefault="00CD625D">
          <w:pPr>
            <w:pStyle w:val="TOC1"/>
            <w:tabs>
              <w:tab w:val="right" w:leader="dot" w:pos="9350"/>
            </w:tabs>
            <w:rPr>
              <w:noProof/>
              <w:kern w:val="2"/>
              <w:lang w:val="en-GB" w:eastAsia="en-GB"/>
              <w14:ligatures w14:val="standardContextual"/>
            </w:rPr>
          </w:pPr>
          <w:hyperlink w:anchor="_Toc237763455" w:history="1">
            <w:r w:rsidRPr="00832F87">
              <w:rPr>
                <w:rStyle w:val="Hyperlink"/>
                <w:rFonts w:cstheme="minorHAnsi"/>
                <w:noProof/>
              </w:rPr>
              <w:t>Conclusion</w:t>
            </w:r>
            <w:r>
              <w:rPr>
                <w:noProof/>
                <w:webHidden/>
              </w:rPr>
              <w:tab/>
            </w:r>
            <w:r>
              <w:rPr>
                <w:noProof/>
                <w:webHidden/>
              </w:rPr>
              <w:fldChar w:fldCharType="begin"/>
            </w:r>
            <w:r>
              <w:rPr>
                <w:noProof/>
                <w:webHidden/>
              </w:rPr>
              <w:instrText xml:space="preserve"> PAGEREF _Toc237763455 \h </w:instrText>
            </w:r>
            <w:r>
              <w:rPr>
                <w:noProof/>
                <w:webHidden/>
              </w:rPr>
            </w:r>
            <w:r>
              <w:rPr>
                <w:noProof/>
                <w:webHidden/>
              </w:rPr>
              <w:fldChar w:fldCharType="separate"/>
            </w:r>
            <w:r>
              <w:rPr>
                <w:noProof/>
                <w:webHidden/>
              </w:rPr>
              <w:t>6</w:t>
            </w:r>
            <w:r>
              <w:rPr>
                <w:noProof/>
                <w:webHidden/>
              </w:rPr>
              <w:fldChar w:fldCharType="end"/>
            </w:r>
          </w:hyperlink>
        </w:p>
        <w:p w14:paraId="347AB824" w14:textId="3A8D9DE3" w:rsidR="00CD625D" w:rsidRDefault="00CD625D">
          <w:pPr>
            <w:pStyle w:val="TOC1"/>
            <w:tabs>
              <w:tab w:val="right" w:leader="dot" w:pos="9350"/>
            </w:tabs>
            <w:rPr>
              <w:noProof/>
              <w:kern w:val="2"/>
              <w:lang w:val="en-GB" w:eastAsia="en-GB"/>
              <w14:ligatures w14:val="standardContextual"/>
            </w:rPr>
          </w:pPr>
          <w:hyperlink w:anchor="_Toc237763456" w:history="1">
            <w:r w:rsidRPr="00832F87">
              <w:rPr>
                <w:rStyle w:val="Hyperlink"/>
                <w:rFonts w:cstheme="minorHAnsi"/>
                <w:noProof/>
                <w:lang w:val="es-419"/>
              </w:rPr>
              <w:t>References</w:t>
            </w:r>
            <w:r>
              <w:rPr>
                <w:noProof/>
                <w:webHidden/>
              </w:rPr>
              <w:tab/>
            </w:r>
            <w:r>
              <w:rPr>
                <w:noProof/>
                <w:webHidden/>
              </w:rPr>
              <w:fldChar w:fldCharType="begin"/>
            </w:r>
            <w:r>
              <w:rPr>
                <w:noProof/>
                <w:webHidden/>
              </w:rPr>
              <w:instrText xml:space="preserve"> PAGEREF _Toc237763456 \h </w:instrText>
            </w:r>
            <w:r>
              <w:rPr>
                <w:noProof/>
                <w:webHidden/>
              </w:rPr>
            </w:r>
            <w:r>
              <w:rPr>
                <w:noProof/>
                <w:webHidden/>
              </w:rPr>
              <w:fldChar w:fldCharType="separate"/>
            </w:r>
            <w:r>
              <w:rPr>
                <w:noProof/>
                <w:webHidden/>
              </w:rPr>
              <w:t>7</w:t>
            </w:r>
            <w:r>
              <w:rPr>
                <w:noProof/>
                <w:webHidden/>
              </w:rPr>
              <w:fldChar w:fldCharType="end"/>
            </w:r>
          </w:hyperlink>
        </w:p>
        <w:p w14:paraId="253595E1" w14:textId="62F71CAF" w:rsidR="003B3D67" w:rsidRPr="00CD625D" w:rsidRDefault="003B3D67" w:rsidP="00CD625D">
          <w:pPr>
            <w:spacing w:line="360" w:lineRule="auto"/>
            <w:rPr>
              <w:rFonts w:cstheme="minorHAnsi"/>
            </w:rPr>
          </w:pPr>
          <w:r w:rsidRPr="00CD625D">
            <w:rPr>
              <w:rFonts w:cstheme="minorHAnsi"/>
              <w:b/>
              <w:bCs/>
              <w:noProof/>
            </w:rPr>
            <w:fldChar w:fldCharType="end"/>
          </w:r>
        </w:p>
      </w:sdtContent>
    </w:sdt>
    <w:p w14:paraId="567475B8" w14:textId="77777777" w:rsidR="003B3D67" w:rsidRPr="00CD625D" w:rsidRDefault="003B3D67" w:rsidP="00CD625D">
      <w:pPr>
        <w:spacing w:line="360" w:lineRule="auto"/>
        <w:rPr>
          <w:rFonts w:cstheme="minorHAnsi"/>
        </w:rPr>
      </w:pPr>
    </w:p>
    <w:p w14:paraId="21A62D9E" w14:textId="77777777" w:rsidR="003B3D67" w:rsidRPr="00CD625D" w:rsidRDefault="003B3D67" w:rsidP="00CD625D">
      <w:pPr>
        <w:spacing w:line="360" w:lineRule="auto"/>
        <w:rPr>
          <w:rFonts w:cstheme="minorHAnsi"/>
        </w:rPr>
      </w:pPr>
    </w:p>
    <w:p w14:paraId="0C6E6B81" w14:textId="77777777" w:rsidR="003B3D67" w:rsidRPr="00CD625D" w:rsidRDefault="003B3D67" w:rsidP="00CD625D">
      <w:pPr>
        <w:spacing w:line="360" w:lineRule="auto"/>
        <w:rPr>
          <w:rFonts w:cstheme="minorHAnsi"/>
        </w:rPr>
      </w:pPr>
    </w:p>
    <w:p w14:paraId="56E52083" w14:textId="77777777" w:rsidR="003B3D67" w:rsidRPr="00CD625D" w:rsidRDefault="003B3D67" w:rsidP="00CD625D">
      <w:pPr>
        <w:spacing w:line="360" w:lineRule="auto"/>
        <w:rPr>
          <w:rFonts w:cstheme="minorHAnsi"/>
        </w:rPr>
      </w:pPr>
    </w:p>
    <w:p w14:paraId="0E444A83" w14:textId="77777777" w:rsidR="003B3D67" w:rsidRPr="00CD625D" w:rsidRDefault="003B3D67" w:rsidP="00CD625D">
      <w:pPr>
        <w:spacing w:line="360" w:lineRule="auto"/>
        <w:rPr>
          <w:rFonts w:cstheme="minorHAnsi"/>
        </w:rPr>
      </w:pPr>
    </w:p>
    <w:p w14:paraId="6E2CA6A3" w14:textId="19A02140" w:rsidR="003B3D67" w:rsidRPr="00CD625D" w:rsidRDefault="003B3D67" w:rsidP="00CD625D">
      <w:pPr>
        <w:tabs>
          <w:tab w:val="left" w:pos="1704"/>
        </w:tabs>
        <w:spacing w:line="360" w:lineRule="auto"/>
        <w:rPr>
          <w:rFonts w:cstheme="minorHAnsi"/>
        </w:rPr>
        <w:sectPr w:rsidR="003B3D67" w:rsidRPr="00CD625D" w:rsidSect="003B3D67">
          <w:headerReference w:type="even" r:id="rId8"/>
          <w:headerReference w:type="default" r:id="rId9"/>
          <w:footerReference w:type="even" r:id="rId10"/>
          <w:headerReference w:type="first" r:id="rId11"/>
          <w:pgSz w:w="12240" w:h="15840"/>
          <w:pgMar w:top="1440" w:right="1440" w:bottom="1440" w:left="1440" w:header="720" w:footer="720" w:gutter="0"/>
          <w:cols w:space="720"/>
          <w:titlePg/>
          <w:docGrid w:linePitch="360"/>
        </w:sectPr>
      </w:pPr>
    </w:p>
    <w:p w14:paraId="229C5058" w14:textId="2B080821" w:rsidR="000725AC" w:rsidRPr="00CD625D" w:rsidRDefault="0A4CD85D" w:rsidP="00CD625D">
      <w:pPr>
        <w:pStyle w:val="Heading1"/>
        <w:spacing w:line="360" w:lineRule="auto"/>
        <w:rPr>
          <w:rFonts w:asciiTheme="minorHAnsi" w:eastAsiaTheme="minorEastAsia" w:hAnsiTheme="minorHAnsi" w:cstheme="minorHAnsi"/>
        </w:rPr>
      </w:pPr>
      <w:bookmarkStart w:id="0" w:name="_Toc237763450"/>
      <w:r w:rsidRPr="00CD625D">
        <w:rPr>
          <w:rFonts w:asciiTheme="minorHAnsi" w:eastAsiaTheme="minorEastAsia" w:hAnsiTheme="minorHAnsi" w:cstheme="minorHAnsi"/>
        </w:rPr>
        <w:lastRenderedPageBreak/>
        <w:t>I</w:t>
      </w:r>
      <w:r w:rsidR="705B2040" w:rsidRPr="00CD625D">
        <w:rPr>
          <w:rFonts w:asciiTheme="minorHAnsi" w:eastAsiaTheme="minorEastAsia" w:hAnsiTheme="minorHAnsi" w:cstheme="minorHAnsi"/>
        </w:rPr>
        <w:t>ntroductio</w:t>
      </w:r>
      <w:r w:rsidR="113E3823" w:rsidRPr="00CD625D">
        <w:rPr>
          <w:rFonts w:asciiTheme="minorHAnsi" w:eastAsiaTheme="minorEastAsia" w:hAnsiTheme="minorHAnsi" w:cstheme="minorHAnsi"/>
        </w:rPr>
        <w:t>n</w:t>
      </w:r>
      <w:bookmarkEnd w:id="0"/>
    </w:p>
    <w:p w14:paraId="23B7B48E" w14:textId="5211B135" w:rsidR="7DA0C540" w:rsidRPr="00CD625D" w:rsidRDefault="7DA0C540" w:rsidP="00CD625D">
      <w:pPr>
        <w:spacing w:line="360" w:lineRule="auto"/>
        <w:rPr>
          <w:rFonts w:cstheme="minorHAnsi"/>
        </w:rPr>
      </w:pPr>
    </w:p>
    <w:p w14:paraId="218601AC" w14:textId="27DAD02D" w:rsidR="6412B671" w:rsidRPr="00CD625D" w:rsidRDefault="2D3DA809"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Depression is a mental disorder marked by persistent sadness and loss of interest or pleasure (WHO, 2025). Symptoms include tiredness, sleep or appetite changes, poor concentration, hopelessness, and thoughts of </w:t>
      </w:r>
      <w:r w:rsidR="31BE1532" w:rsidRPr="00CD625D">
        <w:rPr>
          <w:rFonts w:cstheme="minorHAnsi"/>
          <w:color w:val="000000" w:themeColor="text1"/>
          <w:sz w:val="22"/>
          <w:szCs w:val="22"/>
        </w:rPr>
        <w:t>self-harm</w:t>
      </w:r>
      <w:r w:rsidRPr="00CD625D">
        <w:rPr>
          <w:rFonts w:cstheme="minorHAnsi"/>
          <w:color w:val="000000" w:themeColor="text1"/>
          <w:sz w:val="22"/>
          <w:szCs w:val="22"/>
        </w:rPr>
        <w:t xml:space="preserve">. Clinical assessment and </w:t>
      </w:r>
      <w:r w:rsidR="003B3D67" w:rsidRPr="00CD625D">
        <w:rPr>
          <w:rFonts w:cstheme="minorHAnsi"/>
          <w:color w:val="000000" w:themeColor="text1"/>
          <w:sz w:val="22"/>
          <w:szCs w:val="22"/>
        </w:rPr>
        <w:t>PHQ</w:t>
      </w:r>
      <w:r w:rsidRPr="00CD625D">
        <w:rPr>
          <w:rFonts w:cstheme="minorHAnsi"/>
          <w:color w:val="000000" w:themeColor="text1"/>
          <w:sz w:val="22"/>
          <w:szCs w:val="22"/>
        </w:rPr>
        <w:t>-9 identify severity (Negeri et al., 2021). It affects all ages, especially women (Di Benedetto et al., 2024).</w:t>
      </w:r>
    </w:p>
    <w:p w14:paraId="2BBC5C60" w14:textId="64729B81" w:rsidR="6412B671" w:rsidRPr="00CD625D" w:rsidRDefault="2D3DA809"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 In 2021, depressive disorders affected 4% worldwide, or 1 in 25, causing 56.33 million disability</w:t>
      </w:r>
      <w:r w:rsidR="2262BB8E" w:rsidRPr="00CD625D">
        <w:rPr>
          <w:rFonts w:cstheme="minorHAnsi"/>
          <w:color w:val="000000" w:themeColor="text1"/>
          <w:sz w:val="22"/>
          <w:szCs w:val="22"/>
        </w:rPr>
        <w:t xml:space="preserve"> </w:t>
      </w:r>
      <w:r w:rsidRPr="00CD625D">
        <w:rPr>
          <w:rFonts w:cstheme="minorHAnsi"/>
          <w:color w:val="000000" w:themeColor="text1"/>
          <w:sz w:val="22"/>
          <w:szCs w:val="22"/>
        </w:rPr>
        <w:t xml:space="preserve">adjusted life years (Rong et al., 2025). A UK study using 2014 data found probable depression in 7.5% of adults, or 1 in 13, almost twice </w:t>
      </w:r>
      <w:r w:rsidR="003B3D67" w:rsidRPr="00CD625D">
        <w:rPr>
          <w:rFonts w:cstheme="minorHAnsi"/>
          <w:color w:val="000000" w:themeColor="text1"/>
          <w:sz w:val="22"/>
          <w:szCs w:val="22"/>
        </w:rPr>
        <w:t>the global rate</w:t>
      </w:r>
      <w:r w:rsidRPr="00CD625D">
        <w:rPr>
          <w:rFonts w:cstheme="minorHAnsi"/>
          <w:color w:val="000000" w:themeColor="text1"/>
          <w:sz w:val="22"/>
          <w:szCs w:val="22"/>
        </w:rPr>
        <w:t xml:space="preserve"> (Arias-de la Torre et al., 2021</w:t>
      </w:r>
      <w:r w:rsidR="16C8BC4E" w:rsidRPr="00CD625D">
        <w:rPr>
          <w:rFonts w:cstheme="minorHAnsi"/>
          <w:color w:val="000000" w:themeColor="text1"/>
          <w:sz w:val="22"/>
          <w:szCs w:val="22"/>
        </w:rPr>
        <w:t xml:space="preserve"> a</w:t>
      </w:r>
      <w:r w:rsidRPr="00CD625D">
        <w:rPr>
          <w:rFonts w:cstheme="minorHAnsi"/>
          <w:color w:val="000000" w:themeColor="text1"/>
          <w:sz w:val="22"/>
          <w:szCs w:val="22"/>
        </w:rPr>
        <w:t xml:space="preserve">). UK research linked depression to 29 </w:t>
      </w:r>
      <w:r w:rsidR="003B3D67" w:rsidRPr="00CD625D">
        <w:rPr>
          <w:rFonts w:cstheme="minorHAnsi"/>
          <w:color w:val="000000" w:themeColor="text1"/>
          <w:sz w:val="22"/>
          <w:szCs w:val="22"/>
        </w:rPr>
        <w:t>hospital-treated</w:t>
      </w:r>
      <w:r w:rsidRPr="00CD625D">
        <w:rPr>
          <w:rFonts w:cstheme="minorHAnsi"/>
          <w:color w:val="000000" w:themeColor="text1"/>
          <w:sz w:val="22"/>
          <w:szCs w:val="22"/>
        </w:rPr>
        <w:t xml:space="preserve"> conditions, demonstrating morbidity and comorbidity (Frank et al., 2023). A 2025 worldwide review of studies lasting 1–65 years found </w:t>
      </w:r>
      <w:r w:rsidR="003B3D67" w:rsidRPr="00CD625D">
        <w:rPr>
          <w:rFonts w:cstheme="minorHAnsi"/>
          <w:color w:val="000000" w:themeColor="text1"/>
          <w:sz w:val="22"/>
          <w:szCs w:val="22"/>
        </w:rPr>
        <w:t>a 2.10-fold higher</w:t>
      </w:r>
      <w:r w:rsidRPr="00CD625D">
        <w:rPr>
          <w:rFonts w:cstheme="minorHAnsi"/>
          <w:color w:val="000000" w:themeColor="text1"/>
          <w:sz w:val="22"/>
          <w:szCs w:val="22"/>
        </w:rPr>
        <w:t xml:space="preserve"> mortality risk, compared with 1.46 in a 2023 UK study over 12.49 years (Chan et al., 2025; Liu </w:t>
      </w:r>
      <w:r w:rsidR="003B3D67" w:rsidRPr="00CD625D">
        <w:rPr>
          <w:rFonts w:cstheme="minorHAnsi"/>
          <w:color w:val="000000" w:themeColor="text1"/>
          <w:sz w:val="22"/>
          <w:szCs w:val="22"/>
        </w:rPr>
        <w:t>&amp;</w:t>
      </w:r>
      <w:r w:rsidRPr="00CD625D">
        <w:rPr>
          <w:rFonts w:cstheme="minorHAnsi"/>
          <w:color w:val="000000" w:themeColor="text1"/>
          <w:sz w:val="22"/>
          <w:szCs w:val="22"/>
        </w:rPr>
        <w:t xml:space="preserve"> Jia, 2023).</w:t>
      </w:r>
    </w:p>
    <w:p w14:paraId="50AE012A" w14:textId="1F873D5D" w:rsidR="6412B671" w:rsidRPr="00CD625D" w:rsidRDefault="6412B671" w:rsidP="00CD625D">
      <w:pPr>
        <w:spacing w:line="360" w:lineRule="auto"/>
        <w:rPr>
          <w:rFonts w:cstheme="minorHAnsi"/>
          <w:color w:val="000000" w:themeColor="text1"/>
          <w:sz w:val="22"/>
          <w:szCs w:val="22"/>
        </w:rPr>
      </w:pPr>
    </w:p>
    <w:p w14:paraId="6A71047E" w14:textId="1D49467D" w:rsidR="6412B671" w:rsidRPr="00CD625D" w:rsidRDefault="6412B671" w:rsidP="00CD625D">
      <w:pPr>
        <w:spacing w:line="360" w:lineRule="auto"/>
        <w:rPr>
          <w:rFonts w:cstheme="minorHAnsi"/>
          <w:color w:val="000000" w:themeColor="text1"/>
          <w:sz w:val="22"/>
          <w:szCs w:val="22"/>
        </w:rPr>
      </w:pPr>
    </w:p>
    <w:p w14:paraId="0BCC15B0" w14:textId="4FD4DA2A" w:rsidR="6412B671" w:rsidRPr="00CD625D" w:rsidRDefault="6412B671" w:rsidP="00CD625D">
      <w:pPr>
        <w:spacing w:line="360" w:lineRule="auto"/>
        <w:rPr>
          <w:rFonts w:cstheme="minorHAnsi"/>
          <w:color w:val="000000" w:themeColor="text1"/>
          <w:sz w:val="22"/>
          <w:szCs w:val="22"/>
        </w:rPr>
      </w:pPr>
    </w:p>
    <w:p w14:paraId="13DD2A9A" w14:textId="47CD9AC0" w:rsidR="6412B671" w:rsidRPr="00CD625D" w:rsidRDefault="6412B671" w:rsidP="00CD625D">
      <w:pPr>
        <w:spacing w:line="360" w:lineRule="auto"/>
        <w:rPr>
          <w:rFonts w:cstheme="minorHAnsi"/>
          <w:color w:val="000000" w:themeColor="text1"/>
          <w:sz w:val="22"/>
          <w:szCs w:val="22"/>
        </w:rPr>
      </w:pPr>
    </w:p>
    <w:p w14:paraId="7609A60C" w14:textId="6ED84C2B" w:rsidR="6412B671" w:rsidRPr="00CD625D" w:rsidRDefault="6412B671" w:rsidP="00CD625D">
      <w:pPr>
        <w:spacing w:line="360" w:lineRule="auto"/>
        <w:rPr>
          <w:rFonts w:cstheme="minorHAnsi"/>
          <w:color w:val="000000" w:themeColor="text1"/>
          <w:sz w:val="22"/>
          <w:szCs w:val="22"/>
        </w:rPr>
      </w:pPr>
    </w:p>
    <w:p w14:paraId="6519EB73" w14:textId="4B3D4B4E" w:rsidR="6412B671" w:rsidRPr="00CD625D" w:rsidRDefault="6412B671" w:rsidP="00CD625D">
      <w:pPr>
        <w:spacing w:line="360" w:lineRule="auto"/>
        <w:rPr>
          <w:rFonts w:cstheme="minorHAnsi"/>
          <w:color w:val="000000" w:themeColor="text1"/>
          <w:sz w:val="22"/>
          <w:szCs w:val="22"/>
        </w:rPr>
      </w:pPr>
    </w:p>
    <w:p w14:paraId="28043743" w14:textId="32557326" w:rsidR="6412B671" w:rsidRPr="00CD625D" w:rsidRDefault="6412B671" w:rsidP="00CD625D">
      <w:pPr>
        <w:spacing w:line="360" w:lineRule="auto"/>
        <w:rPr>
          <w:rFonts w:cstheme="minorHAnsi"/>
          <w:color w:val="000000" w:themeColor="text1"/>
          <w:sz w:val="22"/>
          <w:szCs w:val="22"/>
        </w:rPr>
      </w:pPr>
    </w:p>
    <w:p w14:paraId="6B960437" w14:textId="53504096" w:rsidR="6412B671" w:rsidRPr="00CD625D" w:rsidRDefault="6412B671" w:rsidP="00CD625D">
      <w:pPr>
        <w:spacing w:line="360" w:lineRule="auto"/>
        <w:rPr>
          <w:rFonts w:cstheme="minorHAnsi"/>
          <w:color w:val="000000" w:themeColor="text1"/>
          <w:sz w:val="22"/>
          <w:szCs w:val="22"/>
        </w:rPr>
      </w:pPr>
    </w:p>
    <w:p w14:paraId="6FA6D977" w14:textId="5BEACFE6" w:rsidR="6412B671" w:rsidRPr="00CD625D" w:rsidRDefault="6412B671" w:rsidP="00CD625D">
      <w:pPr>
        <w:spacing w:line="360" w:lineRule="auto"/>
        <w:rPr>
          <w:rFonts w:cstheme="minorHAnsi"/>
          <w:color w:val="000000" w:themeColor="text1"/>
          <w:sz w:val="22"/>
          <w:szCs w:val="22"/>
        </w:rPr>
      </w:pPr>
    </w:p>
    <w:p w14:paraId="27E46FCF" w14:textId="50E033D0" w:rsidR="6412B671" w:rsidRPr="00CD625D" w:rsidRDefault="6412B671" w:rsidP="00CD625D">
      <w:pPr>
        <w:spacing w:line="360" w:lineRule="auto"/>
        <w:rPr>
          <w:rFonts w:cstheme="minorHAnsi"/>
          <w:color w:val="000000" w:themeColor="text1"/>
          <w:sz w:val="22"/>
          <w:szCs w:val="22"/>
        </w:rPr>
      </w:pPr>
    </w:p>
    <w:p w14:paraId="2B6CE8D5" w14:textId="01FCC416" w:rsidR="6412B671" w:rsidRPr="00CD625D" w:rsidRDefault="6412B671" w:rsidP="00CD625D">
      <w:pPr>
        <w:spacing w:line="360" w:lineRule="auto"/>
        <w:rPr>
          <w:rFonts w:cstheme="minorHAnsi"/>
          <w:color w:val="000000" w:themeColor="text1"/>
          <w:sz w:val="22"/>
          <w:szCs w:val="22"/>
        </w:rPr>
      </w:pPr>
    </w:p>
    <w:p w14:paraId="2C418203" w14:textId="5BB4C655" w:rsidR="27F7273A" w:rsidRPr="00CD625D" w:rsidRDefault="27F7273A" w:rsidP="00CD625D">
      <w:pPr>
        <w:spacing w:line="360" w:lineRule="auto"/>
        <w:rPr>
          <w:rFonts w:cstheme="minorHAnsi"/>
          <w:color w:val="000000" w:themeColor="text1"/>
          <w:sz w:val="22"/>
          <w:szCs w:val="22"/>
        </w:rPr>
      </w:pPr>
    </w:p>
    <w:p w14:paraId="616B5745" w14:textId="093DF3F3" w:rsidR="66AA4FF4" w:rsidRPr="00CD625D" w:rsidRDefault="416BB799" w:rsidP="00CD625D">
      <w:pPr>
        <w:pStyle w:val="Heading1"/>
        <w:spacing w:line="360" w:lineRule="auto"/>
        <w:rPr>
          <w:rFonts w:asciiTheme="minorHAnsi" w:eastAsia="Arial" w:hAnsiTheme="minorHAnsi" w:cstheme="minorHAnsi"/>
        </w:rPr>
      </w:pPr>
      <w:bookmarkStart w:id="1" w:name="_Toc237763451"/>
      <w:r w:rsidRPr="00CD625D">
        <w:rPr>
          <w:rFonts w:asciiTheme="minorHAnsi" w:eastAsia="Arial" w:hAnsiTheme="minorHAnsi" w:cstheme="minorHAnsi"/>
        </w:rPr>
        <w:lastRenderedPageBreak/>
        <w:t>Measurement and Monitoring in the UK</w:t>
      </w:r>
      <w:bookmarkEnd w:id="1"/>
    </w:p>
    <w:p w14:paraId="56DA9028" w14:textId="108928EC" w:rsidR="0BDDE467" w:rsidRPr="00CD625D" w:rsidRDefault="0BDDE467"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In the UK, </w:t>
      </w:r>
      <w:r w:rsidR="003B3D67" w:rsidRPr="00CD625D">
        <w:rPr>
          <w:rFonts w:cstheme="minorHAnsi"/>
          <w:color w:val="000000" w:themeColor="text1"/>
          <w:sz w:val="22"/>
          <w:szCs w:val="22"/>
        </w:rPr>
        <w:t>clinicians measure and monitor depression through clinical assessments</w:t>
      </w:r>
      <w:r w:rsidRPr="00CD625D">
        <w:rPr>
          <w:rFonts w:cstheme="minorHAnsi"/>
          <w:color w:val="000000" w:themeColor="text1"/>
          <w:sz w:val="22"/>
          <w:szCs w:val="22"/>
        </w:rPr>
        <w:t xml:space="preserve">, validated questionnaires, population </w:t>
      </w:r>
      <w:r w:rsidR="251D42D6" w:rsidRPr="00CD625D">
        <w:rPr>
          <w:rFonts w:cstheme="minorHAnsi"/>
          <w:color w:val="000000" w:themeColor="text1"/>
          <w:sz w:val="22"/>
          <w:szCs w:val="22"/>
        </w:rPr>
        <w:t>surveys,</w:t>
      </w:r>
      <w:r w:rsidRPr="00CD625D">
        <w:rPr>
          <w:rFonts w:cstheme="minorHAnsi"/>
          <w:color w:val="000000" w:themeColor="text1"/>
          <w:sz w:val="22"/>
          <w:szCs w:val="22"/>
        </w:rPr>
        <w:t xml:space="preserve"> and electronic health records. A GP, psychologist</w:t>
      </w:r>
      <w:r w:rsidR="003B3D67" w:rsidRPr="00CD625D">
        <w:rPr>
          <w:rFonts w:cstheme="minorHAnsi"/>
          <w:color w:val="000000" w:themeColor="text1"/>
          <w:sz w:val="22"/>
          <w:szCs w:val="22"/>
        </w:rPr>
        <w:t>,</w:t>
      </w:r>
      <w:r w:rsidRPr="00CD625D">
        <w:rPr>
          <w:rFonts w:cstheme="minorHAnsi"/>
          <w:color w:val="000000" w:themeColor="text1"/>
          <w:sz w:val="22"/>
          <w:szCs w:val="22"/>
        </w:rPr>
        <w:t xml:space="preserve"> or psychiatrist assesses the person’s symptoms, duration, daily functioning, physical health, </w:t>
      </w:r>
      <w:r w:rsidR="5119FC2A" w:rsidRPr="00CD625D">
        <w:rPr>
          <w:rFonts w:cstheme="minorHAnsi"/>
          <w:color w:val="000000" w:themeColor="text1"/>
          <w:sz w:val="22"/>
          <w:szCs w:val="22"/>
        </w:rPr>
        <w:t>medication,</w:t>
      </w:r>
      <w:r w:rsidRPr="00CD625D">
        <w:rPr>
          <w:rFonts w:cstheme="minorHAnsi"/>
          <w:color w:val="000000" w:themeColor="text1"/>
          <w:sz w:val="22"/>
          <w:szCs w:val="22"/>
        </w:rPr>
        <w:t xml:space="preserve"> and risk of self-harm or suicide. This is important because a questionnaire alone cannot provide a complete diagnosis or explain the person’s circumstances.</w:t>
      </w:r>
    </w:p>
    <w:p w14:paraId="0D9B8FDB" w14:textId="3A11896B" w:rsidR="0BDDE467" w:rsidRPr="00CD625D" w:rsidRDefault="0BDDE467"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 The Patient Health Questionnaire-9 is commonly used in primary care and NHS psychological services. It </w:t>
      </w:r>
      <w:r w:rsidR="003B3D67" w:rsidRPr="00CD625D">
        <w:rPr>
          <w:rFonts w:cstheme="minorHAnsi"/>
          <w:color w:val="000000" w:themeColor="text1"/>
          <w:sz w:val="22"/>
          <w:szCs w:val="22"/>
        </w:rPr>
        <w:t>includes nine questions about symptoms experienced in the past two weeks and produces</w:t>
      </w:r>
      <w:r w:rsidRPr="00CD625D">
        <w:rPr>
          <w:rFonts w:cstheme="minorHAnsi"/>
          <w:color w:val="000000" w:themeColor="text1"/>
          <w:sz w:val="22"/>
          <w:szCs w:val="22"/>
        </w:rPr>
        <w:t xml:space="preserve"> a score from 0 to 27. A higher score indicates greater severity. </w:t>
      </w:r>
      <w:r w:rsidR="003B3D67" w:rsidRPr="00CD625D">
        <w:rPr>
          <w:rFonts w:cstheme="minorHAnsi"/>
          <w:color w:val="000000" w:themeColor="text1"/>
          <w:sz w:val="22"/>
          <w:szCs w:val="22"/>
        </w:rPr>
        <w:t xml:space="preserve">Clinicians can repeat the PHQ-9 during treatment to see whether symptoms are improving, </w:t>
      </w:r>
      <w:r w:rsidRPr="00CD625D">
        <w:rPr>
          <w:rFonts w:cstheme="minorHAnsi"/>
          <w:color w:val="000000" w:themeColor="text1"/>
          <w:sz w:val="22"/>
          <w:szCs w:val="22"/>
        </w:rPr>
        <w:t>unchanged</w:t>
      </w:r>
      <w:r w:rsidR="003B3D67" w:rsidRPr="00CD625D">
        <w:rPr>
          <w:rFonts w:cstheme="minorHAnsi"/>
          <w:color w:val="000000" w:themeColor="text1"/>
          <w:sz w:val="22"/>
          <w:szCs w:val="22"/>
        </w:rPr>
        <w:t>, or worsening</w:t>
      </w:r>
      <w:r w:rsidRPr="00CD625D">
        <w:rPr>
          <w:rFonts w:cstheme="minorHAnsi"/>
          <w:color w:val="000000" w:themeColor="text1"/>
          <w:sz w:val="22"/>
          <w:szCs w:val="22"/>
        </w:rPr>
        <w:t xml:space="preserve">. However, it should support clinical </w:t>
      </w:r>
      <w:r w:rsidR="003B3D67" w:rsidRPr="00CD625D">
        <w:rPr>
          <w:rFonts w:cstheme="minorHAnsi"/>
          <w:color w:val="000000" w:themeColor="text1"/>
          <w:sz w:val="22"/>
          <w:szCs w:val="22"/>
        </w:rPr>
        <w:t>judgment</w:t>
      </w:r>
      <w:r w:rsidRPr="00CD625D">
        <w:rPr>
          <w:rFonts w:cstheme="minorHAnsi"/>
          <w:color w:val="000000" w:themeColor="text1"/>
          <w:sz w:val="22"/>
          <w:szCs w:val="22"/>
        </w:rPr>
        <w:t xml:space="preserve"> rather than replace it because culture, language</w:t>
      </w:r>
      <w:r w:rsidR="003B3D67" w:rsidRPr="00CD625D">
        <w:rPr>
          <w:rFonts w:cstheme="minorHAnsi"/>
          <w:color w:val="000000" w:themeColor="text1"/>
          <w:sz w:val="22"/>
          <w:szCs w:val="22"/>
        </w:rPr>
        <w:t>,</w:t>
      </w:r>
      <w:r w:rsidRPr="00CD625D">
        <w:rPr>
          <w:rFonts w:cstheme="minorHAnsi"/>
          <w:color w:val="000000" w:themeColor="text1"/>
          <w:sz w:val="22"/>
          <w:szCs w:val="22"/>
        </w:rPr>
        <w:t xml:space="preserve"> and physical conditions may influence answers (Negeri et al., 2021; NICE, 2022).</w:t>
      </w:r>
    </w:p>
    <w:p w14:paraId="2463A1C3" w14:textId="4DD19607" w:rsidR="0BDDE467" w:rsidRPr="00CD625D" w:rsidRDefault="0BDDE467"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 Population surveys measure depression outside health services and include people who may not have requested treatment. Arias-de la Torre et al. (2021</w:t>
      </w:r>
      <w:r w:rsidR="391D5A54" w:rsidRPr="00CD625D">
        <w:rPr>
          <w:rFonts w:cstheme="minorHAnsi"/>
          <w:color w:val="000000" w:themeColor="text1"/>
          <w:sz w:val="22"/>
          <w:szCs w:val="22"/>
        </w:rPr>
        <w:t>a)</w:t>
      </w:r>
      <w:r w:rsidRPr="00CD625D">
        <w:rPr>
          <w:rFonts w:cstheme="minorHAnsi"/>
          <w:color w:val="000000" w:themeColor="text1"/>
          <w:sz w:val="22"/>
          <w:szCs w:val="22"/>
        </w:rPr>
        <w:t xml:space="preserve"> </w:t>
      </w:r>
      <w:r w:rsidR="166D9109" w:rsidRPr="00CD625D">
        <w:rPr>
          <w:rFonts w:cstheme="minorHAnsi"/>
          <w:color w:val="000000" w:themeColor="text1"/>
          <w:sz w:val="22"/>
          <w:szCs w:val="22"/>
        </w:rPr>
        <w:t>analyzed</w:t>
      </w:r>
      <w:r w:rsidRPr="00CD625D">
        <w:rPr>
          <w:rFonts w:cstheme="minorHAnsi"/>
          <w:color w:val="000000" w:themeColor="text1"/>
          <w:sz w:val="22"/>
          <w:szCs w:val="22"/>
        </w:rPr>
        <w:t xml:space="preserve"> a representative UK sample of 17,152 adults using </w:t>
      </w:r>
      <w:r w:rsidR="54B71977" w:rsidRPr="00CD625D">
        <w:rPr>
          <w:rFonts w:cstheme="minorHAnsi"/>
          <w:color w:val="000000" w:themeColor="text1"/>
          <w:sz w:val="22"/>
          <w:szCs w:val="22"/>
        </w:rPr>
        <w:t>PHQ</w:t>
      </w:r>
      <w:r w:rsidRPr="00CD625D">
        <w:rPr>
          <w:rFonts w:cstheme="minorHAnsi"/>
          <w:color w:val="000000" w:themeColor="text1"/>
          <w:sz w:val="22"/>
          <w:szCs w:val="22"/>
        </w:rPr>
        <w:t>-8 and found probable depression in 7.5%. Surveys therefore help estimate prevalence and identify differences by age, sex</w:t>
      </w:r>
      <w:r w:rsidR="003B3D67" w:rsidRPr="00CD625D">
        <w:rPr>
          <w:rFonts w:cstheme="minorHAnsi"/>
          <w:color w:val="000000" w:themeColor="text1"/>
          <w:sz w:val="22"/>
          <w:szCs w:val="22"/>
        </w:rPr>
        <w:t>,</w:t>
      </w:r>
      <w:r w:rsidRPr="00CD625D">
        <w:rPr>
          <w:rFonts w:cstheme="minorHAnsi"/>
          <w:color w:val="000000" w:themeColor="text1"/>
          <w:sz w:val="22"/>
          <w:szCs w:val="22"/>
        </w:rPr>
        <w:t xml:space="preserve"> and socioeconomic circumstances.</w:t>
      </w:r>
    </w:p>
    <w:p w14:paraId="71887980" w14:textId="7A53AFB8" w:rsidR="0BDDE467" w:rsidRPr="00CD625D" w:rsidRDefault="0BDDE467"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 Electronic primary care records provide another </w:t>
      </w:r>
      <w:r w:rsidR="003B3D67" w:rsidRPr="00CD625D">
        <w:rPr>
          <w:rFonts w:cstheme="minorHAnsi"/>
          <w:color w:val="000000" w:themeColor="text1"/>
          <w:sz w:val="22"/>
          <w:szCs w:val="22"/>
        </w:rPr>
        <w:t>way to monitor</w:t>
      </w:r>
      <w:r w:rsidRPr="00CD625D">
        <w:rPr>
          <w:rFonts w:cstheme="minorHAnsi"/>
          <w:color w:val="000000" w:themeColor="text1"/>
          <w:sz w:val="22"/>
          <w:szCs w:val="22"/>
        </w:rPr>
        <w:t xml:space="preserve"> changes over time. </w:t>
      </w:r>
      <w:proofErr w:type="spellStart"/>
      <w:r w:rsidRPr="00CD625D">
        <w:rPr>
          <w:rFonts w:cstheme="minorHAnsi"/>
          <w:color w:val="000000" w:themeColor="text1"/>
          <w:sz w:val="22"/>
          <w:szCs w:val="22"/>
        </w:rPr>
        <w:t>Dykxhoorn</w:t>
      </w:r>
      <w:proofErr w:type="spellEnd"/>
      <w:r w:rsidRPr="00CD625D">
        <w:rPr>
          <w:rFonts w:cstheme="minorHAnsi"/>
          <w:color w:val="000000" w:themeColor="text1"/>
          <w:sz w:val="22"/>
          <w:szCs w:val="22"/>
        </w:rPr>
        <w:t xml:space="preserve"> et al. (202</w:t>
      </w:r>
      <w:r w:rsidR="7ED60541" w:rsidRPr="00CD625D">
        <w:rPr>
          <w:rFonts w:cstheme="minorHAnsi"/>
          <w:color w:val="000000" w:themeColor="text1"/>
          <w:sz w:val="22"/>
          <w:szCs w:val="22"/>
        </w:rPr>
        <w:t>4</w:t>
      </w:r>
      <w:r w:rsidRPr="00CD625D">
        <w:rPr>
          <w:rFonts w:cstheme="minorHAnsi"/>
          <w:color w:val="000000" w:themeColor="text1"/>
          <w:sz w:val="22"/>
          <w:szCs w:val="22"/>
        </w:rPr>
        <w:t xml:space="preserve">) examined records from more than 29 million UK adults. Recorded common mental disorders increased from 55.9 per 1,000 person-years in 2000 to 79.6 in 2019, with particularly high rates among people aged 16–24 and those living in deprived areas. Nevertheless, these records include depression, </w:t>
      </w:r>
      <w:r w:rsidR="1BC77426" w:rsidRPr="00CD625D">
        <w:rPr>
          <w:rFonts w:cstheme="minorHAnsi"/>
          <w:color w:val="000000" w:themeColor="text1"/>
          <w:sz w:val="22"/>
          <w:szCs w:val="22"/>
        </w:rPr>
        <w:t>anxiety,</w:t>
      </w:r>
      <w:r w:rsidRPr="00CD625D">
        <w:rPr>
          <w:rFonts w:cstheme="minorHAnsi"/>
          <w:color w:val="000000" w:themeColor="text1"/>
          <w:sz w:val="22"/>
          <w:szCs w:val="22"/>
        </w:rPr>
        <w:t xml:space="preserve"> and stress-related conditions and may underestimate people who do not seek help. Therefore, combining assessments, questionnaires, </w:t>
      </w:r>
      <w:r w:rsidR="27B5A925" w:rsidRPr="00CD625D">
        <w:rPr>
          <w:rFonts w:cstheme="minorHAnsi"/>
          <w:color w:val="000000" w:themeColor="text1"/>
          <w:sz w:val="22"/>
          <w:szCs w:val="22"/>
        </w:rPr>
        <w:t>surveys,</w:t>
      </w:r>
      <w:r w:rsidRPr="00CD625D">
        <w:rPr>
          <w:rFonts w:cstheme="minorHAnsi"/>
          <w:color w:val="000000" w:themeColor="text1"/>
          <w:sz w:val="22"/>
          <w:szCs w:val="22"/>
        </w:rPr>
        <w:t xml:space="preserve"> and records provides a clearer understanding of depression in the UK.</w:t>
      </w:r>
    </w:p>
    <w:p w14:paraId="5942B1A5" w14:textId="1D717A44" w:rsidR="0BDDE467" w:rsidRPr="00CD625D" w:rsidRDefault="0BDDE467"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 </w:t>
      </w:r>
    </w:p>
    <w:p w14:paraId="3C64F998" w14:textId="0C3F03FE" w:rsidR="7DA0C540" w:rsidRPr="00CD625D" w:rsidRDefault="7DA0C540" w:rsidP="00CD625D">
      <w:pPr>
        <w:spacing w:line="360" w:lineRule="auto"/>
        <w:rPr>
          <w:rFonts w:cstheme="minorHAnsi"/>
          <w:color w:val="000000" w:themeColor="text1"/>
          <w:sz w:val="22"/>
          <w:szCs w:val="22"/>
        </w:rPr>
      </w:pPr>
    </w:p>
    <w:p w14:paraId="16FDAB92" w14:textId="40F8B5F5" w:rsidR="7DA0C540" w:rsidRDefault="7DA0C540" w:rsidP="00CD625D">
      <w:pPr>
        <w:spacing w:line="360" w:lineRule="auto"/>
        <w:rPr>
          <w:rFonts w:cstheme="minorHAnsi"/>
          <w:color w:val="000000" w:themeColor="text1"/>
          <w:sz w:val="22"/>
          <w:szCs w:val="22"/>
        </w:rPr>
      </w:pPr>
    </w:p>
    <w:p w14:paraId="371DDEB3" w14:textId="77777777" w:rsidR="00CD625D" w:rsidRPr="00CD625D" w:rsidRDefault="00CD625D" w:rsidP="00CD625D">
      <w:pPr>
        <w:spacing w:line="360" w:lineRule="auto"/>
        <w:rPr>
          <w:rFonts w:cstheme="minorHAnsi"/>
          <w:color w:val="000000" w:themeColor="text1"/>
          <w:sz w:val="22"/>
          <w:szCs w:val="22"/>
        </w:rPr>
      </w:pPr>
    </w:p>
    <w:p w14:paraId="6DD116B0" w14:textId="5C2AA400" w:rsidR="7DA0C540" w:rsidRPr="00CD625D" w:rsidRDefault="7DA0C540" w:rsidP="00CD625D">
      <w:pPr>
        <w:spacing w:line="360" w:lineRule="auto"/>
        <w:rPr>
          <w:rFonts w:cstheme="minorHAnsi"/>
          <w:color w:val="000000" w:themeColor="text1"/>
          <w:sz w:val="22"/>
          <w:szCs w:val="22"/>
        </w:rPr>
      </w:pPr>
    </w:p>
    <w:p w14:paraId="0BB5571F" w14:textId="7D80A7BB" w:rsidR="0BDDE467" w:rsidRPr="00CD625D" w:rsidRDefault="2098C53E" w:rsidP="00CD625D">
      <w:pPr>
        <w:spacing w:line="360" w:lineRule="auto"/>
        <w:rPr>
          <w:rStyle w:val="Heading1Char"/>
          <w:rFonts w:asciiTheme="minorHAnsi" w:eastAsiaTheme="minorEastAsia" w:hAnsiTheme="minorHAnsi" w:cstheme="minorHAnsi"/>
        </w:rPr>
      </w:pPr>
      <w:bookmarkStart w:id="2" w:name="_Toc237763452"/>
      <w:r w:rsidRPr="00CD625D">
        <w:rPr>
          <w:rStyle w:val="Heading1Char"/>
          <w:rFonts w:asciiTheme="minorHAnsi" w:eastAsiaTheme="minorEastAsia" w:hAnsiTheme="minorHAnsi" w:cstheme="minorHAnsi"/>
        </w:rPr>
        <w:lastRenderedPageBreak/>
        <w:t>Control of depression in the UK</w:t>
      </w:r>
      <w:bookmarkEnd w:id="2"/>
    </w:p>
    <w:p w14:paraId="569B5EE3" w14:textId="014484BA" w:rsidR="6577C70C"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In the UK, depression is controlled through early identification, </w:t>
      </w:r>
      <w:r w:rsidR="3B801E69" w:rsidRPr="00CD625D">
        <w:rPr>
          <w:rFonts w:cstheme="minorHAnsi"/>
          <w:color w:val="000000" w:themeColor="text1"/>
          <w:sz w:val="22"/>
          <w:szCs w:val="22"/>
        </w:rPr>
        <w:t>personalized</w:t>
      </w:r>
      <w:r w:rsidRPr="00CD625D">
        <w:rPr>
          <w:rFonts w:cstheme="minorHAnsi"/>
          <w:color w:val="000000" w:themeColor="text1"/>
          <w:sz w:val="22"/>
          <w:szCs w:val="22"/>
        </w:rPr>
        <w:t xml:space="preserve"> treatment, </w:t>
      </w:r>
      <w:r w:rsidR="48804701" w:rsidRPr="00CD625D">
        <w:rPr>
          <w:rFonts w:cstheme="minorHAnsi"/>
          <w:color w:val="000000" w:themeColor="text1"/>
          <w:sz w:val="22"/>
          <w:szCs w:val="22"/>
        </w:rPr>
        <w:t>monitoring,</w:t>
      </w:r>
      <w:r w:rsidRPr="00CD625D">
        <w:rPr>
          <w:rFonts w:cstheme="minorHAnsi"/>
          <w:color w:val="000000" w:themeColor="text1"/>
          <w:sz w:val="22"/>
          <w:szCs w:val="22"/>
        </w:rPr>
        <w:t xml:space="preserve"> and relapse prevention. Treatment depends on severity, physical </w:t>
      </w:r>
      <w:r w:rsidR="42EDC5B6" w:rsidRPr="00CD625D">
        <w:rPr>
          <w:rFonts w:cstheme="minorHAnsi"/>
          <w:color w:val="000000" w:themeColor="text1"/>
          <w:sz w:val="22"/>
          <w:szCs w:val="22"/>
        </w:rPr>
        <w:t>conditions,</w:t>
      </w:r>
      <w:r w:rsidRPr="00CD625D">
        <w:rPr>
          <w:rFonts w:cstheme="minorHAnsi"/>
          <w:color w:val="000000" w:themeColor="text1"/>
          <w:sz w:val="22"/>
          <w:szCs w:val="22"/>
        </w:rPr>
        <w:t xml:space="preserve"> and the person’s preference. For less severe depression, NICE recommends guided self-help, cognitive </w:t>
      </w:r>
      <w:r w:rsidR="1E95AF84" w:rsidRPr="00CD625D">
        <w:rPr>
          <w:rFonts w:cstheme="minorHAnsi"/>
          <w:color w:val="000000" w:themeColor="text1"/>
          <w:sz w:val="22"/>
          <w:szCs w:val="22"/>
        </w:rPr>
        <w:t>behavioral</w:t>
      </w:r>
      <w:r w:rsidRPr="00CD625D">
        <w:rPr>
          <w:rFonts w:cstheme="minorHAnsi"/>
          <w:color w:val="000000" w:themeColor="text1"/>
          <w:sz w:val="22"/>
          <w:szCs w:val="22"/>
        </w:rPr>
        <w:t xml:space="preserve"> therapy, </w:t>
      </w:r>
      <w:r w:rsidR="0C142E26" w:rsidRPr="00CD625D">
        <w:rPr>
          <w:rFonts w:cstheme="minorHAnsi"/>
          <w:color w:val="000000" w:themeColor="text1"/>
          <w:sz w:val="22"/>
          <w:szCs w:val="22"/>
        </w:rPr>
        <w:t>behavioral</w:t>
      </w:r>
      <w:r w:rsidRPr="00CD625D">
        <w:rPr>
          <w:rFonts w:cstheme="minorHAnsi"/>
          <w:color w:val="000000" w:themeColor="text1"/>
          <w:sz w:val="22"/>
          <w:szCs w:val="22"/>
        </w:rPr>
        <w:t xml:space="preserve"> </w:t>
      </w:r>
      <w:r w:rsidR="3CBCC257" w:rsidRPr="00CD625D">
        <w:rPr>
          <w:rFonts w:cstheme="minorHAnsi"/>
          <w:color w:val="000000" w:themeColor="text1"/>
          <w:sz w:val="22"/>
          <w:szCs w:val="22"/>
        </w:rPr>
        <w:t>activation,</w:t>
      </w:r>
      <w:r w:rsidRPr="00CD625D">
        <w:rPr>
          <w:rFonts w:cstheme="minorHAnsi"/>
          <w:color w:val="000000" w:themeColor="text1"/>
          <w:sz w:val="22"/>
          <w:szCs w:val="22"/>
        </w:rPr>
        <w:t xml:space="preserve"> or group exercise. Antidepressants should not routinely be the first option unless the person prefers medication (NICE, 2022).</w:t>
      </w:r>
    </w:p>
    <w:p w14:paraId="13AE1360" w14:textId="5FAE5856" w:rsidR="6577C70C"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For moderate or severe depression, treatment may include psychological therapy, </w:t>
      </w:r>
      <w:r w:rsidR="1EFC83C7" w:rsidRPr="00CD625D">
        <w:rPr>
          <w:rFonts w:cstheme="minorHAnsi"/>
          <w:color w:val="000000" w:themeColor="text1"/>
          <w:sz w:val="22"/>
          <w:szCs w:val="22"/>
        </w:rPr>
        <w:t>antidepressants,</w:t>
      </w:r>
      <w:r w:rsidRPr="00CD625D">
        <w:rPr>
          <w:rFonts w:cstheme="minorHAnsi"/>
          <w:color w:val="000000" w:themeColor="text1"/>
          <w:sz w:val="22"/>
          <w:szCs w:val="22"/>
        </w:rPr>
        <w:t xml:space="preserve"> or both. Selective serotonin reuptake inhibitors are normally preferred because they are generally safer and better tolerated. Common standard daily doses include 20 mg of fluoxetine or citalopram, 50 mg of </w:t>
      </w:r>
      <w:r w:rsidR="6EF24C50" w:rsidRPr="00CD625D">
        <w:rPr>
          <w:rFonts w:cstheme="minorHAnsi"/>
          <w:color w:val="000000" w:themeColor="text1"/>
          <w:sz w:val="22"/>
          <w:szCs w:val="22"/>
        </w:rPr>
        <w:t>sertraline,</w:t>
      </w:r>
      <w:r w:rsidRPr="00CD625D">
        <w:rPr>
          <w:rFonts w:cstheme="minorHAnsi"/>
          <w:color w:val="000000" w:themeColor="text1"/>
          <w:sz w:val="22"/>
          <w:szCs w:val="22"/>
        </w:rPr>
        <w:t xml:space="preserve"> and 10 mg of escitalopram</w:t>
      </w:r>
      <w:r w:rsidR="6FB98C92" w:rsidRPr="00CD625D">
        <w:rPr>
          <w:rFonts w:cstheme="minorHAnsi"/>
          <w:color w:val="000000" w:themeColor="text1"/>
          <w:sz w:val="22"/>
          <w:szCs w:val="22"/>
        </w:rPr>
        <w:t xml:space="preserve"> (Scottish</w:t>
      </w:r>
      <w:r w:rsidR="636FFA1A" w:rsidRPr="00CD625D">
        <w:rPr>
          <w:rFonts w:cstheme="minorHAnsi"/>
          <w:color w:val="000000" w:themeColor="text1"/>
          <w:sz w:val="22"/>
          <w:szCs w:val="22"/>
        </w:rPr>
        <w:t xml:space="preserve"> </w:t>
      </w:r>
      <w:r w:rsidR="6FB98C92" w:rsidRPr="00CD625D">
        <w:rPr>
          <w:rFonts w:cstheme="minorHAnsi"/>
          <w:color w:val="000000" w:themeColor="text1"/>
          <w:sz w:val="22"/>
          <w:szCs w:val="22"/>
        </w:rPr>
        <w:t>Goverment.</w:t>
      </w:r>
      <w:r w:rsidR="02F130A3" w:rsidRPr="00CD625D">
        <w:rPr>
          <w:rFonts w:cstheme="minorHAnsi"/>
          <w:color w:val="000000" w:themeColor="text1"/>
          <w:sz w:val="22"/>
          <w:szCs w:val="22"/>
        </w:rPr>
        <w:t>2024)</w:t>
      </w:r>
      <w:r w:rsidRPr="00CD625D">
        <w:rPr>
          <w:rFonts w:cstheme="minorHAnsi"/>
          <w:color w:val="000000" w:themeColor="text1"/>
          <w:sz w:val="22"/>
          <w:szCs w:val="22"/>
        </w:rPr>
        <w:t xml:space="preserve">. However, the dose must be individual and remain within the licensed range. More milligrams do not automatically provide better control. NICE explains that higher doses may not be more effective and can increase side </w:t>
      </w:r>
      <w:r w:rsidR="616FA25F" w:rsidRPr="00CD625D">
        <w:rPr>
          <w:rFonts w:cstheme="minorHAnsi"/>
          <w:color w:val="000000" w:themeColor="text1"/>
          <w:sz w:val="22"/>
          <w:szCs w:val="22"/>
        </w:rPr>
        <w:t>effects (</w:t>
      </w:r>
      <w:r w:rsidR="003B3D67" w:rsidRPr="00CD625D">
        <w:rPr>
          <w:rFonts w:cstheme="minorHAnsi"/>
          <w:color w:val="000000" w:themeColor="text1"/>
          <w:sz w:val="22"/>
          <w:szCs w:val="22"/>
        </w:rPr>
        <w:t>NICE,</w:t>
      </w:r>
      <w:r w:rsidR="616FA25F" w:rsidRPr="00CD625D">
        <w:rPr>
          <w:rFonts w:cstheme="minorHAnsi"/>
          <w:color w:val="000000" w:themeColor="text1"/>
          <w:sz w:val="22"/>
          <w:szCs w:val="22"/>
        </w:rPr>
        <w:t xml:space="preserve"> 2022)</w:t>
      </w:r>
      <w:r w:rsidRPr="00CD625D">
        <w:rPr>
          <w:rFonts w:cstheme="minorHAnsi"/>
          <w:color w:val="000000" w:themeColor="text1"/>
          <w:sz w:val="22"/>
          <w:szCs w:val="22"/>
        </w:rPr>
        <w:t xml:space="preserve">. Therefore, differences in depression between countries cannot be explained only by medication dosage. </w:t>
      </w:r>
    </w:p>
    <w:p w14:paraId="7401313C" w14:textId="3E7FB1A3" w:rsidR="6577C70C"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Treatment should normally be reviewed within two to four weeks. People aged 18 to 25 or presenting a suicide risk should be reviewed approximately one week after starting or increasing medication. The PHQ-9 can be repeated to identify </w:t>
      </w:r>
      <w:r w:rsidR="31C4F85B" w:rsidRPr="00CD625D">
        <w:rPr>
          <w:rFonts w:cstheme="minorHAnsi"/>
          <w:color w:val="000000" w:themeColor="text1"/>
          <w:sz w:val="22"/>
          <w:szCs w:val="22"/>
        </w:rPr>
        <w:t>improvements</w:t>
      </w:r>
      <w:r w:rsidRPr="00CD625D">
        <w:rPr>
          <w:rFonts w:cstheme="minorHAnsi"/>
          <w:color w:val="000000" w:themeColor="text1"/>
          <w:sz w:val="22"/>
          <w:szCs w:val="22"/>
        </w:rPr>
        <w:t xml:space="preserve">. If treatment does not work, the professional should review the diagnosis, adherence, side effects, physical </w:t>
      </w:r>
      <w:r w:rsidR="78338C91" w:rsidRPr="00CD625D">
        <w:rPr>
          <w:rFonts w:cstheme="minorHAnsi"/>
          <w:color w:val="000000" w:themeColor="text1"/>
          <w:sz w:val="22"/>
          <w:szCs w:val="22"/>
        </w:rPr>
        <w:t>illnesses,</w:t>
      </w:r>
      <w:r w:rsidRPr="00CD625D">
        <w:rPr>
          <w:rFonts w:cstheme="minorHAnsi"/>
          <w:color w:val="000000" w:themeColor="text1"/>
          <w:sz w:val="22"/>
          <w:szCs w:val="22"/>
        </w:rPr>
        <w:t xml:space="preserve"> and social circumstances. Treatment may then be changed, combined with therapy</w:t>
      </w:r>
      <w:r w:rsidR="003B3D67" w:rsidRPr="00CD625D">
        <w:rPr>
          <w:rFonts w:cstheme="minorHAnsi"/>
          <w:color w:val="000000" w:themeColor="text1"/>
          <w:sz w:val="22"/>
          <w:szCs w:val="22"/>
        </w:rPr>
        <w:t>,</w:t>
      </w:r>
      <w:r w:rsidRPr="00CD625D">
        <w:rPr>
          <w:rFonts w:cstheme="minorHAnsi"/>
          <w:color w:val="000000" w:themeColor="text1"/>
          <w:sz w:val="22"/>
          <w:szCs w:val="22"/>
        </w:rPr>
        <w:t xml:space="preserve"> or referred </w:t>
      </w:r>
      <w:proofErr w:type="gramStart"/>
      <w:r w:rsidRPr="00CD625D">
        <w:rPr>
          <w:rFonts w:cstheme="minorHAnsi"/>
          <w:color w:val="000000" w:themeColor="text1"/>
          <w:sz w:val="22"/>
          <w:szCs w:val="22"/>
        </w:rPr>
        <w:t>to</w:t>
      </w:r>
      <w:proofErr w:type="gramEnd"/>
      <w:r w:rsidRPr="00CD625D">
        <w:rPr>
          <w:rFonts w:cstheme="minorHAnsi"/>
          <w:color w:val="000000" w:themeColor="text1"/>
          <w:sz w:val="22"/>
          <w:szCs w:val="22"/>
        </w:rPr>
        <w:t xml:space="preserve"> specialist services.</w:t>
      </w:r>
    </w:p>
    <w:p w14:paraId="776B1AE1" w14:textId="63CE3464" w:rsidR="6577C70C" w:rsidRPr="00CD625D" w:rsidRDefault="6756906F" w:rsidP="00CD625D">
      <w:pPr>
        <w:spacing w:line="360" w:lineRule="auto"/>
        <w:rPr>
          <w:rFonts w:cstheme="minorHAnsi"/>
          <w:color w:val="000000" w:themeColor="text1"/>
          <w:sz w:val="22"/>
          <w:szCs w:val="22"/>
        </w:rPr>
      </w:pPr>
      <w:r w:rsidRPr="00CD625D">
        <w:rPr>
          <w:rFonts w:cstheme="minorHAnsi"/>
          <w:color w:val="000000" w:themeColor="text1"/>
          <w:sz w:val="22"/>
          <w:szCs w:val="22"/>
        </w:rPr>
        <w:t>Antidepressants must not be stopped suddenly because this can cause withdrawal symptoms. The dose should be reduced gradually and monitored. The UK R</w:t>
      </w:r>
      <w:r w:rsidR="7F945211" w:rsidRPr="00CD625D">
        <w:rPr>
          <w:rFonts w:cstheme="minorHAnsi"/>
          <w:color w:val="000000" w:themeColor="text1"/>
          <w:sz w:val="22"/>
          <w:szCs w:val="22"/>
        </w:rPr>
        <w:t>educe</w:t>
      </w:r>
      <w:r w:rsidRPr="00CD625D">
        <w:rPr>
          <w:rFonts w:cstheme="minorHAnsi"/>
          <w:color w:val="000000" w:themeColor="text1"/>
          <w:sz w:val="22"/>
          <w:szCs w:val="22"/>
        </w:rPr>
        <w:t xml:space="preserve"> trial studied 330 adults from 131 GP practices over 12 months. Antidepressants were discontinued by 45.5% receiving internet and telephone support and 41.9% receiving GP </w:t>
      </w:r>
      <w:r w:rsidR="3DC2F630" w:rsidRPr="00CD625D">
        <w:rPr>
          <w:rFonts w:cstheme="minorHAnsi"/>
          <w:color w:val="000000" w:themeColor="text1"/>
          <w:sz w:val="22"/>
          <w:szCs w:val="22"/>
        </w:rPr>
        <w:t>reviews</w:t>
      </w:r>
      <w:r w:rsidRPr="00CD625D">
        <w:rPr>
          <w:rFonts w:cstheme="minorHAnsi"/>
          <w:color w:val="000000" w:themeColor="text1"/>
          <w:sz w:val="22"/>
          <w:szCs w:val="22"/>
        </w:rPr>
        <w:t xml:space="preserve"> alone. Although the difference was not significant, GP review allowed more than 40% of suitable long-term users to stop safely (Kendrick et al., 2024). This shows that control requires treatment, </w:t>
      </w:r>
      <w:r w:rsidR="460792DB" w:rsidRPr="00CD625D">
        <w:rPr>
          <w:rFonts w:cstheme="minorHAnsi"/>
          <w:color w:val="000000" w:themeColor="text1"/>
          <w:sz w:val="22"/>
          <w:szCs w:val="22"/>
        </w:rPr>
        <w:t>monitoring,</w:t>
      </w:r>
      <w:r w:rsidRPr="00CD625D">
        <w:rPr>
          <w:rFonts w:cstheme="minorHAnsi"/>
          <w:color w:val="000000" w:themeColor="text1"/>
          <w:sz w:val="22"/>
          <w:szCs w:val="22"/>
        </w:rPr>
        <w:t xml:space="preserve"> and safe review</w:t>
      </w:r>
      <w:r w:rsidR="003B3D67" w:rsidRPr="00CD625D">
        <w:rPr>
          <w:rFonts w:cstheme="minorHAnsi"/>
          <w:color w:val="000000" w:themeColor="text1"/>
          <w:sz w:val="22"/>
          <w:szCs w:val="22"/>
        </w:rPr>
        <w:t>, not</w:t>
      </w:r>
      <w:r w:rsidRPr="00CD625D">
        <w:rPr>
          <w:rFonts w:cstheme="minorHAnsi"/>
          <w:color w:val="000000" w:themeColor="text1"/>
          <w:sz w:val="22"/>
          <w:szCs w:val="22"/>
        </w:rPr>
        <w:t xml:space="preserve"> medication alone.</w:t>
      </w:r>
    </w:p>
    <w:p w14:paraId="435816AC" w14:textId="0FF553FE" w:rsidR="7DA0C540" w:rsidRPr="00CD625D" w:rsidRDefault="6577C70C" w:rsidP="00CD625D">
      <w:pPr>
        <w:spacing w:line="360" w:lineRule="auto"/>
        <w:rPr>
          <w:rFonts w:cstheme="minorHAnsi"/>
        </w:rPr>
      </w:pPr>
      <w:r w:rsidRPr="00CD625D">
        <w:rPr>
          <w:rFonts w:cstheme="minorHAnsi"/>
          <w:color w:val="000000" w:themeColor="text1"/>
          <w:sz w:val="22"/>
          <w:szCs w:val="22"/>
        </w:rPr>
        <w:t xml:space="preserve"> </w:t>
      </w:r>
    </w:p>
    <w:p w14:paraId="410E157A" w14:textId="516B4A19" w:rsidR="6577C70C" w:rsidRPr="00CD625D" w:rsidRDefault="6756906F" w:rsidP="00CD625D">
      <w:pPr>
        <w:pStyle w:val="Heading1"/>
        <w:spacing w:line="360" w:lineRule="auto"/>
        <w:rPr>
          <w:rFonts w:asciiTheme="minorHAnsi" w:eastAsiaTheme="minorEastAsia" w:hAnsiTheme="minorHAnsi" w:cstheme="minorHAnsi"/>
        </w:rPr>
      </w:pPr>
      <w:bookmarkStart w:id="3" w:name="_Toc237763453"/>
      <w:r w:rsidRPr="00CD625D">
        <w:rPr>
          <w:rFonts w:asciiTheme="minorHAnsi" w:eastAsiaTheme="minorEastAsia" w:hAnsiTheme="minorHAnsi" w:cstheme="minorHAnsi"/>
        </w:rPr>
        <w:lastRenderedPageBreak/>
        <w:t>Consequences and community challenges in the UK</w:t>
      </w:r>
      <w:bookmarkEnd w:id="3"/>
    </w:p>
    <w:p w14:paraId="4B114D3D" w14:textId="5A78F079" w:rsidR="6577C70C"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Depression has consequences for individuals, </w:t>
      </w:r>
      <w:r w:rsidR="08A515F6" w:rsidRPr="00CD625D">
        <w:rPr>
          <w:rFonts w:cstheme="minorHAnsi"/>
          <w:color w:val="000000" w:themeColor="text1"/>
          <w:sz w:val="22"/>
          <w:szCs w:val="22"/>
        </w:rPr>
        <w:t>families,</w:t>
      </w:r>
      <w:r w:rsidRPr="00CD625D">
        <w:rPr>
          <w:rFonts w:cstheme="minorHAnsi"/>
          <w:color w:val="000000" w:themeColor="text1"/>
          <w:sz w:val="22"/>
          <w:szCs w:val="22"/>
        </w:rPr>
        <w:t xml:space="preserve"> and communities in the UK. Tiredness, poor </w:t>
      </w:r>
      <w:r w:rsidR="69187F73" w:rsidRPr="00CD625D">
        <w:rPr>
          <w:rFonts w:cstheme="minorHAnsi"/>
          <w:color w:val="000000" w:themeColor="text1"/>
          <w:sz w:val="22"/>
          <w:szCs w:val="22"/>
        </w:rPr>
        <w:t>concentration,</w:t>
      </w:r>
      <w:r w:rsidRPr="00CD625D">
        <w:rPr>
          <w:rFonts w:cstheme="minorHAnsi"/>
          <w:color w:val="000000" w:themeColor="text1"/>
          <w:sz w:val="22"/>
          <w:szCs w:val="22"/>
        </w:rPr>
        <w:t xml:space="preserve"> and loss of motivation can affect education, employment, household </w:t>
      </w:r>
      <w:r w:rsidR="1BB2CE12" w:rsidRPr="00CD625D">
        <w:rPr>
          <w:rFonts w:cstheme="minorHAnsi"/>
          <w:color w:val="000000" w:themeColor="text1"/>
          <w:sz w:val="22"/>
          <w:szCs w:val="22"/>
        </w:rPr>
        <w:t>responsibilities,</w:t>
      </w:r>
      <w:r w:rsidRPr="00CD625D">
        <w:rPr>
          <w:rFonts w:cstheme="minorHAnsi"/>
          <w:color w:val="000000" w:themeColor="text1"/>
          <w:sz w:val="22"/>
          <w:szCs w:val="22"/>
        </w:rPr>
        <w:t xml:space="preserve"> and personal relationships. Some people may become socially isolated or unable to care for themselves properly. Depression can also contribute to unemployment and financial difficulties, while these circumstances can make the condition worse.</w:t>
      </w:r>
    </w:p>
    <w:p w14:paraId="5D6A50C6" w14:textId="78BCC3AE" w:rsidR="6577C70C"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As mentioned in the introduction, research linked depression with 29 physical conditions requiring hospital treatment. Over five years, the UK Biobank study identified endocrine, musculoskeletal</w:t>
      </w:r>
      <w:r w:rsidR="003B3D67" w:rsidRPr="00CD625D">
        <w:rPr>
          <w:rFonts w:cstheme="minorHAnsi"/>
          <w:color w:val="000000" w:themeColor="text1"/>
          <w:sz w:val="22"/>
          <w:szCs w:val="22"/>
        </w:rPr>
        <w:t>,</w:t>
      </w:r>
      <w:r w:rsidRPr="00CD625D">
        <w:rPr>
          <w:rFonts w:cstheme="minorHAnsi"/>
          <w:color w:val="000000" w:themeColor="text1"/>
          <w:sz w:val="22"/>
          <w:szCs w:val="22"/>
        </w:rPr>
        <w:t xml:space="preserve"> and circulatory diseases, showing that consequences are not only psychological (Frank et al., 2023). This provides evidence of morbidity and comorbidity and explains why physical and mental healthcare is required, increasing pressure on families, </w:t>
      </w:r>
      <w:r w:rsidR="4E26BFF4" w:rsidRPr="00CD625D">
        <w:rPr>
          <w:rFonts w:cstheme="minorHAnsi"/>
          <w:color w:val="000000" w:themeColor="text1"/>
          <w:sz w:val="22"/>
          <w:szCs w:val="22"/>
        </w:rPr>
        <w:t>communities,</w:t>
      </w:r>
      <w:r w:rsidRPr="00CD625D">
        <w:rPr>
          <w:rFonts w:cstheme="minorHAnsi"/>
          <w:color w:val="000000" w:themeColor="text1"/>
          <w:sz w:val="22"/>
          <w:szCs w:val="22"/>
        </w:rPr>
        <w:t xml:space="preserve"> and the NHS.</w:t>
      </w:r>
    </w:p>
    <w:p w14:paraId="2E30ECBC" w14:textId="0395597D" w:rsidR="6577C70C"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Depression is not experienced equally. Young adults and people living in deprived areas have presented higher rates of common mental disorders in UK primary care records (</w:t>
      </w:r>
      <w:proofErr w:type="spellStart"/>
      <w:r w:rsidRPr="00CD625D">
        <w:rPr>
          <w:rFonts w:cstheme="minorHAnsi"/>
          <w:color w:val="000000" w:themeColor="text1"/>
          <w:sz w:val="22"/>
          <w:szCs w:val="22"/>
        </w:rPr>
        <w:t>Dykxhoorn</w:t>
      </w:r>
      <w:proofErr w:type="spellEnd"/>
      <w:r w:rsidRPr="00CD625D">
        <w:rPr>
          <w:rFonts w:cstheme="minorHAnsi"/>
          <w:color w:val="000000" w:themeColor="text1"/>
          <w:sz w:val="22"/>
          <w:szCs w:val="22"/>
        </w:rPr>
        <w:t xml:space="preserve"> et al., 202</w:t>
      </w:r>
      <w:r w:rsidR="4450A61D" w:rsidRPr="00CD625D">
        <w:rPr>
          <w:rFonts w:cstheme="minorHAnsi"/>
          <w:color w:val="000000" w:themeColor="text1"/>
          <w:sz w:val="22"/>
          <w:szCs w:val="22"/>
        </w:rPr>
        <w:t>4</w:t>
      </w:r>
      <w:r w:rsidRPr="00CD625D">
        <w:rPr>
          <w:rFonts w:cstheme="minorHAnsi"/>
          <w:color w:val="000000" w:themeColor="text1"/>
          <w:sz w:val="22"/>
          <w:szCs w:val="22"/>
        </w:rPr>
        <w:t xml:space="preserve">). Stigma, discrimination, cultural </w:t>
      </w:r>
      <w:r w:rsidR="1361A2D9" w:rsidRPr="00CD625D">
        <w:rPr>
          <w:rFonts w:cstheme="minorHAnsi"/>
          <w:color w:val="000000" w:themeColor="text1"/>
          <w:sz w:val="22"/>
          <w:szCs w:val="22"/>
        </w:rPr>
        <w:t>beliefs,</w:t>
      </w:r>
      <w:r w:rsidRPr="00CD625D">
        <w:rPr>
          <w:rFonts w:cstheme="minorHAnsi"/>
          <w:color w:val="000000" w:themeColor="text1"/>
          <w:sz w:val="22"/>
          <w:szCs w:val="22"/>
        </w:rPr>
        <w:t xml:space="preserve"> and difficulties accessing appropriate services can delay treatment. A UK systematic review found that these barriers particularly affected African immigrants and recommended more accessible and culturally appropriate services (Bassey et al., 2024).</w:t>
      </w:r>
    </w:p>
    <w:p w14:paraId="05A669B3" w14:textId="6977FFD3" w:rsidR="6577C70C"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The seriousness of the UK situation </w:t>
      </w:r>
      <w:r w:rsidR="003B3D67" w:rsidRPr="00CD625D">
        <w:rPr>
          <w:rFonts w:cstheme="minorHAnsi"/>
          <w:color w:val="000000" w:themeColor="text1"/>
          <w:sz w:val="22"/>
          <w:szCs w:val="22"/>
        </w:rPr>
        <w:t>becomes clearer</w:t>
      </w:r>
      <w:r w:rsidRPr="00CD625D">
        <w:rPr>
          <w:rFonts w:cstheme="minorHAnsi"/>
          <w:color w:val="000000" w:themeColor="text1"/>
          <w:sz w:val="22"/>
          <w:szCs w:val="22"/>
        </w:rPr>
        <w:t xml:space="preserve"> through international comparison. The Czech Republic was selected because it recorded the lowest prevalence among the 27 European countries included in the same survey. Using comparable data, probable depression affected approximately 7.5% of UK adults, or around 1 in 13, compared with 2.58% in the Czech Republic, or approximately 1 in 39. Therefore, the UK figure was almost three times higher (Arias-de la Torre et al., 2021</w:t>
      </w:r>
      <w:r w:rsidR="61A1ACD3" w:rsidRPr="00CD625D">
        <w:rPr>
          <w:rFonts w:cstheme="minorHAnsi"/>
          <w:color w:val="000000" w:themeColor="text1"/>
          <w:sz w:val="22"/>
          <w:szCs w:val="22"/>
        </w:rPr>
        <w:t>b</w:t>
      </w:r>
      <w:r w:rsidRPr="00CD625D">
        <w:rPr>
          <w:rFonts w:cstheme="minorHAnsi"/>
          <w:color w:val="000000" w:themeColor="text1"/>
          <w:sz w:val="22"/>
          <w:szCs w:val="22"/>
        </w:rPr>
        <w:t xml:space="preserve">). However, the Czech Republic had the lowest rate in this European study, not worldwide. This difference cannot be attributed only to medication or dosage because social conditions, access to care, </w:t>
      </w:r>
      <w:r w:rsidR="0158E3CA" w:rsidRPr="00CD625D">
        <w:rPr>
          <w:rFonts w:cstheme="minorHAnsi"/>
          <w:color w:val="000000" w:themeColor="text1"/>
          <w:sz w:val="22"/>
          <w:szCs w:val="22"/>
        </w:rPr>
        <w:t>diagnosis,</w:t>
      </w:r>
      <w:r w:rsidRPr="00CD625D">
        <w:rPr>
          <w:rFonts w:cstheme="minorHAnsi"/>
          <w:color w:val="000000" w:themeColor="text1"/>
          <w:sz w:val="22"/>
          <w:szCs w:val="22"/>
        </w:rPr>
        <w:t xml:space="preserve"> and reporting methods may influence the results. </w:t>
      </w:r>
    </w:p>
    <w:p w14:paraId="5E75B8C6" w14:textId="408D9D77" w:rsidR="003B3D67"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The clinical evidence described above is reflected in my experience of depression. Continuing daily life while feeling overwhelmed, disconnected</w:t>
      </w:r>
      <w:r w:rsidR="003B3D67" w:rsidRPr="00CD625D">
        <w:rPr>
          <w:rFonts w:cstheme="minorHAnsi"/>
          <w:color w:val="000000" w:themeColor="text1"/>
          <w:sz w:val="22"/>
          <w:szCs w:val="22"/>
        </w:rPr>
        <w:t>,</w:t>
      </w:r>
      <w:r w:rsidRPr="00CD625D">
        <w:rPr>
          <w:rFonts w:cstheme="minorHAnsi"/>
          <w:color w:val="000000" w:themeColor="text1"/>
          <w:sz w:val="22"/>
          <w:szCs w:val="22"/>
        </w:rPr>
        <w:t xml:space="preserve"> or without energy can be difficult, even when others cannot see it. Recovery is not always </w:t>
      </w:r>
      <w:r w:rsidR="3571F71B" w:rsidRPr="00CD625D">
        <w:rPr>
          <w:rFonts w:cstheme="minorHAnsi"/>
          <w:color w:val="000000" w:themeColor="text1"/>
          <w:sz w:val="22"/>
          <w:szCs w:val="22"/>
        </w:rPr>
        <w:t>linear;</w:t>
      </w:r>
      <w:r w:rsidRPr="00CD625D">
        <w:rPr>
          <w:rFonts w:cstheme="minorHAnsi"/>
          <w:color w:val="000000" w:themeColor="text1"/>
          <w:sz w:val="22"/>
          <w:szCs w:val="22"/>
        </w:rPr>
        <w:t xml:space="preserve"> </w:t>
      </w:r>
      <w:r w:rsidR="003B3D67" w:rsidRPr="00CD625D">
        <w:rPr>
          <w:rFonts w:cstheme="minorHAnsi"/>
          <w:color w:val="000000" w:themeColor="text1"/>
          <w:sz w:val="22"/>
          <w:szCs w:val="22"/>
        </w:rPr>
        <w:t>building</w:t>
      </w:r>
      <w:r w:rsidRPr="00CD625D">
        <w:rPr>
          <w:rFonts w:cstheme="minorHAnsi"/>
          <w:color w:val="000000" w:themeColor="text1"/>
          <w:sz w:val="22"/>
          <w:szCs w:val="22"/>
        </w:rPr>
        <w:t xml:space="preserve"> family understanding, professional </w:t>
      </w:r>
      <w:r w:rsidR="3E750721" w:rsidRPr="00CD625D">
        <w:rPr>
          <w:rFonts w:cstheme="minorHAnsi"/>
          <w:color w:val="000000" w:themeColor="text1"/>
          <w:sz w:val="22"/>
          <w:szCs w:val="22"/>
        </w:rPr>
        <w:t>care,</w:t>
      </w:r>
      <w:r w:rsidRPr="00CD625D">
        <w:rPr>
          <w:rFonts w:cstheme="minorHAnsi"/>
          <w:color w:val="000000" w:themeColor="text1"/>
          <w:sz w:val="22"/>
          <w:szCs w:val="22"/>
        </w:rPr>
        <w:t xml:space="preserve"> and community support</w:t>
      </w:r>
      <w:r w:rsidR="7C05A438" w:rsidRPr="00CD625D">
        <w:rPr>
          <w:rFonts w:cstheme="minorHAnsi"/>
          <w:color w:val="000000" w:themeColor="text1"/>
          <w:sz w:val="22"/>
          <w:szCs w:val="22"/>
        </w:rPr>
        <w:t xml:space="preserve"> is important</w:t>
      </w:r>
      <w:r w:rsidR="00CD625D">
        <w:rPr>
          <w:rFonts w:cstheme="minorHAnsi"/>
          <w:color w:val="000000" w:themeColor="text1"/>
          <w:sz w:val="22"/>
          <w:szCs w:val="22"/>
        </w:rPr>
        <w:t>.</w:t>
      </w:r>
    </w:p>
    <w:p w14:paraId="68793A7D" w14:textId="3735A850" w:rsidR="6577C70C" w:rsidRPr="00CD625D" w:rsidRDefault="6756906F" w:rsidP="00CD625D">
      <w:pPr>
        <w:pStyle w:val="Heading1"/>
        <w:spacing w:line="360" w:lineRule="auto"/>
        <w:rPr>
          <w:rFonts w:asciiTheme="minorHAnsi" w:eastAsiaTheme="minorEastAsia" w:hAnsiTheme="minorHAnsi" w:cstheme="minorHAnsi"/>
        </w:rPr>
      </w:pPr>
      <w:bookmarkStart w:id="4" w:name="_Toc237763454"/>
      <w:r w:rsidRPr="00CD625D">
        <w:rPr>
          <w:rFonts w:asciiTheme="minorHAnsi" w:eastAsiaTheme="minorEastAsia" w:hAnsiTheme="minorHAnsi" w:cstheme="minorHAnsi"/>
        </w:rPr>
        <w:lastRenderedPageBreak/>
        <w:t>Health and social care support services required in the UK</w:t>
      </w:r>
      <w:bookmarkEnd w:id="4"/>
    </w:p>
    <w:p w14:paraId="75A66069" w14:textId="4DD37554" w:rsidR="6577C70C" w:rsidRPr="00CD625D" w:rsidRDefault="6577C70C" w:rsidP="00CD625D">
      <w:pPr>
        <w:spacing w:line="360" w:lineRule="auto"/>
        <w:rPr>
          <w:rFonts w:eastAsia="Arial" w:cstheme="minorHAnsi"/>
          <w:color w:val="000000" w:themeColor="text1"/>
          <w:sz w:val="40"/>
          <w:szCs w:val="40"/>
        </w:rPr>
      </w:pPr>
      <w:r w:rsidRPr="00CD625D">
        <w:rPr>
          <w:rFonts w:eastAsia="Arial" w:cstheme="minorHAnsi"/>
          <w:color w:val="000000" w:themeColor="text1"/>
          <w:sz w:val="40"/>
          <w:szCs w:val="40"/>
        </w:rPr>
        <w:t xml:space="preserve"> </w:t>
      </w:r>
    </w:p>
    <w:p w14:paraId="48C6A72F" w14:textId="615424DA" w:rsidR="6577C70C" w:rsidRPr="00CD625D" w:rsidRDefault="6577C70C" w:rsidP="00CD625D">
      <w:pPr>
        <w:spacing w:line="360" w:lineRule="auto"/>
        <w:rPr>
          <w:rFonts w:eastAsia="Arial" w:cstheme="minorHAnsi"/>
          <w:color w:val="000000" w:themeColor="text1"/>
          <w:sz w:val="22"/>
          <w:szCs w:val="22"/>
        </w:rPr>
      </w:pPr>
      <w:r w:rsidRPr="00CD625D">
        <w:rPr>
          <w:rFonts w:eastAsia="Arial" w:cstheme="minorHAnsi"/>
          <w:color w:val="000000" w:themeColor="text1"/>
          <w:sz w:val="22"/>
          <w:szCs w:val="22"/>
        </w:rPr>
        <w:t xml:space="preserve">People affected by depression in the UK require coordinated health and social care because the condition can affect mental health, physical health, employment, </w:t>
      </w:r>
      <w:r w:rsidR="7ECAF6E3" w:rsidRPr="00CD625D">
        <w:rPr>
          <w:rFonts w:eastAsia="Arial" w:cstheme="minorHAnsi"/>
          <w:color w:val="000000" w:themeColor="text1"/>
          <w:sz w:val="22"/>
          <w:szCs w:val="22"/>
        </w:rPr>
        <w:t>finances,</w:t>
      </w:r>
      <w:r w:rsidRPr="00CD625D">
        <w:rPr>
          <w:rFonts w:eastAsia="Arial" w:cstheme="minorHAnsi"/>
          <w:color w:val="000000" w:themeColor="text1"/>
          <w:sz w:val="22"/>
          <w:szCs w:val="22"/>
        </w:rPr>
        <w:t xml:space="preserve"> and relationships. The GP is the first point of contact and can assess symptoms and suicide risk, review physical conditions and medication, and refer the person to psychological or specialist services. In England, adults can refer themselves to NHS Talking Therapies for guided self-help, cognitive </w:t>
      </w:r>
      <w:r w:rsidR="78ED158D" w:rsidRPr="00CD625D">
        <w:rPr>
          <w:rFonts w:eastAsia="Arial" w:cstheme="minorHAnsi"/>
          <w:color w:val="000000" w:themeColor="text1"/>
          <w:sz w:val="22"/>
          <w:szCs w:val="22"/>
        </w:rPr>
        <w:t>behavioral</w:t>
      </w:r>
      <w:r w:rsidRPr="00CD625D">
        <w:rPr>
          <w:rFonts w:eastAsia="Arial" w:cstheme="minorHAnsi"/>
          <w:color w:val="000000" w:themeColor="text1"/>
          <w:sz w:val="22"/>
          <w:szCs w:val="22"/>
        </w:rPr>
        <w:t xml:space="preserve"> therapy or </w:t>
      </w:r>
      <w:r w:rsidR="003B3D67" w:rsidRPr="00CD625D">
        <w:rPr>
          <w:rFonts w:eastAsia="Arial" w:cstheme="minorHAnsi"/>
          <w:color w:val="000000" w:themeColor="text1"/>
          <w:sz w:val="22"/>
          <w:szCs w:val="22"/>
        </w:rPr>
        <w:t>counseling</w:t>
      </w:r>
      <w:r w:rsidRPr="00CD625D">
        <w:rPr>
          <w:rFonts w:eastAsia="Arial" w:cstheme="minorHAnsi"/>
          <w:color w:val="000000" w:themeColor="text1"/>
          <w:sz w:val="22"/>
          <w:szCs w:val="22"/>
        </w:rPr>
        <w:t>.</w:t>
      </w:r>
    </w:p>
    <w:p w14:paraId="3D80CAAD" w14:textId="676990E2" w:rsidR="6577C70C"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 People with severe, recurrent or complex depression may require a Community Mental Health Team, including psychiatrists, psychologists, mental health nurses, occupational </w:t>
      </w:r>
      <w:r w:rsidR="17DA204B" w:rsidRPr="00CD625D">
        <w:rPr>
          <w:rFonts w:cstheme="minorHAnsi"/>
          <w:color w:val="000000" w:themeColor="text1"/>
          <w:sz w:val="22"/>
          <w:szCs w:val="22"/>
        </w:rPr>
        <w:t>therapists,</w:t>
      </w:r>
      <w:r w:rsidRPr="00CD625D">
        <w:rPr>
          <w:rFonts w:cstheme="minorHAnsi"/>
          <w:color w:val="000000" w:themeColor="text1"/>
          <w:sz w:val="22"/>
          <w:szCs w:val="22"/>
        </w:rPr>
        <w:t xml:space="preserve"> and social workers. Cooperation is particularly important when depression occurs alongside physical illness. Anyone facing an immediate risk of suicide or self-harm requires urgent help through NHS 111, a crisis team, Accident and Emergency, or 999 when there is danger.</w:t>
      </w:r>
    </w:p>
    <w:p w14:paraId="1ED64A7E" w14:textId="6A588A70" w:rsidR="6577C70C"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 Social care is necessary because medication and therapy may not resolve loneliness, unemployment, unsuitable </w:t>
      </w:r>
      <w:r w:rsidR="32D85A29" w:rsidRPr="00CD625D">
        <w:rPr>
          <w:rFonts w:cstheme="minorHAnsi"/>
          <w:color w:val="000000" w:themeColor="text1"/>
          <w:sz w:val="22"/>
          <w:szCs w:val="22"/>
        </w:rPr>
        <w:t>housing,</w:t>
      </w:r>
      <w:r w:rsidRPr="00CD625D">
        <w:rPr>
          <w:rFonts w:cstheme="minorHAnsi"/>
          <w:color w:val="000000" w:themeColor="text1"/>
          <w:sz w:val="22"/>
          <w:szCs w:val="22"/>
        </w:rPr>
        <w:t xml:space="preserve"> or financial problems. Social workers and link workers can connect people with </w:t>
      </w:r>
      <w:r w:rsidR="10F18801" w:rsidRPr="00CD625D">
        <w:rPr>
          <w:rFonts w:cstheme="minorHAnsi"/>
          <w:color w:val="000000" w:themeColor="text1"/>
          <w:sz w:val="22"/>
          <w:szCs w:val="22"/>
        </w:rPr>
        <w:t>benefits</w:t>
      </w:r>
      <w:r w:rsidR="003B3D67" w:rsidRPr="00CD625D">
        <w:rPr>
          <w:rFonts w:cstheme="minorHAnsi"/>
          <w:color w:val="000000" w:themeColor="text1"/>
          <w:sz w:val="22"/>
          <w:szCs w:val="22"/>
        </w:rPr>
        <w:t>,</w:t>
      </w:r>
      <w:r w:rsidRPr="00CD625D">
        <w:rPr>
          <w:rFonts w:cstheme="minorHAnsi"/>
          <w:color w:val="000000" w:themeColor="text1"/>
          <w:sz w:val="22"/>
          <w:szCs w:val="22"/>
        </w:rPr>
        <w:t xml:space="preserve"> advice, housing and employment services, peer groups, exercise and community activities. A UK systematic review examined 17 social-prescribing studies involving 5,036 participants; 16 reported improvements in mental health, wellbeing, general health</w:t>
      </w:r>
      <w:r w:rsidR="00D47772" w:rsidRPr="00CD625D">
        <w:rPr>
          <w:rFonts w:cstheme="minorHAnsi"/>
          <w:color w:val="000000" w:themeColor="text1"/>
          <w:sz w:val="22"/>
          <w:szCs w:val="22"/>
        </w:rPr>
        <w:t>,</w:t>
      </w:r>
      <w:r w:rsidRPr="00CD625D">
        <w:rPr>
          <w:rFonts w:cstheme="minorHAnsi"/>
          <w:color w:val="000000" w:themeColor="text1"/>
          <w:sz w:val="22"/>
          <w:szCs w:val="22"/>
        </w:rPr>
        <w:t xml:space="preserve"> or quality of life. However, stronger controlled studies and longer follow-up </w:t>
      </w:r>
      <w:r w:rsidR="003B3D67" w:rsidRPr="00CD625D">
        <w:rPr>
          <w:rFonts w:cstheme="minorHAnsi"/>
          <w:color w:val="000000" w:themeColor="text1"/>
          <w:sz w:val="22"/>
          <w:szCs w:val="22"/>
        </w:rPr>
        <w:t>are still needed</w:t>
      </w:r>
      <w:r w:rsidRPr="00CD625D">
        <w:rPr>
          <w:rFonts w:cstheme="minorHAnsi"/>
          <w:color w:val="000000" w:themeColor="text1"/>
          <w:sz w:val="22"/>
          <w:szCs w:val="22"/>
        </w:rPr>
        <w:t xml:space="preserve"> (Cooper et al., 2022).</w:t>
      </w:r>
    </w:p>
    <w:p w14:paraId="1509D993" w14:textId="13DEA903" w:rsidR="7DA0C540" w:rsidRPr="00CD625D" w:rsidRDefault="6577C70C" w:rsidP="00CD625D">
      <w:pPr>
        <w:spacing w:line="360" w:lineRule="auto"/>
        <w:rPr>
          <w:rFonts w:cstheme="minorHAnsi"/>
          <w:color w:val="000000" w:themeColor="text1"/>
          <w:sz w:val="22"/>
          <w:szCs w:val="22"/>
        </w:rPr>
      </w:pPr>
      <w:r w:rsidRPr="00CD625D">
        <w:rPr>
          <w:rFonts w:cstheme="minorHAnsi"/>
          <w:color w:val="000000" w:themeColor="text1"/>
          <w:sz w:val="22"/>
          <w:szCs w:val="22"/>
        </w:rPr>
        <w:t xml:space="preserve"> Services must be accessible, culturally </w:t>
      </w:r>
      <w:r w:rsidR="00BB02FB" w:rsidRPr="00CD625D">
        <w:rPr>
          <w:rFonts w:cstheme="minorHAnsi"/>
          <w:color w:val="000000" w:themeColor="text1"/>
          <w:sz w:val="22"/>
          <w:szCs w:val="22"/>
        </w:rPr>
        <w:t>appropriate,</w:t>
      </w:r>
      <w:r w:rsidRPr="00CD625D">
        <w:rPr>
          <w:rFonts w:cstheme="minorHAnsi"/>
          <w:color w:val="000000" w:themeColor="text1"/>
          <w:sz w:val="22"/>
          <w:szCs w:val="22"/>
        </w:rPr>
        <w:t xml:space="preserve"> and adapted to needs. They should offer face-to-face and digital options, interpreters, regular monitoring and support for families or carers, including during recovery and after discharge. Effective care requires cooperation between the NHS, social </w:t>
      </w:r>
      <w:r w:rsidR="77F889CA" w:rsidRPr="00CD625D">
        <w:rPr>
          <w:rFonts w:cstheme="minorHAnsi"/>
          <w:color w:val="000000" w:themeColor="text1"/>
          <w:sz w:val="22"/>
          <w:szCs w:val="22"/>
        </w:rPr>
        <w:t>services,</w:t>
      </w:r>
      <w:r w:rsidRPr="00CD625D">
        <w:rPr>
          <w:rFonts w:cstheme="minorHAnsi"/>
          <w:color w:val="000000" w:themeColor="text1"/>
          <w:sz w:val="22"/>
          <w:szCs w:val="22"/>
        </w:rPr>
        <w:t xml:space="preserve"> and community </w:t>
      </w:r>
      <w:r w:rsidR="16413769" w:rsidRPr="00CD625D">
        <w:rPr>
          <w:rFonts w:cstheme="minorHAnsi"/>
          <w:color w:val="000000" w:themeColor="text1"/>
          <w:sz w:val="22"/>
          <w:szCs w:val="22"/>
        </w:rPr>
        <w:t>organizations</w:t>
      </w:r>
      <w:r w:rsidRPr="00CD625D">
        <w:rPr>
          <w:rFonts w:cstheme="minorHAnsi"/>
          <w:color w:val="000000" w:themeColor="text1"/>
          <w:sz w:val="22"/>
          <w:szCs w:val="22"/>
        </w:rPr>
        <w:t xml:space="preserve"> rather than leaving individuals to manage depression alone.</w:t>
      </w:r>
    </w:p>
    <w:p w14:paraId="120A8109" w14:textId="3C427771" w:rsidR="7DA0C540" w:rsidRPr="00CD625D" w:rsidRDefault="7DA0C540" w:rsidP="00CD625D">
      <w:pPr>
        <w:spacing w:line="360" w:lineRule="auto"/>
        <w:rPr>
          <w:rFonts w:cstheme="minorHAnsi"/>
          <w:color w:val="000000" w:themeColor="text1"/>
          <w:sz w:val="22"/>
          <w:szCs w:val="22"/>
        </w:rPr>
      </w:pPr>
    </w:p>
    <w:p w14:paraId="1FF8EF23" w14:textId="34CECEFE" w:rsidR="3721629C" w:rsidRPr="00CD625D" w:rsidRDefault="1E283FF6" w:rsidP="00CD625D">
      <w:pPr>
        <w:pStyle w:val="Heading1"/>
        <w:spacing w:line="360" w:lineRule="auto"/>
        <w:rPr>
          <w:rFonts w:asciiTheme="minorHAnsi" w:eastAsiaTheme="minorEastAsia" w:hAnsiTheme="minorHAnsi" w:cstheme="minorHAnsi"/>
        </w:rPr>
      </w:pPr>
      <w:bookmarkStart w:id="5" w:name="_Toc237763455"/>
      <w:r w:rsidRPr="00CD625D">
        <w:rPr>
          <w:rFonts w:asciiTheme="minorHAnsi" w:eastAsiaTheme="minorEastAsia" w:hAnsiTheme="minorHAnsi" w:cstheme="minorHAnsi"/>
        </w:rPr>
        <w:lastRenderedPageBreak/>
        <w:t>Conclusion</w:t>
      </w:r>
      <w:bookmarkEnd w:id="5"/>
    </w:p>
    <w:p w14:paraId="7E7DCDB9" w14:textId="5884ED0E" w:rsidR="7DA0C540" w:rsidRPr="00CD625D" w:rsidRDefault="7DA0C540" w:rsidP="00CD625D">
      <w:pPr>
        <w:spacing w:line="360" w:lineRule="auto"/>
        <w:rPr>
          <w:rFonts w:eastAsia="Arial" w:cstheme="minorHAnsi"/>
          <w:color w:val="000000" w:themeColor="text1"/>
          <w:sz w:val="22"/>
          <w:szCs w:val="22"/>
        </w:rPr>
      </w:pPr>
    </w:p>
    <w:p w14:paraId="75703855" w14:textId="3D1B0ECB" w:rsidR="3721629C" w:rsidRPr="00CD625D" w:rsidRDefault="3721629C" w:rsidP="00CD625D">
      <w:pPr>
        <w:spacing w:line="360" w:lineRule="auto"/>
        <w:rPr>
          <w:rFonts w:cstheme="minorHAnsi"/>
        </w:rPr>
      </w:pPr>
      <w:r w:rsidRPr="00CD625D">
        <w:rPr>
          <w:rFonts w:cstheme="minorHAnsi"/>
          <w:color w:val="000000" w:themeColor="text1"/>
          <w:sz w:val="22"/>
          <w:szCs w:val="22"/>
        </w:rPr>
        <w:t>Depression must be understood as a condition requiring a coordinated process rather than an isolated intervention. Measurement begins with clinical assessment and validated questionnaires, while monitoring shows whether symptoms improve, remain unchanged</w:t>
      </w:r>
      <w:r w:rsidR="74277A27" w:rsidRPr="00CD625D">
        <w:rPr>
          <w:rFonts w:cstheme="minorHAnsi"/>
          <w:color w:val="000000" w:themeColor="text1"/>
          <w:sz w:val="22"/>
          <w:szCs w:val="22"/>
        </w:rPr>
        <w:t>, or worsen</w:t>
      </w:r>
      <w:r w:rsidRPr="00CD625D">
        <w:rPr>
          <w:rFonts w:cstheme="minorHAnsi"/>
          <w:color w:val="000000" w:themeColor="text1"/>
          <w:sz w:val="22"/>
          <w:szCs w:val="22"/>
        </w:rPr>
        <w:t xml:space="preserve">. These results guide safe, personalized control through psychological therapy, medication, and reviews. Physical health, suicide </w:t>
      </w:r>
      <w:r w:rsidR="73CF9A9B" w:rsidRPr="00CD625D">
        <w:rPr>
          <w:rFonts w:cstheme="minorHAnsi"/>
          <w:color w:val="000000" w:themeColor="text1"/>
          <w:sz w:val="22"/>
          <w:szCs w:val="22"/>
        </w:rPr>
        <w:t>risk,</w:t>
      </w:r>
      <w:r w:rsidRPr="00CD625D">
        <w:rPr>
          <w:rFonts w:cstheme="minorHAnsi"/>
          <w:color w:val="000000" w:themeColor="text1"/>
          <w:sz w:val="22"/>
          <w:szCs w:val="22"/>
        </w:rPr>
        <w:t xml:space="preserve"> and social circumstances must be considered because depression can affect the whole person, family, and community. Health, </w:t>
      </w:r>
      <w:r w:rsidR="7838DE87" w:rsidRPr="00CD625D">
        <w:rPr>
          <w:rFonts w:cstheme="minorHAnsi"/>
          <w:color w:val="000000" w:themeColor="text1"/>
          <w:sz w:val="22"/>
          <w:szCs w:val="22"/>
        </w:rPr>
        <w:t>social,</w:t>
      </w:r>
      <w:r w:rsidRPr="00CD625D">
        <w:rPr>
          <w:rFonts w:cstheme="minorHAnsi"/>
          <w:color w:val="000000" w:themeColor="text1"/>
          <w:sz w:val="22"/>
          <w:szCs w:val="22"/>
        </w:rPr>
        <w:t xml:space="preserve"> and community services therefore need to work together, reduce </w:t>
      </w:r>
      <w:r w:rsidR="1E4F7369" w:rsidRPr="00CD625D">
        <w:rPr>
          <w:rFonts w:cstheme="minorHAnsi"/>
          <w:color w:val="000000" w:themeColor="text1"/>
          <w:sz w:val="22"/>
          <w:szCs w:val="22"/>
        </w:rPr>
        <w:t>barriers,</w:t>
      </w:r>
      <w:r w:rsidRPr="00CD625D">
        <w:rPr>
          <w:rFonts w:cstheme="minorHAnsi"/>
          <w:color w:val="000000" w:themeColor="text1"/>
          <w:sz w:val="22"/>
          <w:szCs w:val="22"/>
        </w:rPr>
        <w:t xml:space="preserve"> and provide support throughout recovery. From my experience as a patient, understanding </w:t>
      </w:r>
      <w:r w:rsidR="0B6CC437" w:rsidRPr="00CD625D">
        <w:rPr>
          <w:rFonts w:cstheme="minorHAnsi"/>
          <w:color w:val="000000" w:themeColor="text1"/>
          <w:sz w:val="22"/>
          <w:szCs w:val="22"/>
        </w:rPr>
        <w:t>behavioral</w:t>
      </w:r>
      <w:r w:rsidR="667DE745" w:rsidRPr="00CD625D">
        <w:rPr>
          <w:rFonts w:cstheme="minorHAnsi"/>
          <w:color w:val="000000" w:themeColor="text1"/>
          <w:sz w:val="22"/>
          <w:szCs w:val="22"/>
        </w:rPr>
        <w:t xml:space="preserve"> therapy </w:t>
      </w:r>
      <w:r w:rsidR="003B3D67" w:rsidRPr="00CD625D">
        <w:rPr>
          <w:rFonts w:cstheme="minorHAnsi"/>
          <w:color w:val="000000" w:themeColor="text1"/>
          <w:sz w:val="22"/>
          <w:szCs w:val="22"/>
        </w:rPr>
        <w:t>and counseling throughout the process</w:t>
      </w:r>
      <w:r w:rsidR="2D5A1912" w:rsidRPr="00CD625D">
        <w:rPr>
          <w:rFonts w:cstheme="minorHAnsi"/>
          <w:color w:val="000000" w:themeColor="text1"/>
          <w:sz w:val="22"/>
          <w:szCs w:val="22"/>
        </w:rPr>
        <w:t xml:space="preserve"> was important</w:t>
      </w:r>
      <w:r w:rsidRPr="00CD625D">
        <w:rPr>
          <w:rFonts w:cstheme="minorHAnsi"/>
          <w:color w:val="000000" w:themeColor="text1"/>
          <w:sz w:val="22"/>
          <w:szCs w:val="22"/>
        </w:rPr>
        <w:t>. Recognizing the need for help is often the first difficult step, while recovery is not immediate or always linear. Nevertheless, I have learned that the process can work when a person seeks professional help, follows treatment, attends reviews, and accepts support. Nobody should feel ashamed or be expected to face depression alone.</w:t>
      </w:r>
      <w:r w:rsidR="5A25A03F" w:rsidRPr="00CD625D">
        <w:rPr>
          <w:rFonts w:cstheme="minorHAnsi"/>
          <w:color w:val="000000" w:themeColor="text1"/>
          <w:sz w:val="22"/>
          <w:szCs w:val="22"/>
        </w:rPr>
        <w:t xml:space="preserve"> </w:t>
      </w:r>
    </w:p>
    <w:p w14:paraId="3C0B402D" w14:textId="4D05A119" w:rsidR="7DA0C540" w:rsidRPr="00CD625D" w:rsidRDefault="7DA0C540" w:rsidP="00CD625D">
      <w:pPr>
        <w:spacing w:line="360" w:lineRule="auto"/>
        <w:rPr>
          <w:rFonts w:cstheme="minorHAnsi"/>
          <w:color w:val="000000" w:themeColor="text1"/>
          <w:sz w:val="22"/>
          <w:szCs w:val="22"/>
        </w:rPr>
      </w:pPr>
    </w:p>
    <w:p w14:paraId="7A55249D" w14:textId="58932DE4" w:rsidR="7DA0C540" w:rsidRPr="00CD625D" w:rsidRDefault="7DA0C540" w:rsidP="00CD625D">
      <w:pPr>
        <w:spacing w:line="360" w:lineRule="auto"/>
        <w:rPr>
          <w:rFonts w:cstheme="minorHAnsi"/>
          <w:color w:val="000000" w:themeColor="text1"/>
          <w:sz w:val="22"/>
          <w:szCs w:val="22"/>
        </w:rPr>
      </w:pPr>
    </w:p>
    <w:p w14:paraId="2B3C7965" w14:textId="62C99FA4" w:rsidR="7DA0C540" w:rsidRPr="00CD625D" w:rsidRDefault="7DA0C540" w:rsidP="00CD625D">
      <w:pPr>
        <w:spacing w:line="360" w:lineRule="auto"/>
        <w:rPr>
          <w:rFonts w:cstheme="minorHAnsi"/>
          <w:color w:val="000000" w:themeColor="text1"/>
          <w:sz w:val="22"/>
          <w:szCs w:val="22"/>
        </w:rPr>
      </w:pPr>
    </w:p>
    <w:p w14:paraId="10DDF5FB" w14:textId="1FB7ACCD" w:rsidR="7DA0C540" w:rsidRPr="00CD625D" w:rsidRDefault="7DA0C540" w:rsidP="00CD625D">
      <w:pPr>
        <w:spacing w:line="360" w:lineRule="auto"/>
        <w:rPr>
          <w:rFonts w:cstheme="minorHAnsi"/>
          <w:color w:val="000000" w:themeColor="text1"/>
          <w:sz w:val="22"/>
          <w:szCs w:val="22"/>
        </w:rPr>
      </w:pPr>
    </w:p>
    <w:p w14:paraId="2D0657DD" w14:textId="599951D7" w:rsidR="7DA0C540" w:rsidRPr="00CD625D" w:rsidRDefault="7DA0C540" w:rsidP="00CD625D">
      <w:pPr>
        <w:spacing w:line="360" w:lineRule="auto"/>
        <w:rPr>
          <w:rFonts w:cstheme="minorHAnsi"/>
          <w:color w:val="000000" w:themeColor="text1"/>
          <w:sz w:val="22"/>
          <w:szCs w:val="22"/>
        </w:rPr>
      </w:pPr>
    </w:p>
    <w:p w14:paraId="4F879C14" w14:textId="3CDEAD27" w:rsidR="7DA0C540" w:rsidRPr="00CD625D" w:rsidRDefault="7DA0C540" w:rsidP="00CD625D">
      <w:pPr>
        <w:spacing w:line="360" w:lineRule="auto"/>
        <w:rPr>
          <w:rFonts w:cstheme="minorHAnsi"/>
          <w:color w:val="000000" w:themeColor="text1"/>
          <w:sz w:val="22"/>
          <w:szCs w:val="22"/>
        </w:rPr>
      </w:pPr>
    </w:p>
    <w:p w14:paraId="415DB5CB" w14:textId="55DDE390" w:rsidR="7DA0C540" w:rsidRPr="00CD625D" w:rsidRDefault="7DA0C540" w:rsidP="00CD625D">
      <w:pPr>
        <w:spacing w:line="360" w:lineRule="auto"/>
        <w:rPr>
          <w:rFonts w:cstheme="minorHAnsi"/>
          <w:color w:val="000000" w:themeColor="text1"/>
          <w:sz w:val="22"/>
          <w:szCs w:val="22"/>
        </w:rPr>
      </w:pPr>
    </w:p>
    <w:p w14:paraId="5CD4954A" w14:textId="1BB9A68D" w:rsidR="7DA0C540" w:rsidRPr="00CD625D" w:rsidRDefault="7DA0C540" w:rsidP="00CD625D">
      <w:pPr>
        <w:spacing w:line="360" w:lineRule="auto"/>
        <w:rPr>
          <w:rFonts w:cstheme="minorHAnsi"/>
          <w:color w:val="000000" w:themeColor="text1"/>
          <w:sz w:val="22"/>
          <w:szCs w:val="22"/>
        </w:rPr>
      </w:pPr>
    </w:p>
    <w:p w14:paraId="0AD66D49" w14:textId="0E64E0C9" w:rsidR="7DA0C540" w:rsidRPr="00CD625D" w:rsidRDefault="7DA0C540" w:rsidP="00CD625D">
      <w:pPr>
        <w:spacing w:line="360" w:lineRule="auto"/>
        <w:rPr>
          <w:rFonts w:cstheme="minorHAnsi"/>
          <w:color w:val="000000" w:themeColor="text1"/>
          <w:sz w:val="22"/>
          <w:szCs w:val="22"/>
        </w:rPr>
      </w:pPr>
    </w:p>
    <w:p w14:paraId="22285D51" w14:textId="0BCD005F" w:rsidR="7DA0C540" w:rsidRPr="00CD625D" w:rsidRDefault="7DA0C540" w:rsidP="00CD625D">
      <w:pPr>
        <w:spacing w:line="360" w:lineRule="auto"/>
        <w:rPr>
          <w:rFonts w:cstheme="minorHAnsi"/>
          <w:color w:val="000000" w:themeColor="text1"/>
          <w:sz w:val="22"/>
          <w:szCs w:val="22"/>
        </w:rPr>
      </w:pPr>
    </w:p>
    <w:p w14:paraId="5BC1EADA" w14:textId="61027AFE" w:rsidR="7DA0C540" w:rsidRPr="00CD625D" w:rsidRDefault="7DA0C540" w:rsidP="00CD625D">
      <w:pPr>
        <w:spacing w:line="360" w:lineRule="auto"/>
        <w:rPr>
          <w:rFonts w:cstheme="minorHAnsi"/>
          <w:color w:val="000000" w:themeColor="text1"/>
          <w:sz w:val="22"/>
          <w:szCs w:val="22"/>
        </w:rPr>
      </w:pPr>
    </w:p>
    <w:p w14:paraId="17410035" w14:textId="7128AC6C" w:rsidR="7CDA036A" w:rsidRPr="00CD625D" w:rsidRDefault="53AC9454" w:rsidP="00CD625D">
      <w:pPr>
        <w:pStyle w:val="Heading1"/>
        <w:spacing w:line="360" w:lineRule="auto"/>
        <w:rPr>
          <w:rFonts w:asciiTheme="minorHAnsi" w:eastAsiaTheme="minorEastAsia" w:hAnsiTheme="minorHAnsi" w:cstheme="minorHAnsi"/>
          <w:lang w:val="es-419"/>
        </w:rPr>
      </w:pPr>
      <w:bookmarkStart w:id="6" w:name="_Toc237763456"/>
      <w:proofErr w:type="spellStart"/>
      <w:r w:rsidRPr="00CD625D">
        <w:rPr>
          <w:rFonts w:asciiTheme="minorHAnsi" w:eastAsiaTheme="minorEastAsia" w:hAnsiTheme="minorHAnsi" w:cstheme="minorHAnsi"/>
          <w:lang w:val="es-419"/>
        </w:rPr>
        <w:lastRenderedPageBreak/>
        <w:t>References</w:t>
      </w:r>
      <w:bookmarkEnd w:id="6"/>
      <w:proofErr w:type="spellEnd"/>
    </w:p>
    <w:p w14:paraId="65370D09" w14:textId="246CCC7A" w:rsidR="7DA0C540" w:rsidRPr="00CD625D" w:rsidRDefault="7DA0C540" w:rsidP="00CD625D">
      <w:pPr>
        <w:spacing w:line="360" w:lineRule="auto"/>
        <w:rPr>
          <w:rFonts w:cstheme="minorHAnsi"/>
          <w:sz w:val="22"/>
          <w:szCs w:val="22"/>
          <w:lang w:val="es-419"/>
        </w:rPr>
      </w:pPr>
    </w:p>
    <w:p w14:paraId="52977D55" w14:textId="52134E52" w:rsidR="7CDA036A" w:rsidRPr="00CD625D" w:rsidRDefault="7CDA036A" w:rsidP="00CD625D">
      <w:pPr>
        <w:spacing w:line="360" w:lineRule="auto"/>
        <w:rPr>
          <w:rFonts w:cstheme="minorHAnsi"/>
        </w:rPr>
      </w:pPr>
      <w:r w:rsidRPr="00CD625D">
        <w:rPr>
          <w:rFonts w:cstheme="minorHAnsi"/>
          <w:sz w:val="22"/>
          <w:szCs w:val="22"/>
          <w:lang w:val="es-419"/>
        </w:rPr>
        <w:t>Arias-de la Torre, J., Vilagut, G., Ronaldson, A., Dregan, A., Ricci-Cabello, I., Hatch, S.L., Serrano-Blanco, A., Valderas, J.M., Hotopf, M. and Alonso, J. (2021a)</w:t>
      </w:r>
      <w:r w:rsidR="003B3D67" w:rsidRPr="00CD625D">
        <w:rPr>
          <w:rFonts w:cstheme="minorHAnsi"/>
          <w:sz w:val="22"/>
          <w:szCs w:val="22"/>
          <w:lang w:val="es-419"/>
        </w:rPr>
        <w:t>.</w:t>
      </w:r>
      <w:r w:rsidRPr="00CD625D">
        <w:rPr>
          <w:rFonts w:cstheme="minorHAnsi"/>
          <w:sz w:val="22"/>
          <w:szCs w:val="22"/>
          <w:lang w:val="es-419"/>
        </w:rPr>
        <w:t xml:space="preserve"> </w:t>
      </w:r>
      <w:r w:rsidRPr="00CD625D">
        <w:rPr>
          <w:rFonts w:cstheme="minorHAnsi"/>
          <w:sz w:val="22"/>
          <w:szCs w:val="22"/>
        </w:rPr>
        <w:t>‘Prevalence and age patterns of depression in the United Kingdom: A population-based study’, Journal of Affective Disorders, 279, pp. 164–172. Available at:</w:t>
      </w:r>
      <w:r w:rsidR="44AEF787" w:rsidRPr="00CD625D">
        <w:rPr>
          <w:rFonts w:cstheme="minorHAnsi"/>
          <w:sz w:val="22"/>
          <w:szCs w:val="22"/>
        </w:rPr>
        <w:t xml:space="preserve"> https://doi.org/10.1016/j.jad.2020.09.129</w:t>
      </w:r>
      <w:r w:rsidR="44AEF787" w:rsidRPr="00CD625D">
        <w:rPr>
          <w:rFonts w:ascii="Segoe UI Symbol" w:hAnsi="Segoe UI Symbol" w:cs="Segoe UI Symbol"/>
          <w:sz w:val="22"/>
          <w:szCs w:val="22"/>
        </w:rPr>
        <w:t>⁠</w:t>
      </w:r>
      <w:r w:rsidR="44AEF787" w:rsidRPr="00CD625D">
        <w:rPr>
          <w:rFonts w:cstheme="minorHAnsi"/>
          <w:sz w:val="22"/>
          <w:szCs w:val="22"/>
        </w:rPr>
        <w:t>.</w:t>
      </w:r>
    </w:p>
    <w:p w14:paraId="4E39F148" w14:textId="4CF9C1A4" w:rsidR="7CDA036A" w:rsidRPr="00CD625D" w:rsidRDefault="7CDA036A" w:rsidP="00CD625D">
      <w:pPr>
        <w:spacing w:line="360" w:lineRule="auto"/>
        <w:rPr>
          <w:rFonts w:cstheme="minorHAnsi"/>
        </w:rPr>
      </w:pPr>
      <w:r w:rsidRPr="00CD625D">
        <w:rPr>
          <w:rFonts w:cstheme="minorHAnsi"/>
          <w:sz w:val="22"/>
          <w:szCs w:val="22"/>
        </w:rPr>
        <w:t xml:space="preserve">Arias-de la Torre, J., </w:t>
      </w:r>
      <w:proofErr w:type="spellStart"/>
      <w:r w:rsidRPr="00CD625D">
        <w:rPr>
          <w:rFonts w:cstheme="minorHAnsi"/>
          <w:sz w:val="22"/>
          <w:szCs w:val="22"/>
        </w:rPr>
        <w:t>Vilagut</w:t>
      </w:r>
      <w:proofErr w:type="spellEnd"/>
      <w:r w:rsidRPr="00CD625D">
        <w:rPr>
          <w:rFonts w:cstheme="minorHAnsi"/>
          <w:sz w:val="22"/>
          <w:szCs w:val="22"/>
        </w:rPr>
        <w:t>, G., Ronaldson, A., Serrano-Blanco, A., Martín, V., Peters, M., Valderas, J.M., Dregan, A. and Alonso, J. (2021b)</w:t>
      </w:r>
      <w:r w:rsidR="003B3D67" w:rsidRPr="00CD625D">
        <w:rPr>
          <w:rFonts w:cstheme="minorHAnsi"/>
          <w:sz w:val="22"/>
          <w:szCs w:val="22"/>
        </w:rPr>
        <w:t>.</w:t>
      </w:r>
      <w:r w:rsidRPr="00CD625D">
        <w:rPr>
          <w:rFonts w:cstheme="minorHAnsi"/>
          <w:sz w:val="22"/>
          <w:szCs w:val="22"/>
        </w:rPr>
        <w:t xml:space="preserve"> ‘Prevalence and variability of current depressive disorder in 27 European countries: A population-based study’, The Lancet Public Health, 6(10), pp. e729–e738. Available at:</w:t>
      </w:r>
      <w:r w:rsidR="19D9062E" w:rsidRPr="00CD625D">
        <w:rPr>
          <w:rFonts w:cstheme="minorHAnsi"/>
          <w:sz w:val="22"/>
          <w:szCs w:val="22"/>
        </w:rPr>
        <w:t xml:space="preserve"> </w:t>
      </w:r>
      <w:hyperlink r:id="rId12">
        <w:r w:rsidR="003B3D67" w:rsidRPr="00CD625D">
          <w:rPr>
            <w:rFonts w:cstheme="minorHAnsi"/>
            <w:sz w:val="22"/>
            <w:szCs w:val="22"/>
          </w:rPr>
          <w:t>https://doi.org/10.1016/S2468-2667(21)00047–5</w:t>
        </w:r>
        <w:r w:rsidR="003B3D67" w:rsidRPr="00CD625D">
          <w:rPr>
            <w:rFonts w:ascii="Segoe UI Symbol" w:hAnsi="Segoe UI Symbol" w:cs="Segoe UI Symbol"/>
            <w:sz w:val="22"/>
            <w:szCs w:val="22"/>
          </w:rPr>
          <w:t>⁠</w:t>
        </w:r>
      </w:hyperlink>
      <w:r w:rsidRPr="00CD625D">
        <w:rPr>
          <w:rFonts w:cstheme="minorHAnsi"/>
          <w:sz w:val="22"/>
          <w:szCs w:val="22"/>
        </w:rPr>
        <w:t>.</w:t>
      </w:r>
    </w:p>
    <w:p w14:paraId="2178D2B3" w14:textId="73396A73" w:rsidR="7CDA036A" w:rsidRPr="00CD625D" w:rsidRDefault="7CDA036A" w:rsidP="00CD625D">
      <w:pPr>
        <w:spacing w:line="360" w:lineRule="auto"/>
        <w:rPr>
          <w:rFonts w:cstheme="minorHAnsi"/>
        </w:rPr>
      </w:pPr>
      <w:r w:rsidRPr="00CD625D">
        <w:rPr>
          <w:rFonts w:cstheme="minorHAnsi"/>
          <w:sz w:val="22"/>
          <w:szCs w:val="22"/>
        </w:rPr>
        <w:t xml:space="preserve">Bassey, A. </w:t>
      </w:r>
      <w:r w:rsidR="003B3D67" w:rsidRPr="00CD625D">
        <w:rPr>
          <w:rFonts w:cstheme="minorHAnsi"/>
          <w:sz w:val="22"/>
          <w:szCs w:val="22"/>
        </w:rPr>
        <w:t>&amp;</w:t>
      </w:r>
      <w:r w:rsidRPr="00CD625D">
        <w:rPr>
          <w:rFonts w:cstheme="minorHAnsi"/>
          <w:sz w:val="22"/>
          <w:szCs w:val="22"/>
        </w:rPr>
        <w:t xml:space="preserve"> Zaka, R. (2024)</w:t>
      </w:r>
      <w:r w:rsidR="003B3D67" w:rsidRPr="00CD625D">
        <w:rPr>
          <w:rFonts w:cstheme="minorHAnsi"/>
          <w:sz w:val="22"/>
          <w:szCs w:val="22"/>
        </w:rPr>
        <w:t>.</w:t>
      </w:r>
      <w:r w:rsidRPr="00CD625D">
        <w:rPr>
          <w:rFonts w:cstheme="minorHAnsi"/>
          <w:sz w:val="22"/>
          <w:szCs w:val="22"/>
        </w:rPr>
        <w:t xml:space="preserve"> ‘Barriers to mental health service utilization among African immigrants in the United Kingdom: A systematic review’, Public Health Challenges, 3, e181. Available at: </w:t>
      </w:r>
      <w:hyperlink r:id="rId13">
        <w:r w:rsidRPr="00CD625D">
          <w:rPr>
            <w:rFonts w:cstheme="minorHAnsi"/>
            <w:sz w:val="22"/>
            <w:szCs w:val="22"/>
          </w:rPr>
          <w:t>https://doi.org/10.1002/puh2.181</w:t>
        </w:r>
        <w:r w:rsidRPr="00CD625D">
          <w:rPr>
            <w:rFonts w:ascii="Segoe UI Symbol" w:hAnsi="Segoe UI Symbol" w:cs="Segoe UI Symbol"/>
            <w:sz w:val="22"/>
            <w:szCs w:val="22"/>
          </w:rPr>
          <w:t>⁠</w:t>
        </w:r>
      </w:hyperlink>
      <w:r w:rsidRPr="00CD625D">
        <w:rPr>
          <w:rFonts w:cstheme="minorHAnsi"/>
          <w:sz w:val="22"/>
          <w:szCs w:val="22"/>
        </w:rPr>
        <w:t>.</w:t>
      </w:r>
    </w:p>
    <w:p w14:paraId="653CA1B7" w14:textId="54162D33" w:rsidR="7CDA036A" w:rsidRPr="00CD625D" w:rsidRDefault="7CDA036A" w:rsidP="00CD625D">
      <w:pPr>
        <w:spacing w:line="360" w:lineRule="auto"/>
        <w:rPr>
          <w:rFonts w:cstheme="minorHAnsi"/>
        </w:rPr>
      </w:pPr>
      <w:r w:rsidRPr="00CD625D">
        <w:rPr>
          <w:rFonts w:cstheme="minorHAnsi"/>
          <w:sz w:val="22"/>
          <w:szCs w:val="22"/>
        </w:rPr>
        <w:t xml:space="preserve">Chan, J.K.N., </w:t>
      </w:r>
      <w:proofErr w:type="spellStart"/>
      <w:r w:rsidRPr="00CD625D">
        <w:rPr>
          <w:rFonts w:cstheme="minorHAnsi"/>
          <w:sz w:val="22"/>
          <w:szCs w:val="22"/>
        </w:rPr>
        <w:t>Solmi</w:t>
      </w:r>
      <w:proofErr w:type="spellEnd"/>
      <w:r w:rsidRPr="00CD625D">
        <w:rPr>
          <w:rFonts w:cstheme="minorHAnsi"/>
          <w:sz w:val="22"/>
          <w:szCs w:val="22"/>
        </w:rPr>
        <w:t xml:space="preserve">, M., Lo, H.K.Y., Chan, M.W.Y., Choo, L.L.T., Lai, E.T.H., Wong, C.S.M., Correll, </w:t>
      </w:r>
      <w:proofErr w:type="gramStart"/>
      <w:r w:rsidRPr="00CD625D">
        <w:rPr>
          <w:rFonts w:cstheme="minorHAnsi"/>
          <w:sz w:val="22"/>
          <w:szCs w:val="22"/>
        </w:rPr>
        <w:t>C.U</w:t>
      </w:r>
      <w:proofErr w:type="gramEnd"/>
      <w:r w:rsidRPr="00CD625D">
        <w:rPr>
          <w:rFonts w:cstheme="minorHAnsi"/>
          <w:sz w:val="22"/>
          <w:szCs w:val="22"/>
        </w:rPr>
        <w:t xml:space="preserve">. </w:t>
      </w:r>
      <w:r w:rsidR="003B3D67" w:rsidRPr="00CD625D">
        <w:rPr>
          <w:rFonts w:cstheme="minorHAnsi"/>
          <w:sz w:val="22"/>
          <w:szCs w:val="22"/>
        </w:rPr>
        <w:t>&amp;</w:t>
      </w:r>
      <w:r w:rsidRPr="00CD625D">
        <w:rPr>
          <w:rFonts w:cstheme="minorHAnsi"/>
          <w:sz w:val="22"/>
          <w:szCs w:val="22"/>
        </w:rPr>
        <w:t xml:space="preserve"> Chang, W.C. (2025)</w:t>
      </w:r>
      <w:r w:rsidR="003B3D67" w:rsidRPr="00CD625D">
        <w:rPr>
          <w:rFonts w:cstheme="minorHAnsi"/>
          <w:sz w:val="22"/>
          <w:szCs w:val="22"/>
        </w:rPr>
        <w:t>.</w:t>
      </w:r>
      <w:r w:rsidRPr="00CD625D">
        <w:rPr>
          <w:rFonts w:cstheme="minorHAnsi"/>
          <w:sz w:val="22"/>
          <w:szCs w:val="22"/>
        </w:rPr>
        <w:t xml:space="preserve"> ‘All-cause and cause-specific mortality in people with depression: A large-scale systematic review and meta-analysis of relative risk and aggravating or attenuating factors, including antidepressant treatment’, World Psychiatry, 24(3), pp. 404–421. Available at: </w:t>
      </w:r>
      <w:hyperlink r:id="rId14">
        <w:r w:rsidRPr="00CD625D">
          <w:rPr>
            <w:rFonts w:cstheme="minorHAnsi"/>
            <w:sz w:val="22"/>
            <w:szCs w:val="22"/>
          </w:rPr>
          <w:t>https://doi.org/10.1002/wps.21354</w:t>
        </w:r>
        <w:r w:rsidRPr="00CD625D">
          <w:rPr>
            <w:rFonts w:ascii="Segoe UI Symbol" w:hAnsi="Segoe UI Symbol" w:cs="Segoe UI Symbol"/>
            <w:sz w:val="22"/>
            <w:szCs w:val="22"/>
          </w:rPr>
          <w:t>⁠</w:t>
        </w:r>
      </w:hyperlink>
      <w:r w:rsidRPr="00CD625D">
        <w:rPr>
          <w:rFonts w:cstheme="minorHAnsi"/>
          <w:sz w:val="22"/>
          <w:szCs w:val="22"/>
        </w:rPr>
        <w:t>.</w:t>
      </w:r>
    </w:p>
    <w:p w14:paraId="41BE3613" w14:textId="1F945792" w:rsidR="7CDA036A" w:rsidRPr="00CD625D" w:rsidRDefault="7CDA036A" w:rsidP="00CD625D">
      <w:pPr>
        <w:spacing w:line="360" w:lineRule="auto"/>
        <w:rPr>
          <w:rFonts w:cstheme="minorHAnsi"/>
        </w:rPr>
      </w:pPr>
      <w:r w:rsidRPr="00CD625D">
        <w:rPr>
          <w:rFonts w:cstheme="minorHAnsi"/>
          <w:sz w:val="22"/>
          <w:szCs w:val="22"/>
        </w:rPr>
        <w:t xml:space="preserve">Cooper, M., Avery, L., Scott, J., Ashley, K., Jordan, C., Errington, L. </w:t>
      </w:r>
      <w:r w:rsidR="003B3D67" w:rsidRPr="00CD625D">
        <w:rPr>
          <w:rFonts w:cstheme="minorHAnsi"/>
          <w:sz w:val="22"/>
          <w:szCs w:val="22"/>
        </w:rPr>
        <w:t>&amp;</w:t>
      </w:r>
      <w:r w:rsidRPr="00CD625D">
        <w:rPr>
          <w:rFonts w:cstheme="minorHAnsi"/>
          <w:sz w:val="22"/>
          <w:szCs w:val="22"/>
        </w:rPr>
        <w:t xml:space="preserve"> Flynn, D. (2022)</w:t>
      </w:r>
      <w:r w:rsidR="003B3D67" w:rsidRPr="00CD625D">
        <w:rPr>
          <w:rFonts w:cstheme="minorHAnsi"/>
          <w:sz w:val="22"/>
          <w:szCs w:val="22"/>
        </w:rPr>
        <w:t>.</w:t>
      </w:r>
      <w:r w:rsidRPr="00CD625D">
        <w:rPr>
          <w:rFonts w:cstheme="minorHAnsi"/>
          <w:sz w:val="22"/>
          <w:szCs w:val="22"/>
        </w:rPr>
        <w:t xml:space="preserve"> ‘Effectiveness and active ingredients of social prescribing interventions targeting mental health: A systematic review’, BMJ Open, 12(7), e060214. Available at: </w:t>
      </w:r>
      <w:hyperlink r:id="rId15">
        <w:r w:rsidRPr="00CD625D">
          <w:rPr>
            <w:rFonts w:cstheme="minorHAnsi"/>
            <w:sz w:val="22"/>
            <w:szCs w:val="22"/>
          </w:rPr>
          <w:t>https://doi.org/10.1136/bmjopen-2021-060214</w:t>
        </w:r>
        <w:r w:rsidRPr="00CD625D">
          <w:rPr>
            <w:rFonts w:ascii="Segoe UI Symbol" w:hAnsi="Segoe UI Symbol" w:cs="Segoe UI Symbol"/>
            <w:sz w:val="22"/>
            <w:szCs w:val="22"/>
          </w:rPr>
          <w:t>⁠</w:t>
        </w:r>
      </w:hyperlink>
      <w:r w:rsidRPr="00CD625D">
        <w:rPr>
          <w:rFonts w:cstheme="minorHAnsi"/>
          <w:sz w:val="22"/>
          <w:szCs w:val="22"/>
        </w:rPr>
        <w:t>.</w:t>
      </w:r>
    </w:p>
    <w:p w14:paraId="538DBEE8" w14:textId="02DF42B1" w:rsidR="7CDA036A" w:rsidRPr="00CD625D" w:rsidRDefault="7CDA036A" w:rsidP="00CD625D">
      <w:pPr>
        <w:spacing w:line="360" w:lineRule="auto"/>
        <w:rPr>
          <w:rFonts w:cstheme="minorHAnsi"/>
        </w:rPr>
      </w:pPr>
      <w:r w:rsidRPr="00CD625D">
        <w:rPr>
          <w:rFonts w:cstheme="minorHAnsi"/>
          <w:sz w:val="22"/>
          <w:szCs w:val="22"/>
        </w:rPr>
        <w:t xml:space="preserve">Di Benedetto, M.G., Landi, P., Mencacci, C. </w:t>
      </w:r>
      <w:r w:rsidR="003B3D67" w:rsidRPr="00CD625D">
        <w:rPr>
          <w:rFonts w:cstheme="minorHAnsi"/>
          <w:sz w:val="22"/>
          <w:szCs w:val="22"/>
        </w:rPr>
        <w:t>&amp;</w:t>
      </w:r>
      <w:r w:rsidRPr="00CD625D">
        <w:rPr>
          <w:rFonts w:cstheme="minorHAnsi"/>
          <w:sz w:val="22"/>
          <w:szCs w:val="22"/>
        </w:rPr>
        <w:t xml:space="preserve"> Cattaneo, A. (2024)</w:t>
      </w:r>
      <w:r w:rsidR="003B3D67" w:rsidRPr="00CD625D">
        <w:rPr>
          <w:rFonts w:cstheme="minorHAnsi"/>
          <w:sz w:val="22"/>
          <w:szCs w:val="22"/>
        </w:rPr>
        <w:t>.</w:t>
      </w:r>
      <w:r w:rsidRPr="00CD625D">
        <w:rPr>
          <w:rFonts w:cstheme="minorHAnsi"/>
          <w:sz w:val="22"/>
          <w:szCs w:val="22"/>
        </w:rPr>
        <w:t xml:space="preserve"> ‘Depression in women: Potential biological and sociocultural factors driving the sex effect’, </w:t>
      </w:r>
      <w:proofErr w:type="spellStart"/>
      <w:r w:rsidRPr="00CD625D">
        <w:rPr>
          <w:rFonts w:cstheme="minorHAnsi"/>
          <w:sz w:val="22"/>
          <w:szCs w:val="22"/>
        </w:rPr>
        <w:t>Neuropsychobiology</w:t>
      </w:r>
      <w:proofErr w:type="spellEnd"/>
      <w:r w:rsidRPr="00CD625D">
        <w:rPr>
          <w:rFonts w:cstheme="minorHAnsi"/>
          <w:sz w:val="22"/>
          <w:szCs w:val="22"/>
        </w:rPr>
        <w:t xml:space="preserve">, 83(1), pp. 2–16. Available at: </w:t>
      </w:r>
      <w:hyperlink r:id="rId16">
        <w:r w:rsidRPr="00CD625D">
          <w:rPr>
            <w:rFonts w:cstheme="minorHAnsi"/>
            <w:sz w:val="22"/>
            <w:szCs w:val="22"/>
          </w:rPr>
          <w:t>https://doi.org/10.1159/000531588</w:t>
        </w:r>
        <w:r w:rsidRPr="00CD625D">
          <w:rPr>
            <w:rFonts w:ascii="Segoe UI Symbol" w:hAnsi="Segoe UI Symbol" w:cs="Segoe UI Symbol"/>
            <w:sz w:val="22"/>
            <w:szCs w:val="22"/>
          </w:rPr>
          <w:t>⁠</w:t>
        </w:r>
      </w:hyperlink>
      <w:r w:rsidRPr="00CD625D">
        <w:rPr>
          <w:rFonts w:cstheme="minorHAnsi"/>
          <w:sz w:val="22"/>
          <w:szCs w:val="22"/>
        </w:rPr>
        <w:t>.</w:t>
      </w:r>
    </w:p>
    <w:p w14:paraId="64953A52" w14:textId="4703ABB8" w:rsidR="7CDA036A" w:rsidRPr="00CD625D" w:rsidRDefault="7CDA036A" w:rsidP="00CD625D">
      <w:pPr>
        <w:spacing w:line="360" w:lineRule="auto"/>
        <w:rPr>
          <w:rFonts w:cstheme="minorHAnsi"/>
        </w:rPr>
      </w:pPr>
      <w:proofErr w:type="spellStart"/>
      <w:r w:rsidRPr="00CD625D">
        <w:rPr>
          <w:rFonts w:cstheme="minorHAnsi"/>
          <w:sz w:val="22"/>
          <w:szCs w:val="22"/>
        </w:rPr>
        <w:t>Dykxhoorn</w:t>
      </w:r>
      <w:proofErr w:type="spellEnd"/>
      <w:r w:rsidRPr="00CD625D">
        <w:rPr>
          <w:rFonts w:cstheme="minorHAnsi"/>
          <w:sz w:val="22"/>
          <w:szCs w:val="22"/>
        </w:rPr>
        <w:t xml:space="preserve">, J., Osborn, D., Walters, K., Kirkbride, J.B., Gnani, S. </w:t>
      </w:r>
      <w:r w:rsidR="003B3D67" w:rsidRPr="00CD625D">
        <w:rPr>
          <w:rFonts w:cstheme="minorHAnsi"/>
          <w:sz w:val="22"/>
          <w:szCs w:val="22"/>
        </w:rPr>
        <w:t>&amp;</w:t>
      </w:r>
      <w:r w:rsidRPr="00CD625D">
        <w:rPr>
          <w:rFonts w:cstheme="minorHAnsi"/>
          <w:sz w:val="22"/>
          <w:szCs w:val="22"/>
        </w:rPr>
        <w:t xml:space="preserve"> Lazzarino, A.I. (2024)</w:t>
      </w:r>
      <w:r w:rsidR="003B3D67" w:rsidRPr="00CD625D">
        <w:rPr>
          <w:rFonts w:cstheme="minorHAnsi"/>
          <w:sz w:val="22"/>
          <w:szCs w:val="22"/>
        </w:rPr>
        <w:t>.</w:t>
      </w:r>
      <w:r w:rsidRPr="00CD625D">
        <w:rPr>
          <w:rFonts w:cstheme="minorHAnsi"/>
          <w:sz w:val="22"/>
          <w:szCs w:val="22"/>
        </w:rPr>
        <w:t xml:space="preserve"> ‘Temporal patterns in the recorded annual incidence of common mental disorders over two decades in the United Kingdom: A primary care cohort study’, Psychological Medicine, 54(4), pp. 663–674. Available at: </w:t>
      </w:r>
      <w:hyperlink r:id="rId17">
        <w:r w:rsidRPr="00CD625D">
          <w:rPr>
            <w:rFonts w:cstheme="minorHAnsi"/>
            <w:sz w:val="22"/>
            <w:szCs w:val="22"/>
          </w:rPr>
          <w:t>https://doi.org/10.1017/S0033291723002349</w:t>
        </w:r>
        <w:r w:rsidRPr="00CD625D">
          <w:rPr>
            <w:rFonts w:ascii="Segoe UI Symbol" w:hAnsi="Segoe UI Symbol" w:cs="Segoe UI Symbol"/>
            <w:sz w:val="22"/>
            <w:szCs w:val="22"/>
          </w:rPr>
          <w:t>⁠</w:t>
        </w:r>
      </w:hyperlink>
      <w:r w:rsidRPr="00CD625D">
        <w:rPr>
          <w:rFonts w:cstheme="minorHAnsi"/>
          <w:sz w:val="22"/>
          <w:szCs w:val="22"/>
        </w:rPr>
        <w:t>.</w:t>
      </w:r>
    </w:p>
    <w:p w14:paraId="559AD595" w14:textId="3C6BEA64" w:rsidR="7CDA036A" w:rsidRPr="00CD625D" w:rsidRDefault="7CDA036A" w:rsidP="00CD625D">
      <w:pPr>
        <w:spacing w:line="360" w:lineRule="auto"/>
        <w:rPr>
          <w:rFonts w:cstheme="minorHAnsi"/>
        </w:rPr>
      </w:pPr>
      <w:r w:rsidRPr="00CD625D">
        <w:rPr>
          <w:rFonts w:cstheme="minorHAnsi"/>
          <w:sz w:val="22"/>
          <w:szCs w:val="22"/>
        </w:rPr>
        <w:lastRenderedPageBreak/>
        <w:t xml:space="preserve">Frank, P., Batty, G.D., Pentti, J., Jokela, M., Poole, L., Ervasti, J., </w:t>
      </w:r>
      <w:proofErr w:type="spellStart"/>
      <w:r w:rsidRPr="00CD625D">
        <w:rPr>
          <w:rFonts w:cstheme="minorHAnsi"/>
          <w:sz w:val="22"/>
          <w:szCs w:val="22"/>
        </w:rPr>
        <w:t>Vahtera</w:t>
      </w:r>
      <w:proofErr w:type="spellEnd"/>
      <w:r w:rsidRPr="00CD625D">
        <w:rPr>
          <w:rFonts w:cstheme="minorHAnsi"/>
          <w:sz w:val="22"/>
          <w:szCs w:val="22"/>
        </w:rPr>
        <w:t xml:space="preserve">, J., Lewis, G., Steptoe, A. </w:t>
      </w:r>
      <w:r w:rsidR="003B3D67" w:rsidRPr="00CD625D">
        <w:rPr>
          <w:rFonts w:cstheme="minorHAnsi"/>
          <w:sz w:val="22"/>
          <w:szCs w:val="22"/>
        </w:rPr>
        <w:t>&amp;</w:t>
      </w:r>
      <w:r w:rsidRPr="00CD625D">
        <w:rPr>
          <w:rFonts w:cstheme="minorHAnsi"/>
          <w:sz w:val="22"/>
          <w:szCs w:val="22"/>
        </w:rPr>
        <w:t xml:space="preserve"> Kivimäki, M. (2023)</w:t>
      </w:r>
      <w:r w:rsidR="003B3D67" w:rsidRPr="00CD625D">
        <w:rPr>
          <w:rFonts w:cstheme="minorHAnsi"/>
          <w:sz w:val="22"/>
          <w:szCs w:val="22"/>
        </w:rPr>
        <w:t>.</w:t>
      </w:r>
      <w:r w:rsidRPr="00CD625D">
        <w:rPr>
          <w:rFonts w:cstheme="minorHAnsi"/>
          <w:sz w:val="22"/>
          <w:szCs w:val="22"/>
        </w:rPr>
        <w:t xml:space="preserve"> ‘Association between depression and physical conditions requiring hospitalization’, JAMA Psychiatry, 80(7), pp. 690–699. Available at: </w:t>
      </w:r>
      <w:hyperlink r:id="rId18">
        <w:r w:rsidRPr="00CD625D">
          <w:rPr>
            <w:rFonts w:cstheme="minorHAnsi"/>
            <w:sz w:val="22"/>
            <w:szCs w:val="22"/>
          </w:rPr>
          <w:t>https://doi.org/10.1001/jamapsychiatry.2023.0777</w:t>
        </w:r>
        <w:r w:rsidRPr="00CD625D">
          <w:rPr>
            <w:rFonts w:ascii="Segoe UI Symbol" w:hAnsi="Segoe UI Symbol" w:cs="Segoe UI Symbol"/>
            <w:sz w:val="22"/>
            <w:szCs w:val="22"/>
          </w:rPr>
          <w:t>⁠</w:t>
        </w:r>
      </w:hyperlink>
      <w:r w:rsidRPr="00CD625D">
        <w:rPr>
          <w:rFonts w:cstheme="minorHAnsi"/>
          <w:sz w:val="22"/>
          <w:szCs w:val="22"/>
        </w:rPr>
        <w:t>.</w:t>
      </w:r>
    </w:p>
    <w:p w14:paraId="36598C2F" w14:textId="555BFD09" w:rsidR="7CDA036A" w:rsidRPr="00CD625D" w:rsidRDefault="7CDA036A" w:rsidP="00CD625D">
      <w:pPr>
        <w:spacing w:line="360" w:lineRule="auto"/>
        <w:rPr>
          <w:rFonts w:cstheme="minorHAnsi"/>
        </w:rPr>
      </w:pPr>
      <w:r w:rsidRPr="00CD625D">
        <w:rPr>
          <w:rFonts w:cstheme="minorHAnsi"/>
          <w:sz w:val="22"/>
          <w:szCs w:val="22"/>
        </w:rPr>
        <w:t>Kendrick, T. et al. (2024)</w:t>
      </w:r>
      <w:r w:rsidR="003B3D67" w:rsidRPr="00CD625D">
        <w:rPr>
          <w:rFonts w:cstheme="minorHAnsi"/>
          <w:sz w:val="22"/>
          <w:szCs w:val="22"/>
        </w:rPr>
        <w:t>.</w:t>
      </w:r>
      <w:r w:rsidRPr="00CD625D">
        <w:rPr>
          <w:rFonts w:cstheme="minorHAnsi"/>
          <w:sz w:val="22"/>
          <w:szCs w:val="22"/>
        </w:rPr>
        <w:t xml:space="preserve"> ‘Internet and telephone support for discontinuing long-term antidepressants: The REDUCE cluster randomized trial’, JAMA Network Open, 7(6), e2418383. Available at: </w:t>
      </w:r>
      <w:hyperlink r:id="rId19">
        <w:r w:rsidRPr="00CD625D">
          <w:rPr>
            <w:rFonts w:cstheme="minorHAnsi"/>
            <w:sz w:val="22"/>
            <w:szCs w:val="22"/>
          </w:rPr>
          <w:t>https://doi.org/10.1001/jamanetworkopen.2024.18383</w:t>
        </w:r>
        <w:r w:rsidRPr="00CD625D">
          <w:rPr>
            <w:rFonts w:ascii="Segoe UI Symbol" w:hAnsi="Segoe UI Symbol" w:cs="Segoe UI Symbol"/>
            <w:sz w:val="22"/>
            <w:szCs w:val="22"/>
          </w:rPr>
          <w:t>⁠</w:t>
        </w:r>
      </w:hyperlink>
      <w:r w:rsidRPr="00CD625D">
        <w:rPr>
          <w:rFonts w:cstheme="minorHAnsi"/>
          <w:sz w:val="22"/>
          <w:szCs w:val="22"/>
        </w:rPr>
        <w:t>.</w:t>
      </w:r>
    </w:p>
    <w:p w14:paraId="3BD59258" w14:textId="4E0C5C52" w:rsidR="7CDA036A" w:rsidRPr="00CD625D" w:rsidRDefault="7CDA036A" w:rsidP="00CD625D">
      <w:pPr>
        <w:spacing w:line="360" w:lineRule="auto"/>
        <w:rPr>
          <w:rFonts w:cstheme="minorHAnsi"/>
        </w:rPr>
      </w:pPr>
      <w:r w:rsidRPr="00CD625D">
        <w:rPr>
          <w:rFonts w:cstheme="minorHAnsi"/>
          <w:sz w:val="22"/>
          <w:szCs w:val="22"/>
          <w:lang w:val="en-GB"/>
        </w:rPr>
        <w:t xml:space="preserve">Liu, B.P. </w:t>
      </w:r>
      <w:r w:rsidR="003B3D67" w:rsidRPr="00CD625D">
        <w:rPr>
          <w:rFonts w:cstheme="minorHAnsi"/>
          <w:sz w:val="22"/>
          <w:szCs w:val="22"/>
          <w:lang w:val="en-GB"/>
        </w:rPr>
        <w:t>&amp;</w:t>
      </w:r>
      <w:r w:rsidRPr="00CD625D">
        <w:rPr>
          <w:rFonts w:cstheme="minorHAnsi"/>
          <w:sz w:val="22"/>
          <w:szCs w:val="22"/>
          <w:lang w:val="en-GB"/>
        </w:rPr>
        <w:t xml:space="preserve"> Jia, C.X. (2023)</w:t>
      </w:r>
      <w:r w:rsidR="003B3D67" w:rsidRPr="00CD625D">
        <w:rPr>
          <w:rFonts w:cstheme="minorHAnsi"/>
          <w:sz w:val="22"/>
          <w:szCs w:val="22"/>
          <w:lang w:val="en-GB"/>
        </w:rPr>
        <w:t>.</w:t>
      </w:r>
      <w:r w:rsidRPr="00CD625D">
        <w:rPr>
          <w:rFonts w:cstheme="minorHAnsi"/>
          <w:sz w:val="22"/>
          <w:szCs w:val="22"/>
          <w:lang w:val="en-GB"/>
        </w:rPr>
        <w:t xml:space="preserve"> </w:t>
      </w:r>
      <w:r w:rsidRPr="00CD625D">
        <w:rPr>
          <w:rFonts w:cstheme="minorHAnsi"/>
          <w:sz w:val="22"/>
          <w:szCs w:val="22"/>
        </w:rPr>
        <w:t xml:space="preserve">‘The associations of physical activity and lifetime depression with all-cause and cause-specific mortality: Evidence from a prospective cohort study’, Psychiatry Research, 324, 115206. Available at: </w:t>
      </w:r>
      <w:hyperlink r:id="rId20">
        <w:r w:rsidRPr="00CD625D">
          <w:rPr>
            <w:rFonts w:cstheme="minorHAnsi"/>
            <w:sz w:val="22"/>
            <w:szCs w:val="22"/>
          </w:rPr>
          <w:t>https://doi.org/10.1016/j.psychres.2023.115206</w:t>
        </w:r>
        <w:r w:rsidRPr="00CD625D">
          <w:rPr>
            <w:rFonts w:ascii="Segoe UI Symbol" w:hAnsi="Segoe UI Symbol" w:cs="Segoe UI Symbol"/>
            <w:sz w:val="22"/>
            <w:szCs w:val="22"/>
          </w:rPr>
          <w:t>⁠</w:t>
        </w:r>
      </w:hyperlink>
      <w:r w:rsidRPr="00CD625D">
        <w:rPr>
          <w:rFonts w:cstheme="minorHAnsi"/>
          <w:sz w:val="22"/>
          <w:szCs w:val="22"/>
        </w:rPr>
        <w:t>.</w:t>
      </w:r>
    </w:p>
    <w:p w14:paraId="418320AB" w14:textId="4335C4E0" w:rsidR="7CDA036A" w:rsidRPr="00CD625D" w:rsidRDefault="7CDA036A" w:rsidP="00CD625D">
      <w:pPr>
        <w:spacing w:line="360" w:lineRule="auto"/>
        <w:rPr>
          <w:rFonts w:cstheme="minorHAnsi"/>
        </w:rPr>
      </w:pPr>
      <w:r w:rsidRPr="00CD625D">
        <w:rPr>
          <w:rFonts w:cstheme="minorHAnsi"/>
          <w:sz w:val="22"/>
          <w:szCs w:val="22"/>
        </w:rPr>
        <w:t xml:space="preserve">National Institute for Health and Care Excellence (NICE) (2022) Depression in adults: Treatment and management. NICE guideline NG222. Available at: </w:t>
      </w:r>
      <w:hyperlink r:id="rId21">
        <w:r w:rsidRPr="00CD625D">
          <w:rPr>
            <w:rFonts w:cstheme="minorHAnsi"/>
            <w:sz w:val="22"/>
            <w:szCs w:val="22"/>
          </w:rPr>
          <w:t>https://www.nice.org.uk/guidance/ng222</w:t>
        </w:r>
        <w:r w:rsidRPr="00CD625D">
          <w:rPr>
            <w:rFonts w:ascii="Segoe UI Symbol" w:hAnsi="Segoe UI Symbol" w:cs="Segoe UI Symbol"/>
            <w:sz w:val="22"/>
            <w:szCs w:val="22"/>
          </w:rPr>
          <w:t>⁠</w:t>
        </w:r>
      </w:hyperlink>
      <w:r w:rsidRPr="00CD625D">
        <w:rPr>
          <w:rFonts w:cstheme="minorHAnsi"/>
          <w:sz w:val="22"/>
          <w:szCs w:val="22"/>
        </w:rPr>
        <w:t xml:space="preserve"> (Accessed: 14 August 2026).</w:t>
      </w:r>
    </w:p>
    <w:p w14:paraId="54B0C91D" w14:textId="71F82E13" w:rsidR="7CDA036A" w:rsidRPr="00CD625D" w:rsidRDefault="7CDA036A" w:rsidP="00CD625D">
      <w:pPr>
        <w:spacing w:line="360" w:lineRule="auto"/>
        <w:rPr>
          <w:rFonts w:cstheme="minorHAnsi"/>
        </w:rPr>
      </w:pPr>
      <w:r w:rsidRPr="00CD625D">
        <w:rPr>
          <w:rFonts w:cstheme="minorHAnsi"/>
          <w:sz w:val="22"/>
          <w:szCs w:val="22"/>
        </w:rPr>
        <w:t xml:space="preserve">Negeri, Z.F., Levis, B., Sun, Y., He, C., Krishnan, A., Wu, Y., Bhandari, P.M., Neupane, D., Brehaut, E., Benedetti, A. </w:t>
      </w:r>
      <w:r w:rsidR="003B3D67" w:rsidRPr="00CD625D">
        <w:rPr>
          <w:rFonts w:cstheme="minorHAnsi"/>
          <w:sz w:val="22"/>
          <w:szCs w:val="22"/>
        </w:rPr>
        <w:t>&amp;</w:t>
      </w:r>
      <w:r w:rsidRPr="00CD625D">
        <w:rPr>
          <w:rFonts w:cstheme="minorHAnsi"/>
          <w:sz w:val="22"/>
          <w:szCs w:val="22"/>
        </w:rPr>
        <w:t xml:space="preserve"> Thombs, </w:t>
      </w:r>
      <w:r w:rsidR="003B3D67" w:rsidRPr="00CD625D">
        <w:rPr>
          <w:rFonts w:cstheme="minorHAnsi"/>
          <w:sz w:val="22"/>
          <w:szCs w:val="22"/>
        </w:rPr>
        <w:t>B</w:t>
      </w:r>
      <w:r w:rsidRPr="00CD625D">
        <w:rPr>
          <w:rFonts w:cstheme="minorHAnsi"/>
          <w:sz w:val="22"/>
          <w:szCs w:val="22"/>
        </w:rPr>
        <w:t>. (2021)</w:t>
      </w:r>
      <w:r w:rsidR="003B3D67" w:rsidRPr="00CD625D">
        <w:rPr>
          <w:rFonts w:cstheme="minorHAnsi"/>
          <w:sz w:val="22"/>
          <w:szCs w:val="22"/>
        </w:rPr>
        <w:t>.</w:t>
      </w:r>
      <w:r w:rsidRPr="00CD625D">
        <w:rPr>
          <w:rFonts w:cstheme="minorHAnsi"/>
          <w:sz w:val="22"/>
          <w:szCs w:val="22"/>
        </w:rPr>
        <w:t xml:space="preserve"> ‘Accuracy of the Patient Health Questionnaire-9 for screening to detect major depression: Updated systematic review and individual participant data meta-analysis’, BMJ, 375, n2183. Available at: </w:t>
      </w:r>
      <w:hyperlink r:id="rId22">
        <w:r w:rsidRPr="00CD625D">
          <w:rPr>
            <w:rFonts w:cstheme="minorHAnsi"/>
            <w:sz w:val="22"/>
            <w:szCs w:val="22"/>
          </w:rPr>
          <w:t>https://doi.org/10.1136/bmj.n2183</w:t>
        </w:r>
        <w:r w:rsidRPr="00CD625D">
          <w:rPr>
            <w:rFonts w:ascii="Segoe UI Symbol" w:hAnsi="Segoe UI Symbol" w:cs="Segoe UI Symbol"/>
            <w:sz w:val="22"/>
            <w:szCs w:val="22"/>
          </w:rPr>
          <w:t>⁠</w:t>
        </w:r>
      </w:hyperlink>
      <w:r w:rsidRPr="00CD625D">
        <w:rPr>
          <w:rFonts w:cstheme="minorHAnsi"/>
          <w:sz w:val="22"/>
          <w:szCs w:val="22"/>
        </w:rPr>
        <w:t>.</w:t>
      </w:r>
    </w:p>
    <w:p w14:paraId="72B8796C" w14:textId="692D7498" w:rsidR="7CDA036A" w:rsidRPr="00CD625D" w:rsidRDefault="7CDA036A" w:rsidP="00CD625D">
      <w:pPr>
        <w:spacing w:line="360" w:lineRule="auto"/>
        <w:rPr>
          <w:rFonts w:cstheme="minorHAnsi"/>
        </w:rPr>
      </w:pPr>
      <w:r w:rsidRPr="00CD625D">
        <w:rPr>
          <w:rFonts w:cstheme="minorHAnsi"/>
          <w:sz w:val="22"/>
          <w:szCs w:val="22"/>
        </w:rPr>
        <w:t xml:space="preserve">Rong, J., Wang, X., Cheng, P., Li, D. </w:t>
      </w:r>
      <w:r w:rsidR="003B3D67" w:rsidRPr="00CD625D">
        <w:rPr>
          <w:rFonts w:cstheme="minorHAnsi"/>
          <w:sz w:val="22"/>
          <w:szCs w:val="22"/>
        </w:rPr>
        <w:t>&amp;</w:t>
      </w:r>
      <w:r w:rsidRPr="00CD625D">
        <w:rPr>
          <w:rFonts w:cstheme="minorHAnsi"/>
          <w:sz w:val="22"/>
          <w:szCs w:val="22"/>
        </w:rPr>
        <w:t xml:space="preserve"> Zhao, D. (2025)</w:t>
      </w:r>
      <w:r w:rsidR="003B3D67" w:rsidRPr="00CD625D">
        <w:rPr>
          <w:rFonts w:cstheme="minorHAnsi"/>
          <w:sz w:val="22"/>
          <w:szCs w:val="22"/>
        </w:rPr>
        <w:t>.</w:t>
      </w:r>
      <w:r w:rsidRPr="00CD625D">
        <w:rPr>
          <w:rFonts w:cstheme="minorHAnsi"/>
          <w:sz w:val="22"/>
          <w:szCs w:val="22"/>
        </w:rPr>
        <w:t xml:space="preserve"> ‘Global, regional and national burden of depressive disorders and attributable risk factors, from 1990 to 2021: Results from the 2021 Global Burden of Disease study’, The British Journal of Psychiatry, 227(4), pp. 688–697. Available at: </w:t>
      </w:r>
      <w:hyperlink r:id="rId23">
        <w:r w:rsidRPr="00CD625D">
          <w:rPr>
            <w:rFonts w:cstheme="minorHAnsi"/>
            <w:sz w:val="22"/>
            <w:szCs w:val="22"/>
          </w:rPr>
          <w:t>https://doi.org/10.1192/bjp.2024.266</w:t>
        </w:r>
        <w:r w:rsidRPr="00CD625D">
          <w:rPr>
            <w:rFonts w:ascii="Segoe UI Symbol" w:hAnsi="Segoe UI Symbol" w:cs="Segoe UI Symbol"/>
            <w:sz w:val="22"/>
            <w:szCs w:val="22"/>
          </w:rPr>
          <w:t>⁠</w:t>
        </w:r>
      </w:hyperlink>
      <w:r w:rsidRPr="00CD625D">
        <w:rPr>
          <w:rFonts w:cstheme="minorHAnsi"/>
          <w:sz w:val="22"/>
          <w:szCs w:val="22"/>
        </w:rPr>
        <w:t>.</w:t>
      </w:r>
    </w:p>
    <w:p w14:paraId="2087DB8D" w14:textId="593C517D" w:rsidR="7CDA036A" w:rsidRPr="00CD625D" w:rsidRDefault="7CDA036A" w:rsidP="00CD625D">
      <w:pPr>
        <w:spacing w:line="360" w:lineRule="auto"/>
        <w:rPr>
          <w:rFonts w:cstheme="minorHAnsi"/>
        </w:rPr>
      </w:pPr>
      <w:r w:rsidRPr="00CD625D">
        <w:rPr>
          <w:rFonts w:cstheme="minorHAnsi"/>
          <w:sz w:val="22"/>
          <w:szCs w:val="22"/>
        </w:rPr>
        <w:t xml:space="preserve">Scottish Government (2024) Quality prescribing for antidepressants: Guide for improvement 2024 to 2027. Available at: </w:t>
      </w:r>
      <w:hyperlink r:id="rId24">
        <w:r w:rsidRPr="00CD625D">
          <w:rPr>
            <w:rFonts w:cstheme="minorHAnsi"/>
            <w:sz w:val="22"/>
            <w:szCs w:val="22"/>
          </w:rPr>
          <w:t>https://www.gov.scot/publications/quality-prescribing-antidepressants-guide-improvement-2024-2027/</w:t>
        </w:r>
        <w:r w:rsidRPr="00CD625D">
          <w:rPr>
            <w:rFonts w:ascii="Segoe UI Symbol" w:hAnsi="Segoe UI Symbol" w:cs="Segoe UI Symbol"/>
            <w:sz w:val="22"/>
            <w:szCs w:val="22"/>
          </w:rPr>
          <w:t>⁠</w:t>
        </w:r>
      </w:hyperlink>
      <w:r w:rsidRPr="00CD625D">
        <w:rPr>
          <w:rFonts w:cstheme="minorHAnsi"/>
          <w:sz w:val="22"/>
          <w:szCs w:val="22"/>
        </w:rPr>
        <w:t xml:space="preserve"> (Accessed: 14 August 2026).</w:t>
      </w:r>
    </w:p>
    <w:p w14:paraId="28695A49" w14:textId="369202D9" w:rsidR="7CDA036A" w:rsidRPr="00CD625D" w:rsidRDefault="7CDA036A" w:rsidP="00CD625D">
      <w:pPr>
        <w:spacing w:line="360" w:lineRule="auto"/>
        <w:rPr>
          <w:rFonts w:cstheme="minorHAnsi"/>
        </w:rPr>
      </w:pPr>
      <w:r w:rsidRPr="00CD625D">
        <w:rPr>
          <w:rFonts w:cstheme="minorHAnsi"/>
          <w:sz w:val="22"/>
          <w:szCs w:val="22"/>
        </w:rPr>
        <w:t>World Health Organization (WHO) (2025) Depressive disorder (depression). Available at:</w:t>
      </w:r>
      <w:r w:rsidR="4B372512" w:rsidRPr="00CD625D">
        <w:rPr>
          <w:rFonts w:cstheme="minorHAnsi"/>
          <w:sz w:val="22"/>
          <w:szCs w:val="22"/>
        </w:rPr>
        <w:t xml:space="preserve"> </w:t>
      </w:r>
      <w:r w:rsidRPr="00CD625D">
        <w:rPr>
          <w:rFonts w:cstheme="minorHAnsi"/>
          <w:sz w:val="22"/>
          <w:szCs w:val="22"/>
        </w:rPr>
        <w:t>https://www.who.int/news-room/fact-sheets/detail/depression</w:t>
      </w:r>
      <w:r w:rsidRPr="00CD625D">
        <w:rPr>
          <w:rFonts w:ascii="Segoe UI Symbol" w:hAnsi="Segoe UI Symbol" w:cs="Segoe UI Symbol"/>
          <w:sz w:val="22"/>
          <w:szCs w:val="22"/>
        </w:rPr>
        <w:t>⁠</w:t>
      </w:r>
      <w:r w:rsidRPr="00CD625D">
        <w:rPr>
          <w:rFonts w:cstheme="minorHAnsi"/>
          <w:sz w:val="22"/>
          <w:szCs w:val="22"/>
        </w:rPr>
        <w:t xml:space="preserve"> (Accessed: 14 August 2026).</w:t>
      </w:r>
    </w:p>
    <w:p w14:paraId="227BBDA9" w14:textId="77777777" w:rsidR="00CD625D" w:rsidRPr="00CD625D" w:rsidRDefault="00CD625D">
      <w:pPr>
        <w:rPr>
          <w:rFonts w:cstheme="minorHAnsi"/>
        </w:rPr>
      </w:pPr>
    </w:p>
    <w:sectPr w:rsidR="00CD625D" w:rsidRPr="00CD625D" w:rsidSect="003B3D67">
      <w:headerReference w:type="default" r:id="rId25"/>
      <w:footerReference w:type="default" r:id="rId26"/>
      <w:headerReference w:type="first" r:id="rId27"/>
      <w:footerReference w:type="first" r:id="rId2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76965" w14:textId="77777777" w:rsidR="008737DB" w:rsidRDefault="008737DB">
      <w:pPr>
        <w:spacing w:after="0" w:line="240" w:lineRule="auto"/>
      </w:pPr>
      <w:r>
        <w:separator/>
      </w:r>
    </w:p>
  </w:endnote>
  <w:endnote w:type="continuationSeparator" w:id="0">
    <w:p w14:paraId="2BD8CB7F" w14:textId="77777777" w:rsidR="008737DB" w:rsidRDefault="00873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DAF56F4" w14:paraId="4CBDE17C" w14:textId="77777777" w:rsidTr="2DAF56F4">
      <w:trPr>
        <w:trHeight w:val="300"/>
      </w:trPr>
      <w:tc>
        <w:tcPr>
          <w:tcW w:w="3120" w:type="dxa"/>
        </w:tcPr>
        <w:p w14:paraId="54F4A725" w14:textId="42425205" w:rsidR="2DAF56F4" w:rsidRDefault="2DAF56F4" w:rsidP="2DAF56F4">
          <w:pPr>
            <w:pStyle w:val="Header"/>
            <w:ind w:left="-115"/>
          </w:pPr>
        </w:p>
      </w:tc>
      <w:tc>
        <w:tcPr>
          <w:tcW w:w="3120" w:type="dxa"/>
        </w:tcPr>
        <w:p w14:paraId="015E38E8" w14:textId="6719E6FA" w:rsidR="2DAF56F4" w:rsidRDefault="2DAF56F4" w:rsidP="2DAF56F4">
          <w:pPr>
            <w:pStyle w:val="Header"/>
            <w:jc w:val="center"/>
          </w:pPr>
        </w:p>
      </w:tc>
      <w:tc>
        <w:tcPr>
          <w:tcW w:w="3120" w:type="dxa"/>
        </w:tcPr>
        <w:p w14:paraId="67AEB3DC" w14:textId="1F196C4A" w:rsidR="2DAF56F4" w:rsidRDefault="2DAF56F4" w:rsidP="2DAF56F4">
          <w:pPr>
            <w:pStyle w:val="Header"/>
            <w:ind w:right="-115"/>
            <w:jc w:val="right"/>
          </w:pPr>
        </w:p>
      </w:tc>
    </w:tr>
  </w:tbl>
  <w:p w14:paraId="11157B62" w14:textId="4A5EED05" w:rsidR="2DAF56F4" w:rsidRDefault="2DAF56F4" w:rsidP="2DAF56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397280"/>
      <w:docPartObj>
        <w:docPartGallery w:val="Page Numbers (Bottom of Page)"/>
        <w:docPartUnique/>
      </w:docPartObj>
    </w:sdtPr>
    <w:sdtEndPr>
      <w:rPr>
        <w:noProof/>
      </w:rPr>
    </w:sdtEndPr>
    <w:sdtContent>
      <w:p w14:paraId="21ADB42A" w14:textId="3EF54D5D" w:rsidR="00D47772" w:rsidRDefault="00D477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C40FD3" w14:textId="77777777" w:rsidR="00D47772" w:rsidRDefault="00D477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7514843"/>
      <w:docPartObj>
        <w:docPartGallery w:val="Page Numbers (Bottom of Page)"/>
        <w:docPartUnique/>
      </w:docPartObj>
    </w:sdtPr>
    <w:sdtEndPr>
      <w:rPr>
        <w:noProof/>
      </w:rPr>
    </w:sdtEndPr>
    <w:sdtContent>
      <w:p w14:paraId="07651129" w14:textId="57F65EAA" w:rsidR="00D47772" w:rsidRDefault="00D477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7C7C27" w14:textId="77777777" w:rsidR="00D47772" w:rsidRDefault="00D47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2C14A" w14:textId="77777777" w:rsidR="008737DB" w:rsidRDefault="008737DB">
      <w:pPr>
        <w:spacing w:after="0" w:line="240" w:lineRule="auto"/>
      </w:pPr>
      <w:r>
        <w:separator/>
      </w:r>
    </w:p>
  </w:footnote>
  <w:footnote w:type="continuationSeparator" w:id="0">
    <w:p w14:paraId="15DC578A" w14:textId="77777777" w:rsidR="008737DB" w:rsidRDefault="008737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DAF56F4" w14:paraId="31BF398D" w14:textId="77777777" w:rsidTr="2DAF56F4">
      <w:trPr>
        <w:trHeight w:val="300"/>
      </w:trPr>
      <w:tc>
        <w:tcPr>
          <w:tcW w:w="3120" w:type="dxa"/>
        </w:tcPr>
        <w:p w14:paraId="24B91CD2" w14:textId="3DCCA291" w:rsidR="2DAF56F4" w:rsidRDefault="2DAF56F4" w:rsidP="2DAF56F4">
          <w:pPr>
            <w:pStyle w:val="Header"/>
            <w:ind w:left="-115"/>
          </w:pPr>
        </w:p>
      </w:tc>
      <w:tc>
        <w:tcPr>
          <w:tcW w:w="3120" w:type="dxa"/>
        </w:tcPr>
        <w:p w14:paraId="13AAE125" w14:textId="1E91429E" w:rsidR="2DAF56F4" w:rsidRDefault="2DAF56F4" w:rsidP="2DAF56F4">
          <w:pPr>
            <w:pStyle w:val="Header"/>
            <w:jc w:val="center"/>
          </w:pPr>
        </w:p>
      </w:tc>
      <w:tc>
        <w:tcPr>
          <w:tcW w:w="3120" w:type="dxa"/>
        </w:tcPr>
        <w:p w14:paraId="07A2D355" w14:textId="59768564" w:rsidR="2DAF56F4" w:rsidRDefault="2DAF56F4" w:rsidP="2DAF56F4">
          <w:pPr>
            <w:pStyle w:val="Header"/>
            <w:ind w:right="-115"/>
            <w:jc w:val="right"/>
          </w:pPr>
        </w:p>
      </w:tc>
    </w:tr>
  </w:tbl>
  <w:p w14:paraId="3EF82805" w14:textId="42C57E56" w:rsidR="2DAF56F4" w:rsidRDefault="2DAF56F4" w:rsidP="2DAF56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DAF56F4" w14:paraId="17CC5AAC" w14:textId="77777777" w:rsidTr="2DAF56F4">
      <w:trPr>
        <w:trHeight w:val="300"/>
      </w:trPr>
      <w:tc>
        <w:tcPr>
          <w:tcW w:w="3120" w:type="dxa"/>
        </w:tcPr>
        <w:p w14:paraId="38C098FD" w14:textId="56E1F9AE" w:rsidR="2DAF56F4" w:rsidRDefault="2DAF56F4" w:rsidP="2DAF56F4">
          <w:pPr>
            <w:pStyle w:val="Header"/>
            <w:ind w:left="-115"/>
          </w:pPr>
        </w:p>
      </w:tc>
      <w:tc>
        <w:tcPr>
          <w:tcW w:w="3120" w:type="dxa"/>
        </w:tcPr>
        <w:p w14:paraId="01B48121" w14:textId="701C82BE" w:rsidR="2DAF56F4" w:rsidRDefault="2DAF56F4" w:rsidP="2DAF56F4">
          <w:pPr>
            <w:pStyle w:val="Header"/>
            <w:jc w:val="center"/>
          </w:pPr>
        </w:p>
      </w:tc>
      <w:tc>
        <w:tcPr>
          <w:tcW w:w="3120" w:type="dxa"/>
        </w:tcPr>
        <w:p w14:paraId="6AD87612" w14:textId="4011C406" w:rsidR="2DAF56F4" w:rsidRDefault="2DAF56F4" w:rsidP="2DAF56F4">
          <w:pPr>
            <w:pStyle w:val="Header"/>
            <w:ind w:right="-115"/>
            <w:jc w:val="right"/>
          </w:pPr>
        </w:p>
      </w:tc>
    </w:tr>
  </w:tbl>
  <w:p w14:paraId="097F86F0" w14:textId="67EF92D3" w:rsidR="2DAF56F4" w:rsidRDefault="2DAF56F4" w:rsidP="2DAF56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DAF56F4" w14:paraId="58CAE823" w14:textId="77777777" w:rsidTr="2DAF56F4">
      <w:trPr>
        <w:trHeight w:val="300"/>
      </w:trPr>
      <w:tc>
        <w:tcPr>
          <w:tcW w:w="3120" w:type="dxa"/>
        </w:tcPr>
        <w:p w14:paraId="41C97D17" w14:textId="5B73DCBC" w:rsidR="2DAF56F4" w:rsidRDefault="2DAF56F4" w:rsidP="2DAF56F4">
          <w:pPr>
            <w:pStyle w:val="Header"/>
            <w:ind w:left="-115"/>
          </w:pPr>
        </w:p>
      </w:tc>
      <w:tc>
        <w:tcPr>
          <w:tcW w:w="3120" w:type="dxa"/>
        </w:tcPr>
        <w:p w14:paraId="08CC499A" w14:textId="0F66152E" w:rsidR="2DAF56F4" w:rsidRDefault="2DAF56F4" w:rsidP="2DAF56F4">
          <w:pPr>
            <w:pStyle w:val="Header"/>
            <w:jc w:val="center"/>
          </w:pPr>
        </w:p>
      </w:tc>
      <w:tc>
        <w:tcPr>
          <w:tcW w:w="3120" w:type="dxa"/>
        </w:tcPr>
        <w:p w14:paraId="12AD3960" w14:textId="35F7063C" w:rsidR="2DAF56F4" w:rsidRDefault="2DAF56F4" w:rsidP="2DAF56F4">
          <w:pPr>
            <w:pStyle w:val="Header"/>
            <w:ind w:right="-115"/>
            <w:jc w:val="right"/>
          </w:pPr>
        </w:p>
      </w:tc>
    </w:tr>
  </w:tbl>
  <w:p w14:paraId="5773C2E1" w14:textId="7F0774F5" w:rsidR="2DAF56F4" w:rsidRDefault="2DAF56F4" w:rsidP="2DAF56F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D47772" w14:paraId="1BF122B0" w14:textId="77777777" w:rsidTr="2DAF56F4">
      <w:trPr>
        <w:trHeight w:val="300"/>
      </w:trPr>
      <w:tc>
        <w:tcPr>
          <w:tcW w:w="3120" w:type="dxa"/>
        </w:tcPr>
        <w:p w14:paraId="3C35E169" w14:textId="77777777" w:rsidR="00D47772" w:rsidRDefault="00D47772" w:rsidP="2DAF56F4">
          <w:pPr>
            <w:pStyle w:val="Header"/>
            <w:ind w:left="-115"/>
          </w:pPr>
        </w:p>
      </w:tc>
      <w:tc>
        <w:tcPr>
          <w:tcW w:w="3120" w:type="dxa"/>
        </w:tcPr>
        <w:p w14:paraId="7A15414C" w14:textId="77777777" w:rsidR="00D47772" w:rsidRDefault="00D47772" w:rsidP="2DAF56F4">
          <w:pPr>
            <w:pStyle w:val="Header"/>
            <w:jc w:val="center"/>
          </w:pPr>
        </w:p>
      </w:tc>
      <w:tc>
        <w:tcPr>
          <w:tcW w:w="3120" w:type="dxa"/>
        </w:tcPr>
        <w:p w14:paraId="1C76FDBE" w14:textId="77777777" w:rsidR="00D47772" w:rsidRDefault="00D47772" w:rsidP="2DAF56F4">
          <w:pPr>
            <w:pStyle w:val="Header"/>
            <w:ind w:right="-115"/>
            <w:jc w:val="right"/>
          </w:pPr>
        </w:p>
      </w:tc>
    </w:tr>
  </w:tbl>
  <w:p w14:paraId="0CCC8A6A" w14:textId="77777777" w:rsidR="00D47772" w:rsidRDefault="00D47772" w:rsidP="2DAF56F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D47772" w14:paraId="0F2DD61D" w14:textId="77777777" w:rsidTr="2DAF56F4">
      <w:trPr>
        <w:trHeight w:val="300"/>
      </w:trPr>
      <w:tc>
        <w:tcPr>
          <w:tcW w:w="3120" w:type="dxa"/>
        </w:tcPr>
        <w:p w14:paraId="45267B23" w14:textId="77777777" w:rsidR="00D47772" w:rsidRDefault="00D47772" w:rsidP="2DAF56F4">
          <w:pPr>
            <w:pStyle w:val="Header"/>
            <w:ind w:left="-115"/>
          </w:pPr>
        </w:p>
      </w:tc>
      <w:tc>
        <w:tcPr>
          <w:tcW w:w="3120" w:type="dxa"/>
        </w:tcPr>
        <w:p w14:paraId="704EC2FB" w14:textId="77777777" w:rsidR="00D47772" w:rsidRDefault="00D47772" w:rsidP="2DAF56F4">
          <w:pPr>
            <w:pStyle w:val="Header"/>
            <w:jc w:val="center"/>
          </w:pPr>
        </w:p>
      </w:tc>
      <w:tc>
        <w:tcPr>
          <w:tcW w:w="3120" w:type="dxa"/>
        </w:tcPr>
        <w:p w14:paraId="189B0C26" w14:textId="77777777" w:rsidR="00D47772" w:rsidRDefault="00D47772" w:rsidP="2DAF56F4">
          <w:pPr>
            <w:pStyle w:val="Header"/>
            <w:ind w:right="-115"/>
            <w:jc w:val="right"/>
          </w:pPr>
        </w:p>
      </w:tc>
    </w:tr>
  </w:tbl>
  <w:p w14:paraId="6C7BD4E0" w14:textId="77777777" w:rsidR="00D47772" w:rsidRDefault="00D47772" w:rsidP="2DAF56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08B01D"/>
    <w:rsid w:val="000725AC"/>
    <w:rsid w:val="00150654"/>
    <w:rsid w:val="003B3D67"/>
    <w:rsid w:val="006965FF"/>
    <w:rsid w:val="00810BC4"/>
    <w:rsid w:val="008737DB"/>
    <w:rsid w:val="00974650"/>
    <w:rsid w:val="009AE644"/>
    <w:rsid w:val="009B444A"/>
    <w:rsid w:val="00AB3803"/>
    <w:rsid w:val="00BB02FB"/>
    <w:rsid w:val="00CD625D"/>
    <w:rsid w:val="00D47772"/>
    <w:rsid w:val="00D80BA8"/>
    <w:rsid w:val="0137A517"/>
    <w:rsid w:val="014FC131"/>
    <w:rsid w:val="0158E3CA"/>
    <w:rsid w:val="02B8DA42"/>
    <w:rsid w:val="02F130A3"/>
    <w:rsid w:val="03A193DC"/>
    <w:rsid w:val="03DA5C73"/>
    <w:rsid w:val="03DEE5E3"/>
    <w:rsid w:val="042789E3"/>
    <w:rsid w:val="04C1D7F2"/>
    <w:rsid w:val="04D6EA8D"/>
    <w:rsid w:val="0590696C"/>
    <w:rsid w:val="06CBD0D4"/>
    <w:rsid w:val="0701FB70"/>
    <w:rsid w:val="076901FC"/>
    <w:rsid w:val="08506987"/>
    <w:rsid w:val="087FBDAA"/>
    <w:rsid w:val="0897D77E"/>
    <w:rsid w:val="08A515F6"/>
    <w:rsid w:val="08E27DE9"/>
    <w:rsid w:val="08E9C762"/>
    <w:rsid w:val="0A4CD85D"/>
    <w:rsid w:val="0A6436A8"/>
    <w:rsid w:val="0A88FB4A"/>
    <w:rsid w:val="0B5F8DD7"/>
    <w:rsid w:val="0B6CC437"/>
    <w:rsid w:val="0B79B0B7"/>
    <w:rsid w:val="0BDDE467"/>
    <w:rsid w:val="0C125E2D"/>
    <w:rsid w:val="0C142E26"/>
    <w:rsid w:val="0C563508"/>
    <w:rsid w:val="0DCC222C"/>
    <w:rsid w:val="0DE7C131"/>
    <w:rsid w:val="1046FC81"/>
    <w:rsid w:val="10D677A7"/>
    <w:rsid w:val="10F18801"/>
    <w:rsid w:val="113E3823"/>
    <w:rsid w:val="1197CB2F"/>
    <w:rsid w:val="1294C263"/>
    <w:rsid w:val="12DBA549"/>
    <w:rsid w:val="1354BB96"/>
    <w:rsid w:val="1361A2D9"/>
    <w:rsid w:val="14A1CEDD"/>
    <w:rsid w:val="154D3567"/>
    <w:rsid w:val="15988D74"/>
    <w:rsid w:val="15FFD81A"/>
    <w:rsid w:val="16413769"/>
    <w:rsid w:val="166D9109"/>
    <w:rsid w:val="16C58FAC"/>
    <w:rsid w:val="16C8BC4E"/>
    <w:rsid w:val="175559B6"/>
    <w:rsid w:val="177A6DCB"/>
    <w:rsid w:val="17DA204B"/>
    <w:rsid w:val="17E5DE46"/>
    <w:rsid w:val="1812892D"/>
    <w:rsid w:val="181865BF"/>
    <w:rsid w:val="19487919"/>
    <w:rsid w:val="19CEDDB5"/>
    <w:rsid w:val="19D9062E"/>
    <w:rsid w:val="19F4CB89"/>
    <w:rsid w:val="1A0D12D8"/>
    <w:rsid w:val="1A2113D3"/>
    <w:rsid w:val="1AF0963C"/>
    <w:rsid w:val="1B46816C"/>
    <w:rsid w:val="1B63DDC1"/>
    <w:rsid w:val="1B9BBD6A"/>
    <w:rsid w:val="1BB2CE12"/>
    <w:rsid w:val="1BC77426"/>
    <w:rsid w:val="1C4984F2"/>
    <w:rsid w:val="1CA82CC7"/>
    <w:rsid w:val="1D3B4E6F"/>
    <w:rsid w:val="1E0A252E"/>
    <w:rsid w:val="1E283FF6"/>
    <w:rsid w:val="1E4F7369"/>
    <w:rsid w:val="1E95AF84"/>
    <w:rsid w:val="1EDC53DA"/>
    <w:rsid w:val="1EFC83C7"/>
    <w:rsid w:val="1F205E96"/>
    <w:rsid w:val="1F6EB971"/>
    <w:rsid w:val="2098C53E"/>
    <w:rsid w:val="20D6F0F4"/>
    <w:rsid w:val="21BE73B5"/>
    <w:rsid w:val="2262BB8E"/>
    <w:rsid w:val="22E0FF69"/>
    <w:rsid w:val="22EE71ED"/>
    <w:rsid w:val="22FF9681"/>
    <w:rsid w:val="23654F10"/>
    <w:rsid w:val="237FF0DA"/>
    <w:rsid w:val="24163555"/>
    <w:rsid w:val="2448CB3C"/>
    <w:rsid w:val="24587E41"/>
    <w:rsid w:val="2506433F"/>
    <w:rsid w:val="2511BD37"/>
    <w:rsid w:val="251D42D6"/>
    <w:rsid w:val="2599A918"/>
    <w:rsid w:val="2616C27B"/>
    <w:rsid w:val="263E9FDB"/>
    <w:rsid w:val="2723AE7E"/>
    <w:rsid w:val="2729A3BD"/>
    <w:rsid w:val="27727C11"/>
    <w:rsid w:val="27B5A925"/>
    <w:rsid w:val="27F7273A"/>
    <w:rsid w:val="2842787B"/>
    <w:rsid w:val="28FC7581"/>
    <w:rsid w:val="2B28DDB0"/>
    <w:rsid w:val="2BFAAFD2"/>
    <w:rsid w:val="2C73F609"/>
    <w:rsid w:val="2CC07242"/>
    <w:rsid w:val="2D393C6F"/>
    <w:rsid w:val="2D3DA809"/>
    <w:rsid w:val="2D5A1912"/>
    <w:rsid w:val="2D8147D2"/>
    <w:rsid w:val="2DAF56F4"/>
    <w:rsid w:val="2EC62A20"/>
    <w:rsid w:val="2EDFA69B"/>
    <w:rsid w:val="2F49A043"/>
    <w:rsid w:val="2F62E6F5"/>
    <w:rsid w:val="301066CE"/>
    <w:rsid w:val="3043B194"/>
    <w:rsid w:val="30C610BA"/>
    <w:rsid w:val="30CA9D0D"/>
    <w:rsid w:val="312D4BDA"/>
    <w:rsid w:val="3185138B"/>
    <w:rsid w:val="31BE1532"/>
    <w:rsid w:val="31C4F85B"/>
    <w:rsid w:val="329AB637"/>
    <w:rsid w:val="32D85A29"/>
    <w:rsid w:val="330A61BD"/>
    <w:rsid w:val="33708088"/>
    <w:rsid w:val="337D9613"/>
    <w:rsid w:val="3478F738"/>
    <w:rsid w:val="34865023"/>
    <w:rsid w:val="3486A3BD"/>
    <w:rsid w:val="34EC9FEA"/>
    <w:rsid w:val="34F736E2"/>
    <w:rsid w:val="3571F71B"/>
    <w:rsid w:val="35BE764A"/>
    <w:rsid w:val="35E61125"/>
    <w:rsid w:val="36459534"/>
    <w:rsid w:val="36602C63"/>
    <w:rsid w:val="3721629C"/>
    <w:rsid w:val="376CBFB2"/>
    <w:rsid w:val="3773B50E"/>
    <w:rsid w:val="379646BC"/>
    <w:rsid w:val="37F278DB"/>
    <w:rsid w:val="3880536F"/>
    <w:rsid w:val="391BFF64"/>
    <w:rsid w:val="391D5A54"/>
    <w:rsid w:val="39698F6F"/>
    <w:rsid w:val="396E6A1E"/>
    <w:rsid w:val="3A489A3C"/>
    <w:rsid w:val="3ACCDE68"/>
    <w:rsid w:val="3AE0B1D9"/>
    <w:rsid w:val="3B5469A7"/>
    <w:rsid w:val="3B801E69"/>
    <w:rsid w:val="3B9702E8"/>
    <w:rsid w:val="3BEB2D71"/>
    <w:rsid w:val="3C87B839"/>
    <w:rsid w:val="3CA0D0BE"/>
    <w:rsid w:val="3CBCC257"/>
    <w:rsid w:val="3D0C0E66"/>
    <w:rsid w:val="3D9D0FCF"/>
    <w:rsid w:val="3DC2F630"/>
    <w:rsid w:val="3E5EF5D3"/>
    <w:rsid w:val="3E73CCFB"/>
    <w:rsid w:val="3E750721"/>
    <w:rsid w:val="3E7C4F49"/>
    <w:rsid w:val="3EB48CF9"/>
    <w:rsid w:val="408C21F8"/>
    <w:rsid w:val="40CD9408"/>
    <w:rsid w:val="4113204F"/>
    <w:rsid w:val="416BB799"/>
    <w:rsid w:val="418C7068"/>
    <w:rsid w:val="425EECB9"/>
    <w:rsid w:val="42EDC5B6"/>
    <w:rsid w:val="437323A3"/>
    <w:rsid w:val="4450A61D"/>
    <w:rsid w:val="445CB071"/>
    <w:rsid w:val="44AEF787"/>
    <w:rsid w:val="44C7BCD5"/>
    <w:rsid w:val="4592A718"/>
    <w:rsid w:val="45B24542"/>
    <w:rsid w:val="45F7F6EA"/>
    <w:rsid w:val="460792DB"/>
    <w:rsid w:val="46F58BDD"/>
    <w:rsid w:val="4733885D"/>
    <w:rsid w:val="484B0347"/>
    <w:rsid w:val="48804701"/>
    <w:rsid w:val="489433DA"/>
    <w:rsid w:val="4A9B40C7"/>
    <w:rsid w:val="4A9EA70C"/>
    <w:rsid w:val="4AB0D582"/>
    <w:rsid w:val="4AD502D5"/>
    <w:rsid w:val="4AF3F8D2"/>
    <w:rsid w:val="4B372512"/>
    <w:rsid w:val="4B954DB4"/>
    <w:rsid w:val="4C84E2DB"/>
    <w:rsid w:val="4CCD57D3"/>
    <w:rsid w:val="4CD4C5B8"/>
    <w:rsid w:val="4D0D0F7D"/>
    <w:rsid w:val="4DF7BDFA"/>
    <w:rsid w:val="4DF9C355"/>
    <w:rsid w:val="4E26BFF4"/>
    <w:rsid w:val="4F17E867"/>
    <w:rsid w:val="4FDAAC28"/>
    <w:rsid w:val="501D6D57"/>
    <w:rsid w:val="5119FC2A"/>
    <w:rsid w:val="51FABF25"/>
    <w:rsid w:val="5224A28F"/>
    <w:rsid w:val="52B6D42C"/>
    <w:rsid w:val="52CCFAF2"/>
    <w:rsid w:val="52EF8E4F"/>
    <w:rsid w:val="52FBD793"/>
    <w:rsid w:val="53AC9454"/>
    <w:rsid w:val="54B71977"/>
    <w:rsid w:val="55ED7C98"/>
    <w:rsid w:val="5609913A"/>
    <w:rsid w:val="56F6BC63"/>
    <w:rsid w:val="570BC6BF"/>
    <w:rsid w:val="57CB2163"/>
    <w:rsid w:val="5807AEEB"/>
    <w:rsid w:val="589D39AA"/>
    <w:rsid w:val="58E79E0B"/>
    <w:rsid w:val="58F84005"/>
    <w:rsid w:val="5962CDDE"/>
    <w:rsid w:val="59B286FE"/>
    <w:rsid w:val="5A25A03F"/>
    <w:rsid w:val="5A788382"/>
    <w:rsid w:val="5B3EDBFA"/>
    <w:rsid w:val="5C25B975"/>
    <w:rsid w:val="5C75A3C3"/>
    <w:rsid w:val="5CD322BD"/>
    <w:rsid w:val="5D3C33CB"/>
    <w:rsid w:val="5D52B1DF"/>
    <w:rsid w:val="5DA5704B"/>
    <w:rsid w:val="5E07CB53"/>
    <w:rsid w:val="5E15821B"/>
    <w:rsid w:val="5E55A0F8"/>
    <w:rsid w:val="5F4032BB"/>
    <w:rsid w:val="5F4F7F85"/>
    <w:rsid w:val="61129862"/>
    <w:rsid w:val="616FA25F"/>
    <w:rsid w:val="61A1ACD3"/>
    <w:rsid w:val="61A30CAC"/>
    <w:rsid w:val="61DDE432"/>
    <w:rsid w:val="62301E84"/>
    <w:rsid w:val="6230BB43"/>
    <w:rsid w:val="6230D4F0"/>
    <w:rsid w:val="626AF535"/>
    <w:rsid w:val="634816C1"/>
    <w:rsid w:val="6353DF75"/>
    <w:rsid w:val="63601EF9"/>
    <w:rsid w:val="636FFA1A"/>
    <w:rsid w:val="63A8C369"/>
    <w:rsid w:val="6412B671"/>
    <w:rsid w:val="6521A8DC"/>
    <w:rsid w:val="654D2C69"/>
    <w:rsid w:val="6577C70C"/>
    <w:rsid w:val="65FA8BCA"/>
    <w:rsid w:val="665DE3D8"/>
    <w:rsid w:val="667DE745"/>
    <w:rsid w:val="66AA4FF4"/>
    <w:rsid w:val="66C94F26"/>
    <w:rsid w:val="66F61296"/>
    <w:rsid w:val="6756906F"/>
    <w:rsid w:val="6808B01D"/>
    <w:rsid w:val="68D8B899"/>
    <w:rsid w:val="69187F73"/>
    <w:rsid w:val="694775E3"/>
    <w:rsid w:val="698C2134"/>
    <w:rsid w:val="69C6D95F"/>
    <w:rsid w:val="6ADD6BC9"/>
    <w:rsid w:val="6D444C33"/>
    <w:rsid w:val="6DC068EA"/>
    <w:rsid w:val="6EE49D0A"/>
    <w:rsid w:val="6EF24C50"/>
    <w:rsid w:val="6F1825A1"/>
    <w:rsid w:val="6FA0DAF5"/>
    <w:rsid w:val="6FB98C92"/>
    <w:rsid w:val="705B2040"/>
    <w:rsid w:val="709A5046"/>
    <w:rsid w:val="70C1600C"/>
    <w:rsid w:val="70DCFCC3"/>
    <w:rsid w:val="710CF7E0"/>
    <w:rsid w:val="7114B4C8"/>
    <w:rsid w:val="715FACD9"/>
    <w:rsid w:val="71CFB621"/>
    <w:rsid w:val="71D0852D"/>
    <w:rsid w:val="71D4ED1A"/>
    <w:rsid w:val="71D6A9AD"/>
    <w:rsid w:val="71E7976B"/>
    <w:rsid w:val="720BB027"/>
    <w:rsid w:val="7288A263"/>
    <w:rsid w:val="730FB8D8"/>
    <w:rsid w:val="73CF9A9B"/>
    <w:rsid w:val="741A5FF6"/>
    <w:rsid w:val="74277A27"/>
    <w:rsid w:val="746C3C93"/>
    <w:rsid w:val="750AD1BB"/>
    <w:rsid w:val="7564E762"/>
    <w:rsid w:val="75A20F74"/>
    <w:rsid w:val="7611B667"/>
    <w:rsid w:val="7615E5DA"/>
    <w:rsid w:val="763017C1"/>
    <w:rsid w:val="77C7345E"/>
    <w:rsid w:val="77D794B2"/>
    <w:rsid w:val="77F889CA"/>
    <w:rsid w:val="78338C91"/>
    <w:rsid w:val="7838DE87"/>
    <w:rsid w:val="789F31AF"/>
    <w:rsid w:val="78ED158D"/>
    <w:rsid w:val="7912DDE7"/>
    <w:rsid w:val="797B536E"/>
    <w:rsid w:val="7AF68C50"/>
    <w:rsid w:val="7B2A5577"/>
    <w:rsid w:val="7B6EC9EA"/>
    <w:rsid w:val="7BDD651A"/>
    <w:rsid w:val="7C05A438"/>
    <w:rsid w:val="7C372F24"/>
    <w:rsid w:val="7C7E198F"/>
    <w:rsid w:val="7C82F324"/>
    <w:rsid w:val="7C9BDF5F"/>
    <w:rsid w:val="7CD71544"/>
    <w:rsid w:val="7CDA036A"/>
    <w:rsid w:val="7CDB42BD"/>
    <w:rsid w:val="7D0998CD"/>
    <w:rsid w:val="7DA0C540"/>
    <w:rsid w:val="7E20A6B9"/>
    <w:rsid w:val="7ECAF6E3"/>
    <w:rsid w:val="7ED60541"/>
    <w:rsid w:val="7EDE7ADD"/>
    <w:rsid w:val="7F7A8189"/>
    <w:rsid w:val="7F945211"/>
    <w:rsid w:val="7F9A4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FE1DB"/>
  <w15:chartTrackingRefBased/>
  <w15:docId w15:val="{6B9C6514-6C44-4A52-A275-4ECF578ED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DA0C5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7F72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27F72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27F72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7F72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27F72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27F72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27F7273A"/>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27F7273A"/>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7DA0C540"/>
    <w:rPr>
      <w:rFonts w:asciiTheme="majorHAnsi" w:eastAsiaTheme="majorEastAsia" w:hAnsiTheme="majorHAnsi" w:cstheme="majorBidi"/>
      <w:color w:val="0F4761" w:themeColor="accent1" w:themeShade="BF"/>
      <w:sz w:val="40"/>
      <w:szCs w:val="40"/>
    </w:rPr>
  </w:style>
  <w:style w:type="paragraph" w:styleId="Header">
    <w:name w:val="header"/>
    <w:basedOn w:val="Normal"/>
    <w:uiPriority w:val="99"/>
    <w:unhideWhenUsed/>
    <w:rsid w:val="7DA0C540"/>
    <w:pPr>
      <w:tabs>
        <w:tab w:val="center" w:pos="4680"/>
        <w:tab w:val="right" w:pos="9360"/>
      </w:tabs>
      <w:spacing w:after="0" w:line="240" w:lineRule="auto"/>
    </w:pPr>
  </w:style>
  <w:style w:type="paragraph" w:styleId="Footer">
    <w:name w:val="footer"/>
    <w:basedOn w:val="Normal"/>
    <w:link w:val="FooterChar"/>
    <w:uiPriority w:val="99"/>
    <w:unhideWhenUsed/>
    <w:rsid w:val="7DA0C540"/>
    <w:pPr>
      <w:tabs>
        <w:tab w:val="center" w:pos="4680"/>
        <w:tab w:val="right" w:pos="9360"/>
      </w:tabs>
      <w:spacing w:after="0" w:line="240" w:lineRule="auto"/>
    </w:pPr>
  </w:style>
  <w:style w:type="character" w:styleId="Hyperlink">
    <w:name w:val="Hyperlink"/>
    <w:basedOn w:val="DefaultParagraphFont"/>
    <w:uiPriority w:val="99"/>
    <w:unhideWhenUsed/>
    <w:rsid w:val="7DA0C540"/>
    <w:rPr>
      <w:color w:val="467886"/>
      <w:u w:val="single"/>
    </w:rPr>
  </w:style>
  <w:style w:type="paragraph" w:styleId="TOC1">
    <w:name w:val="toc 1"/>
    <w:basedOn w:val="Normal"/>
    <w:next w:val="Normal"/>
    <w:uiPriority w:val="39"/>
    <w:unhideWhenUsed/>
    <w:rsid w:val="7DA0C540"/>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rsid w:val="27F7273A"/>
    <w:pPr>
      <w:spacing w:after="8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27F7273A"/>
    <w:rPr>
      <w:rFonts w:eastAsiaTheme="majorEastAsia" w:cstheme="majorBidi"/>
      <w:color w:val="595959" w:themeColor="text1" w:themeTint="A6"/>
      <w:sz w:val="28"/>
      <w:szCs w:val="28"/>
    </w:rPr>
  </w:style>
  <w:style w:type="paragraph" w:styleId="Quote">
    <w:name w:val="Quote"/>
    <w:basedOn w:val="Normal"/>
    <w:next w:val="Normal"/>
    <w:link w:val="QuoteChar"/>
    <w:uiPriority w:val="29"/>
    <w:qFormat/>
    <w:rsid w:val="27F7273A"/>
    <w:pPr>
      <w:spacing w:before="160"/>
      <w:jc w:val="center"/>
    </w:pPr>
    <w:rPr>
      <w:i/>
      <w:iCs/>
      <w:color w:val="404040" w:themeColor="text1" w:themeTint="BF"/>
    </w:rPr>
  </w:style>
  <w:style w:type="paragraph" w:styleId="IntenseQuote">
    <w:name w:val="Intense Quote"/>
    <w:basedOn w:val="Normal"/>
    <w:next w:val="Normal"/>
    <w:link w:val="IntenseQuoteChar"/>
    <w:uiPriority w:val="30"/>
    <w:qFormat/>
    <w:rsid w:val="27F7273A"/>
    <w:pPr>
      <w:spacing w:before="360" w:after="360"/>
      <w:ind w:left="864" w:right="864"/>
      <w:jc w:val="center"/>
    </w:pPr>
    <w:rPr>
      <w:i/>
      <w:iCs/>
      <w:color w:val="0F4761" w:themeColor="accent1" w:themeShade="BF"/>
    </w:rPr>
  </w:style>
  <w:style w:type="character" w:styleId="SubtleReference">
    <w:name w:val="Subtle Reference"/>
    <w:basedOn w:val="DefaultParagraphFont"/>
    <w:uiPriority w:val="31"/>
    <w:qFormat/>
    <w:rsid w:val="27F7273A"/>
    <w:rPr>
      <w:smallCaps/>
      <w:color w:val="5A5A5A"/>
    </w:rPr>
  </w:style>
  <w:style w:type="character" w:styleId="IntenseReference">
    <w:name w:val="Intense Reference"/>
    <w:basedOn w:val="DefaultParagraphFont"/>
    <w:uiPriority w:val="32"/>
    <w:qFormat/>
    <w:rsid w:val="27F7273A"/>
    <w:rPr>
      <w:b/>
      <w:bCs/>
      <w:smallCaps/>
      <w:color w:val="0F4761" w:themeColor="accent1" w:themeShade="BF"/>
    </w:rPr>
  </w:style>
  <w:style w:type="character" w:customStyle="1" w:styleId="Heading2Char">
    <w:name w:val="Heading 2 Char"/>
    <w:basedOn w:val="DefaultParagraphFont"/>
    <w:link w:val="Heading2"/>
    <w:uiPriority w:val="9"/>
    <w:rsid w:val="27F72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27F72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27F72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27F72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27F72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27F7273A"/>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27F7273A"/>
    <w:rPr>
      <w:rFonts w:eastAsiaTheme="majorEastAsia" w:cstheme="majorBidi"/>
      <w:i/>
      <w:iCs/>
      <w:color w:val="272727"/>
    </w:rPr>
  </w:style>
  <w:style w:type="character" w:customStyle="1" w:styleId="Heading9Char">
    <w:name w:val="Heading 9 Char"/>
    <w:basedOn w:val="DefaultParagraphFont"/>
    <w:link w:val="Heading9"/>
    <w:uiPriority w:val="9"/>
    <w:rsid w:val="27F7273A"/>
    <w:rPr>
      <w:rFonts w:eastAsiaTheme="majorEastAsia" w:cstheme="majorBidi"/>
      <w:color w:val="272727"/>
    </w:rPr>
  </w:style>
  <w:style w:type="character" w:customStyle="1" w:styleId="SubtitleChar">
    <w:name w:val="Subtitle Char"/>
    <w:basedOn w:val="DefaultParagraphFont"/>
    <w:link w:val="Subtitle"/>
    <w:uiPriority w:val="11"/>
    <w:rsid w:val="27F7273A"/>
    <w:rPr>
      <w:rFonts w:eastAsiaTheme="majorEastAsia" w:cstheme="majorBidi"/>
      <w:color w:val="595959" w:themeColor="text1" w:themeTint="A6"/>
      <w:sz w:val="28"/>
      <w:szCs w:val="28"/>
    </w:rPr>
  </w:style>
  <w:style w:type="character" w:customStyle="1" w:styleId="QuoteChar">
    <w:name w:val="Quote Char"/>
    <w:basedOn w:val="DefaultParagraphFont"/>
    <w:link w:val="Quote"/>
    <w:uiPriority w:val="29"/>
    <w:rsid w:val="27F7273A"/>
    <w:rPr>
      <w:i/>
      <w:iCs/>
      <w:color w:val="404040" w:themeColor="text1" w:themeTint="BF"/>
    </w:rPr>
  </w:style>
  <w:style w:type="character" w:customStyle="1" w:styleId="IntenseQuoteChar">
    <w:name w:val="Intense Quote Char"/>
    <w:basedOn w:val="DefaultParagraphFont"/>
    <w:link w:val="IntenseQuote"/>
    <w:uiPriority w:val="30"/>
    <w:rsid w:val="27F7273A"/>
    <w:rPr>
      <w:i/>
      <w:iCs/>
      <w:color w:val="0F4761" w:themeColor="accent1" w:themeShade="BF"/>
    </w:rPr>
  </w:style>
  <w:style w:type="paragraph" w:styleId="ListBullet2">
    <w:name w:val="List Bullet 2"/>
    <w:basedOn w:val="Normal"/>
    <w:uiPriority w:val="99"/>
    <w:unhideWhenUsed/>
    <w:rsid w:val="27F7273A"/>
    <w:pPr>
      <w:tabs>
        <w:tab w:val="num" w:pos="643"/>
      </w:tabs>
      <w:ind w:left="643" w:hanging="360"/>
      <w:contextualSpacing/>
    </w:pPr>
  </w:style>
  <w:style w:type="paragraph" w:styleId="ListBullet3">
    <w:name w:val="List Bullet 3"/>
    <w:basedOn w:val="Normal"/>
    <w:uiPriority w:val="99"/>
    <w:unhideWhenUsed/>
    <w:rsid w:val="27F7273A"/>
    <w:pPr>
      <w:tabs>
        <w:tab w:val="num" w:pos="926"/>
      </w:tabs>
      <w:ind w:left="926" w:hanging="360"/>
      <w:contextualSpacing/>
    </w:pPr>
  </w:style>
  <w:style w:type="paragraph" w:styleId="ListBullet4">
    <w:name w:val="List Bullet 4"/>
    <w:basedOn w:val="Normal"/>
    <w:uiPriority w:val="99"/>
    <w:unhideWhenUsed/>
    <w:rsid w:val="27F7273A"/>
    <w:pPr>
      <w:tabs>
        <w:tab w:val="num" w:pos="1209"/>
      </w:tabs>
      <w:ind w:left="1209" w:hanging="360"/>
      <w:contextualSpacing/>
    </w:pPr>
  </w:style>
  <w:style w:type="paragraph" w:styleId="ListBullet5">
    <w:name w:val="List Bullet 5"/>
    <w:basedOn w:val="Normal"/>
    <w:uiPriority w:val="99"/>
    <w:unhideWhenUsed/>
    <w:rsid w:val="27F7273A"/>
    <w:pPr>
      <w:tabs>
        <w:tab w:val="num" w:pos="1492"/>
      </w:tabs>
      <w:ind w:left="1492" w:hanging="360"/>
      <w:contextualSpacing/>
    </w:pPr>
  </w:style>
  <w:style w:type="paragraph" w:styleId="ListNumber2">
    <w:name w:val="List Number 2"/>
    <w:basedOn w:val="Normal"/>
    <w:uiPriority w:val="99"/>
    <w:unhideWhenUsed/>
    <w:rsid w:val="27F7273A"/>
    <w:pPr>
      <w:tabs>
        <w:tab w:val="num" w:pos="643"/>
      </w:tabs>
      <w:ind w:left="643"/>
      <w:contextualSpacing/>
    </w:pPr>
  </w:style>
  <w:style w:type="paragraph" w:styleId="ListNumber3">
    <w:name w:val="List Number 3"/>
    <w:basedOn w:val="Normal"/>
    <w:uiPriority w:val="99"/>
    <w:unhideWhenUsed/>
    <w:rsid w:val="27F7273A"/>
    <w:pPr>
      <w:tabs>
        <w:tab w:val="num" w:pos="926"/>
        <w:tab w:val="num" w:pos="1080"/>
      </w:tabs>
      <w:ind w:left="1080" w:hanging="360"/>
      <w:contextualSpacing/>
    </w:pPr>
  </w:style>
  <w:style w:type="paragraph" w:styleId="ListNumber4">
    <w:name w:val="List Number 4"/>
    <w:basedOn w:val="Normal"/>
    <w:uiPriority w:val="99"/>
    <w:unhideWhenUsed/>
    <w:rsid w:val="27F7273A"/>
    <w:pPr>
      <w:tabs>
        <w:tab w:val="num" w:pos="1209"/>
      </w:tabs>
      <w:ind w:left="1209"/>
      <w:contextualSpacing/>
    </w:pPr>
  </w:style>
  <w:style w:type="paragraph" w:styleId="ListNumber5">
    <w:name w:val="List Number 5"/>
    <w:basedOn w:val="Normal"/>
    <w:uiPriority w:val="99"/>
    <w:unhideWhenUsed/>
    <w:rsid w:val="27F7273A"/>
    <w:pPr>
      <w:tabs>
        <w:tab w:val="num" w:pos="1492"/>
      </w:tabs>
      <w:ind w:left="1492"/>
      <w:contextualSpacing/>
    </w:pPr>
  </w:style>
  <w:style w:type="paragraph" w:styleId="MacroText">
    <w:name w:val="macro"/>
    <w:link w:val="MacroTextChar"/>
    <w:uiPriority w:val="99"/>
    <w:unhideWhenUsed/>
    <w:rsid w:val="27F7273A"/>
    <w:pPr>
      <w:spacing w:after="0"/>
    </w:pPr>
    <w:rPr>
      <w:rFonts w:ascii="Consolas" w:hAnsi="Consolas"/>
      <w:sz w:val="20"/>
      <w:szCs w:val="20"/>
    </w:rPr>
  </w:style>
  <w:style w:type="character" w:customStyle="1" w:styleId="MacroTextChar">
    <w:name w:val="Macro Text Char"/>
    <w:basedOn w:val="DefaultParagraphFont"/>
    <w:link w:val="MacroText"/>
    <w:uiPriority w:val="99"/>
    <w:rsid w:val="27F7273A"/>
    <w:rPr>
      <w:rFonts w:ascii="Consolas" w:hAnsi="Consolas"/>
      <w:sz w:val="20"/>
      <w:szCs w:val="20"/>
    </w:rPr>
  </w:style>
  <w:style w:type="character" w:customStyle="1" w:styleId="FooterChar">
    <w:name w:val="Footer Char"/>
    <w:basedOn w:val="DefaultParagraphFont"/>
    <w:link w:val="Footer"/>
    <w:uiPriority w:val="99"/>
    <w:rsid w:val="003B3D67"/>
  </w:style>
  <w:style w:type="paragraph" w:styleId="TOCHeading">
    <w:name w:val="TOC Heading"/>
    <w:basedOn w:val="Heading1"/>
    <w:next w:val="Normal"/>
    <w:uiPriority w:val="39"/>
    <w:unhideWhenUsed/>
    <w:qFormat/>
    <w:rsid w:val="003B3D67"/>
    <w:pPr>
      <w:spacing w:before="240" w:after="0" w:line="259" w:lineRule="auto"/>
      <w:outlineLvl w:val="9"/>
    </w:pPr>
    <w:rPr>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1002/puh2.181&#8288;" TargetMode="External"/><Relationship Id="rId18" Type="http://schemas.openxmlformats.org/officeDocument/2006/relationships/hyperlink" Target="https://doi.org/10.1001/jamapsychiatry.2023.0777&#8288;"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nice.org.uk/guidance/ng222&#8288;" TargetMode="External"/><Relationship Id="rId7" Type="http://schemas.openxmlformats.org/officeDocument/2006/relationships/image" Target="media/image1.png"/><Relationship Id="rId12" Type="http://schemas.openxmlformats.org/officeDocument/2006/relationships/hyperlink" Target="https://doi.org/10.1016/S2468-2667(21)00047-5&#8288;" TargetMode="External"/><Relationship Id="rId17" Type="http://schemas.openxmlformats.org/officeDocument/2006/relationships/hyperlink" Target="https://doi.org/10.1017/S0033291723002349&#8288;"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s://doi.org/10.1159/000531588&#8288;" TargetMode="External"/><Relationship Id="rId20" Type="http://schemas.openxmlformats.org/officeDocument/2006/relationships/hyperlink" Target="https://doi.org/10.1016/j.psychres.2023.115206&#828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gov.scot/publications/quality-prescribing-antidepressants-guide-improvement-2024-2027/&#8288;" TargetMode="External"/><Relationship Id="rId5" Type="http://schemas.openxmlformats.org/officeDocument/2006/relationships/footnotes" Target="footnotes.xml"/><Relationship Id="rId15" Type="http://schemas.openxmlformats.org/officeDocument/2006/relationships/hyperlink" Target="https://doi.org/10.1136/bmjopen-2021-060214&#8288;" TargetMode="External"/><Relationship Id="rId23" Type="http://schemas.openxmlformats.org/officeDocument/2006/relationships/hyperlink" Target="https://doi.org/10.1192/bjp.2024.266&#8288;" TargetMode="External"/><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doi.org/10.1001/jamanetworkopen.2024.18383&#8288;"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doi.org/10.1002/wps.21354&#8288;" TargetMode="External"/><Relationship Id="rId22" Type="http://schemas.openxmlformats.org/officeDocument/2006/relationships/hyperlink" Target="https://doi.org/10.1136/bmj.n2183&#8288;" TargetMode="External"/><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C20ED-9754-488C-9472-9961F53AA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2553</Words>
  <Characters>14557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Junieette Alejandra Brenes Martinez (2525530)</dc:creator>
  <cp:keywords/>
  <dc:description/>
  <cp:lastModifiedBy>joan galeano</cp:lastModifiedBy>
  <cp:revision>6</cp:revision>
  <dcterms:created xsi:type="dcterms:W3CDTF">2026-08-14T13:08:00Z</dcterms:created>
  <dcterms:modified xsi:type="dcterms:W3CDTF">2026-08-16T08:04:00Z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131aac26-7ec6-48d1-ae2b-ffdfbb157111</vt:lpwstr>
  </property>
</Properties>
</file>