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3E07F4" w14:textId="77777777" w:rsidR="002F7B74" w:rsidRDefault="002F7B74" w:rsidP="00801B70">
      <w:pPr>
        <w:jc w:val="both"/>
        <w:rPr>
          <w:lang w:val="en-GB"/>
        </w:rPr>
      </w:pPr>
    </w:p>
    <w:p w14:paraId="73C40A28" w14:textId="77777777" w:rsidR="002F7B74" w:rsidRDefault="002F7B74" w:rsidP="00801B70">
      <w:pPr>
        <w:jc w:val="both"/>
        <w:rPr>
          <w:lang w:val="en-GB"/>
        </w:rPr>
      </w:pPr>
    </w:p>
    <w:p w14:paraId="589E2337" w14:textId="107AA428" w:rsidR="002F7B74" w:rsidRDefault="002F7B74" w:rsidP="002F7B74">
      <w:pPr>
        <w:pStyle w:val="NormalWeb"/>
        <w:spacing w:before="0" w:beforeAutospacing="0" w:after="0" w:afterAutospacing="0"/>
        <w:ind w:left="-180" w:right="-334"/>
      </w:pPr>
      <w:r>
        <w:rPr>
          <w:noProof/>
          <w:lang w:val="en-US" w:eastAsia="en-US"/>
        </w:rPr>
        <w:drawing>
          <wp:inline distT="0" distB="0" distL="0" distR="0" wp14:anchorId="42C69DBD" wp14:editId="08DC8F85">
            <wp:extent cx="1910715" cy="636905"/>
            <wp:effectExtent l="25400" t="25400" r="19685" b="2349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45B9E0BA" w14:textId="77777777" w:rsidR="002F7B74" w:rsidRDefault="002F7B74" w:rsidP="002F7B74">
      <w:pPr>
        <w:pStyle w:val="NormalWeb"/>
        <w:spacing w:before="0" w:beforeAutospacing="0" w:after="0" w:afterAutospacing="0"/>
        <w:ind w:left="-180" w:right="-334"/>
      </w:pPr>
    </w:p>
    <w:p w14:paraId="06EF210E" w14:textId="77777777" w:rsidR="002F7B74" w:rsidRDefault="002F7B74" w:rsidP="002F7B74">
      <w:pPr>
        <w:pStyle w:val="NormalWeb"/>
        <w:spacing w:before="0" w:beforeAutospacing="0" w:after="0" w:afterAutospacing="0"/>
        <w:ind w:left="-180" w:right="-334"/>
      </w:pPr>
    </w:p>
    <w:p w14:paraId="1ED3D5A1" w14:textId="77777777" w:rsidR="002F7B74" w:rsidRDefault="002F7B74" w:rsidP="002F7B7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FB7362A" w14:textId="77777777" w:rsidR="002F7B74" w:rsidRPr="00230F35" w:rsidRDefault="002F7B74" w:rsidP="002F7B7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2A5B755" w14:textId="77777777" w:rsidR="002F7B74" w:rsidRPr="00230F35" w:rsidRDefault="002F7B74" w:rsidP="002F7B74">
      <w:pPr>
        <w:rPr>
          <w:rFonts w:ascii="Arial" w:hAnsi="Arial" w:cs="Arial"/>
          <w:sz w:val="28"/>
          <w:szCs w:val="28"/>
          <w:lang w:val="cy-GB"/>
        </w:rPr>
      </w:pPr>
    </w:p>
    <w:p w14:paraId="5A771C0F" w14:textId="77777777" w:rsidR="002F7B74" w:rsidRDefault="002F7B74" w:rsidP="002F7B74">
      <w:pPr>
        <w:pStyle w:val="Heading3"/>
        <w:jc w:val="center"/>
        <w:rPr>
          <w:lang w:val="cy-GB"/>
        </w:rPr>
      </w:pPr>
      <w:r>
        <w:rPr>
          <w:lang w:val="cy-GB"/>
        </w:rPr>
        <w:t>THIS SHEET MUST BE THE FIRST PAGE OF THE ASSIGNMENT YOU ARE SUBMITTING  (DO NOT SEND AS A SEPARATE FILE)</w:t>
      </w:r>
    </w:p>
    <w:p w14:paraId="267C3FBF" w14:textId="77777777" w:rsidR="002F7B74" w:rsidRDefault="002F7B74" w:rsidP="002F7B7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61"/>
        <w:gridCol w:w="414"/>
        <w:gridCol w:w="1491"/>
        <w:gridCol w:w="275"/>
        <w:gridCol w:w="1775"/>
      </w:tblGrid>
      <w:tr w:rsidR="002F7B74" w:rsidRPr="00230F35" w14:paraId="1069FA12" w14:textId="77777777" w:rsidTr="00A3262D">
        <w:trPr>
          <w:trHeight w:val="614"/>
        </w:trPr>
        <w:tc>
          <w:tcPr>
            <w:tcW w:w="8856" w:type="dxa"/>
            <w:gridSpan w:val="5"/>
          </w:tcPr>
          <w:p w14:paraId="07A64321" w14:textId="77777777"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B74" w:rsidRPr="00230F35" w14:paraId="49B4610B" w14:textId="77777777" w:rsidTr="00A3262D">
        <w:trPr>
          <w:trHeight w:val="718"/>
        </w:trPr>
        <w:tc>
          <w:tcPr>
            <w:tcW w:w="8856" w:type="dxa"/>
            <w:gridSpan w:val="5"/>
          </w:tcPr>
          <w:p w14:paraId="4CAB370A" w14:textId="4BF846E8" w:rsidR="002F7B74"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Hedy Mowinckel </w:t>
            </w:r>
          </w:p>
          <w:p w14:paraId="5F6B64CE" w14:textId="77777777" w:rsidR="002F7B74" w:rsidRPr="00230F35" w:rsidRDefault="002F7B74" w:rsidP="00A3262D">
            <w:pPr>
              <w:pStyle w:val="NormalWeb"/>
              <w:spacing w:before="0" w:beforeAutospacing="0" w:after="0" w:afterAutospacing="0"/>
              <w:ind w:right="34"/>
              <w:rPr>
                <w:rFonts w:ascii="Arial" w:hAnsi="Arial" w:cs="Arial"/>
                <w:sz w:val="22"/>
                <w:szCs w:val="22"/>
              </w:rPr>
            </w:pPr>
          </w:p>
          <w:p w14:paraId="36071B70" w14:textId="573F65AB"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2015812@student.uwtsd.ac.uk</w:t>
            </w:r>
          </w:p>
        </w:tc>
      </w:tr>
      <w:tr w:rsidR="002F7B74" w:rsidRPr="00230F35" w14:paraId="12CB3315" w14:textId="77777777" w:rsidTr="00A3262D">
        <w:trPr>
          <w:trHeight w:val="849"/>
        </w:trPr>
        <w:tc>
          <w:tcPr>
            <w:tcW w:w="4788" w:type="dxa"/>
          </w:tcPr>
          <w:p w14:paraId="27FBB62B" w14:textId="0BF6804C"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7E885AEC" w14:textId="77777777" w:rsidR="002F7B74" w:rsidRPr="00230F35" w:rsidRDefault="002F7B74" w:rsidP="00A3262D">
            <w:pPr>
              <w:pStyle w:val="NormalWeb"/>
              <w:spacing w:before="0" w:beforeAutospacing="0" w:after="0" w:afterAutospacing="0"/>
              <w:ind w:right="34"/>
              <w:rPr>
                <w:rFonts w:ascii="Arial" w:hAnsi="Arial" w:cs="Arial"/>
                <w:sz w:val="22"/>
                <w:szCs w:val="22"/>
              </w:rPr>
            </w:pPr>
          </w:p>
          <w:p w14:paraId="5014FEA1" w14:textId="694D583F" w:rsidR="002F7B74"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 </w:t>
            </w:r>
          </w:p>
          <w:p w14:paraId="507939BC" w14:textId="77777777" w:rsidR="002F7B74" w:rsidRDefault="002F7B74" w:rsidP="00A3262D">
            <w:pPr>
              <w:pStyle w:val="NormalWeb"/>
              <w:spacing w:before="0" w:beforeAutospacing="0" w:after="0" w:afterAutospacing="0"/>
              <w:ind w:right="34"/>
              <w:rPr>
                <w:rFonts w:ascii="Arial" w:hAnsi="Arial" w:cs="Arial"/>
                <w:sz w:val="22"/>
                <w:szCs w:val="22"/>
              </w:rPr>
            </w:pPr>
          </w:p>
          <w:p w14:paraId="55A8B391" w14:textId="77777777" w:rsidR="002F7B74" w:rsidRPr="00230F35" w:rsidRDefault="002F7B74" w:rsidP="00A3262D">
            <w:pPr>
              <w:pStyle w:val="NormalWeb"/>
              <w:spacing w:before="0" w:beforeAutospacing="0" w:after="0" w:afterAutospacing="0"/>
              <w:ind w:right="34"/>
              <w:rPr>
                <w:rFonts w:ascii="Arial" w:hAnsi="Arial" w:cs="Arial"/>
                <w:sz w:val="22"/>
                <w:szCs w:val="22"/>
              </w:rPr>
            </w:pPr>
          </w:p>
        </w:tc>
        <w:tc>
          <w:tcPr>
            <w:tcW w:w="2266" w:type="dxa"/>
            <w:gridSpan w:val="3"/>
          </w:tcPr>
          <w:p w14:paraId="43FDAC73" w14:textId="5B10C7A7"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2015812</w:t>
            </w:r>
          </w:p>
        </w:tc>
        <w:tc>
          <w:tcPr>
            <w:tcW w:w="1802" w:type="dxa"/>
          </w:tcPr>
          <w:p w14:paraId="75CD8B65" w14:textId="77777777"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96996CD" w14:textId="4AFA5CC2"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F7B74" w:rsidRPr="00230F35" w14:paraId="030E13A9" w14:textId="77777777" w:rsidTr="00A3262D">
        <w:trPr>
          <w:trHeight w:val="1139"/>
        </w:trPr>
        <w:tc>
          <w:tcPr>
            <w:tcW w:w="8856" w:type="dxa"/>
            <w:gridSpan w:val="5"/>
          </w:tcPr>
          <w:p w14:paraId="187362BB" w14:textId="76C08349"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14:paraId="1D9F58F5" w14:textId="77777777" w:rsidR="002F7B74" w:rsidRPr="00230F35" w:rsidRDefault="002F7B74" w:rsidP="00A3262D">
            <w:pPr>
              <w:pStyle w:val="NormalWeb"/>
              <w:spacing w:before="0" w:beforeAutospacing="0" w:after="0" w:afterAutospacing="0"/>
              <w:ind w:right="34"/>
              <w:rPr>
                <w:rFonts w:ascii="Arial" w:hAnsi="Arial" w:cs="Arial"/>
                <w:sz w:val="22"/>
                <w:szCs w:val="22"/>
              </w:rPr>
            </w:pPr>
          </w:p>
          <w:p w14:paraId="05246B40" w14:textId="77777777" w:rsidR="002F7B74" w:rsidRDefault="002F7B74" w:rsidP="00A3262D">
            <w:pPr>
              <w:pStyle w:val="NormalWeb"/>
              <w:spacing w:before="0" w:beforeAutospacing="0" w:after="0" w:afterAutospacing="0"/>
              <w:ind w:right="34"/>
              <w:rPr>
                <w:rFonts w:ascii="Arial" w:hAnsi="Arial" w:cs="Arial"/>
                <w:sz w:val="22"/>
                <w:szCs w:val="22"/>
              </w:rPr>
            </w:pPr>
          </w:p>
          <w:p w14:paraId="61332B39" w14:textId="3BF1EC13"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2F7B74">
              <w:rPr>
                <w:rFonts w:ascii="Arial" w:hAnsi="Arial" w:cs="Arial"/>
                <w:sz w:val="22"/>
                <w:szCs w:val="22"/>
                <w:vertAlign w:val="superscript"/>
              </w:rPr>
              <w:t>th</w:t>
            </w:r>
            <w:r>
              <w:rPr>
                <w:rFonts w:ascii="Arial" w:hAnsi="Arial" w:cs="Arial"/>
                <w:sz w:val="22"/>
                <w:szCs w:val="22"/>
              </w:rPr>
              <w:t xml:space="preserve"> march 2023 </w:t>
            </w:r>
          </w:p>
        </w:tc>
      </w:tr>
      <w:tr w:rsidR="002F7B74" w:rsidRPr="00230F35" w14:paraId="130AA04B" w14:textId="77777777" w:rsidTr="00A3262D">
        <w:trPr>
          <w:trHeight w:val="978"/>
        </w:trPr>
        <w:tc>
          <w:tcPr>
            <w:tcW w:w="8856" w:type="dxa"/>
            <w:gridSpan w:val="5"/>
            <w:tcBorders>
              <w:bottom w:val="single" w:sz="4" w:space="0" w:color="000000"/>
            </w:tcBorders>
          </w:tcPr>
          <w:p w14:paraId="4E14E7BA" w14:textId="5AB8CFDD" w:rsidR="002F7B74" w:rsidRPr="00230F35" w:rsidRDefault="002F7B74" w:rsidP="00741D17">
            <w:pPr>
              <w:rPr>
                <w:rFonts w:ascii="Arial" w:hAnsi="Arial" w:cs="Arial"/>
                <w:sz w:val="22"/>
                <w:szCs w:val="22"/>
              </w:rPr>
            </w:pPr>
            <w:proofErr w:type="spellStart"/>
            <w:r w:rsidRPr="00230F35">
              <w:rPr>
                <w:rFonts w:ascii="Arial" w:hAnsi="Arial" w:cs="Arial"/>
                <w:sz w:val="22"/>
                <w:szCs w:val="22"/>
              </w:rPr>
              <w:t>This</w:t>
            </w:r>
            <w:proofErr w:type="spellEnd"/>
            <w:r w:rsidRPr="00230F35">
              <w:rPr>
                <w:rFonts w:ascii="Arial" w:hAnsi="Arial" w:cs="Arial"/>
                <w:sz w:val="22"/>
                <w:szCs w:val="22"/>
              </w:rPr>
              <w:t xml:space="preserve"> </w:t>
            </w: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is</w:t>
            </w:r>
            <w:proofErr w:type="spellEnd"/>
            <w:r w:rsidRPr="00230F35">
              <w:rPr>
                <w:rFonts w:ascii="Arial" w:hAnsi="Arial" w:cs="Arial"/>
                <w:sz w:val="22"/>
                <w:szCs w:val="22"/>
              </w:rPr>
              <w:t xml:space="preserve"> for the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0"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w:t>
            </w:r>
            <w:bookmarkStart w:id="1" w:name="_GoBack"/>
            <w:bookmarkEnd w:id="1"/>
            <w:proofErr w:type="spellStart"/>
            <w:r w:rsidRPr="00230F35">
              <w:rPr>
                <w:rFonts w:ascii="Arial" w:hAnsi="Arial" w:cs="Arial"/>
                <w:sz w:val="22"/>
                <w:szCs w:val="22"/>
              </w:rPr>
              <w:t>module</w:t>
            </w:r>
            <w:proofErr w:type="spellEnd"/>
            <w:r w:rsidRPr="00230F35">
              <w:rPr>
                <w:rFonts w:ascii="Arial" w:hAnsi="Arial" w:cs="Arial"/>
                <w:sz w:val="22"/>
                <w:szCs w:val="22"/>
              </w:rPr>
              <w:t xml:space="preserve"> of the </w:t>
            </w:r>
            <w:proofErr w:type="spellStart"/>
            <w:r w:rsidRPr="00230F35">
              <w:rPr>
                <w:rFonts w:ascii="Arial" w:hAnsi="Arial" w:cs="Arial"/>
                <w:sz w:val="22"/>
                <w:szCs w:val="22"/>
              </w:rPr>
              <w:t>degre</w:t>
            </w:r>
            <w:r>
              <w:rPr>
                <w:rFonts w:ascii="Arial" w:hAnsi="Arial" w:cs="Arial"/>
                <w:sz w:val="22"/>
                <w:szCs w:val="22"/>
              </w:rPr>
              <w:t>e</w:t>
            </w:r>
            <w:proofErr w:type="spellEnd"/>
          </w:p>
        </w:tc>
      </w:tr>
      <w:tr w:rsidR="002F7B74" w:rsidRPr="00230F35" w14:paraId="1C3B2CB7" w14:textId="77777777" w:rsidTr="00A3262D">
        <w:trPr>
          <w:trHeight w:val="978"/>
        </w:trPr>
        <w:tc>
          <w:tcPr>
            <w:tcW w:w="8856" w:type="dxa"/>
            <w:gridSpan w:val="5"/>
            <w:shd w:val="clear" w:color="auto" w:fill="D9D9D9"/>
          </w:tcPr>
          <w:p w14:paraId="19B41FEF" w14:textId="77777777" w:rsidR="002F7B74" w:rsidRPr="00230F35"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E39E0A1" w14:textId="5279919D" w:rsidR="002F7B74" w:rsidRDefault="002F7B74" w:rsidP="00A3262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r>
              <w:rPr>
                <w:rFonts w:ascii="Arial" w:hAnsi="Arial" w:cs="Arial"/>
                <w:sz w:val="22"/>
                <w:szCs w:val="22"/>
              </w:rPr>
              <w:t>hedy</w:t>
            </w:r>
            <w:proofErr w:type="spellEnd"/>
            <w:r>
              <w:rPr>
                <w:rFonts w:ascii="Arial" w:hAnsi="Arial" w:cs="Arial"/>
                <w:sz w:val="22"/>
                <w:szCs w:val="22"/>
              </w:rPr>
              <w:t xml:space="preserve"> </w:t>
            </w:r>
            <w:proofErr w:type="spellStart"/>
            <w:r>
              <w:rPr>
                <w:rFonts w:ascii="Arial" w:hAnsi="Arial" w:cs="Arial"/>
                <w:sz w:val="22"/>
                <w:szCs w:val="22"/>
              </w:rPr>
              <w:t>mowinckel</w:t>
            </w:r>
            <w:proofErr w:type="spellEnd"/>
            <w:r w:rsidRPr="00230F35">
              <w:rPr>
                <w:rFonts w:ascii="Arial" w:hAnsi="Arial" w:cs="Arial"/>
                <w:sz w:val="22"/>
                <w:szCs w:val="22"/>
              </w:rPr>
              <w:t>…………………………</w:t>
            </w:r>
          </w:p>
          <w:p w14:paraId="7D6B3AEE" w14:textId="0CCC2B92" w:rsidR="002F7B74" w:rsidRDefault="002F7B74" w:rsidP="00A3262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proofErr w:type="gramStart"/>
            <w:r w:rsidRPr="005979EE">
              <w:rPr>
                <w:rFonts w:ascii="Calibri" w:hAnsi="Calibri" w:cs="Tahoma"/>
                <w:b/>
                <w:sz w:val="24"/>
                <w:szCs w:val="24"/>
              </w:rPr>
              <w:t>:</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x</w:t>
            </w:r>
          </w:p>
          <w:p w14:paraId="15C0B061" w14:textId="77777777" w:rsidR="002F7B74" w:rsidRPr="00230F35" w:rsidRDefault="002F7B74" w:rsidP="00A3262D">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2F7B74" w:rsidRPr="00230F35" w14:paraId="68498ABA" w14:textId="77777777" w:rsidTr="00A3262D">
        <w:trPr>
          <w:trHeight w:val="3972"/>
        </w:trPr>
        <w:tc>
          <w:tcPr>
            <w:tcW w:w="8856" w:type="dxa"/>
            <w:gridSpan w:val="5"/>
          </w:tcPr>
          <w:p w14:paraId="252F3A27" w14:textId="77777777" w:rsidR="002F7B74" w:rsidRDefault="002F7B74" w:rsidP="00A3262D">
            <w:pPr>
              <w:rPr>
                <w:rFonts w:ascii="Arial" w:hAnsi="Arial"/>
                <w:b/>
              </w:rPr>
            </w:pPr>
          </w:p>
          <w:p w14:paraId="1FD6C38F" w14:textId="77777777" w:rsidR="002F7B74" w:rsidRPr="00116CE6" w:rsidRDefault="002F7B74" w:rsidP="00A3262D">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2F7B74" w:rsidRPr="00116CE6" w14:paraId="1102161F" w14:textId="77777777" w:rsidTr="00A3262D">
              <w:tc>
                <w:tcPr>
                  <w:tcW w:w="6970" w:type="dxa"/>
                </w:tcPr>
                <w:p w14:paraId="0D19132E" w14:textId="77777777" w:rsidR="002F7B74" w:rsidRPr="00116CE6" w:rsidRDefault="002F7B74" w:rsidP="00A3262D">
                  <w:pPr>
                    <w:rPr>
                      <w:rFonts w:ascii="Arial" w:hAnsi="Arial"/>
                      <w:sz w:val="20"/>
                      <w:szCs w:val="20"/>
                    </w:rPr>
                  </w:pPr>
                </w:p>
                <w:p w14:paraId="1601711A" w14:textId="77777777" w:rsidR="002F7B74" w:rsidRPr="00116CE6" w:rsidRDefault="002F7B74" w:rsidP="00A3262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14:paraId="505CBE6C" w14:textId="77777777" w:rsidR="002F7B74" w:rsidRPr="00116CE6" w:rsidRDefault="002F7B74" w:rsidP="00A3262D">
                  <w:pPr>
                    <w:rPr>
                      <w:rFonts w:ascii="Arial" w:hAnsi="Arial"/>
                      <w:sz w:val="20"/>
                      <w:szCs w:val="20"/>
                    </w:rPr>
                  </w:pPr>
                </w:p>
              </w:tc>
            </w:tr>
            <w:tr w:rsidR="002F7B74" w:rsidRPr="00116CE6" w14:paraId="7A0256E4" w14:textId="77777777" w:rsidTr="00A3262D">
              <w:tc>
                <w:tcPr>
                  <w:tcW w:w="6970" w:type="dxa"/>
                </w:tcPr>
                <w:p w14:paraId="1817516C" w14:textId="77777777" w:rsidR="002F7B74" w:rsidRPr="00116CE6" w:rsidRDefault="002F7B74" w:rsidP="00A3262D">
                  <w:pPr>
                    <w:rPr>
                      <w:rFonts w:ascii="Arial" w:hAnsi="Arial"/>
                      <w:sz w:val="20"/>
                      <w:szCs w:val="20"/>
                    </w:rPr>
                  </w:pPr>
                </w:p>
                <w:p w14:paraId="519B4B83" w14:textId="77777777" w:rsidR="002F7B74" w:rsidRPr="00116CE6" w:rsidRDefault="002F7B74" w:rsidP="00A3262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14:paraId="4DACD208" w14:textId="77777777" w:rsidR="002F7B74" w:rsidRPr="00116CE6" w:rsidRDefault="002F7B74" w:rsidP="00A3262D">
                  <w:pPr>
                    <w:rPr>
                      <w:rFonts w:ascii="Arial" w:hAnsi="Arial"/>
                      <w:sz w:val="20"/>
                      <w:szCs w:val="20"/>
                    </w:rPr>
                  </w:pPr>
                </w:p>
              </w:tc>
            </w:tr>
            <w:tr w:rsidR="002F7B74" w:rsidRPr="00116CE6" w14:paraId="59C5A85E" w14:textId="77777777" w:rsidTr="00A3262D">
              <w:tc>
                <w:tcPr>
                  <w:tcW w:w="6970" w:type="dxa"/>
                </w:tcPr>
                <w:p w14:paraId="46CC6ECD" w14:textId="77777777" w:rsidR="002F7B74" w:rsidRPr="00116CE6" w:rsidRDefault="002F7B74" w:rsidP="00A3262D">
                  <w:pPr>
                    <w:rPr>
                      <w:rFonts w:ascii="Arial" w:hAnsi="Arial"/>
                      <w:sz w:val="20"/>
                      <w:szCs w:val="20"/>
                    </w:rPr>
                  </w:pPr>
                </w:p>
                <w:p w14:paraId="2BC37F9F" w14:textId="77777777" w:rsidR="002F7B74" w:rsidRPr="00116CE6" w:rsidRDefault="002F7B74" w:rsidP="00A3262D">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w:t>
                  </w:r>
                  <w:proofErr w:type="spellStart"/>
                  <w:r>
                    <w:rPr>
                      <w:rFonts w:ascii="Arial" w:hAnsi="Arial"/>
                      <w:sz w:val="20"/>
                      <w:szCs w:val="20"/>
                    </w:rPr>
                    <w:t>relevant</w:t>
                  </w:r>
                  <w:proofErr w:type="spellEnd"/>
                  <w:r>
                    <w:rPr>
                      <w:rFonts w:ascii="Arial" w:hAnsi="Arial"/>
                      <w:sz w:val="20"/>
                      <w:szCs w:val="20"/>
                    </w:rPr>
                    <w:t>)</w:t>
                  </w:r>
                </w:p>
              </w:tc>
              <w:tc>
                <w:tcPr>
                  <w:tcW w:w="1660" w:type="dxa"/>
                </w:tcPr>
                <w:p w14:paraId="0603C5BD" w14:textId="77777777" w:rsidR="002F7B74" w:rsidRPr="00116CE6" w:rsidRDefault="002F7B74" w:rsidP="00A3262D">
                  <w:pPr>
                    <w:rPr>
                      <w:rFonts w:ascii="Arial" w:hAnsi="Arial"/>
                      <w:sz w:val="20"/>
                      <w:szCs w:val="20"/>
                    </w:rPr>
                  </w:pPr>
                </w:p>
              </w:tc>
            </w:tr>
            <w:tr w:rsidR="002F7B74" w:rsidRPr="00116CE6" w14:paraId="3CF0B0E4" w14:textId="77777777" w:rsidTr="00A3262D">
              <w:tc>
                <w:tcPr>
                  <w:tcW w:w="6970" w:type="dxa"/>
                </w:tcPr>
                <w:p w14:paraId="0ED90DA5" w14:textId="77777777" w:rsidR="002F7B74" w:rsidRDefault="002F7B74" w:rsidP="00A3262D">
                  <w:pPr>
                    <w:rPr>
                      <w:rFonts w:ascii="Arial" w:hAnsi="Arial"/>
                      <w:sz w:val="20"/>
                      <w:szCs w:val="20"/>
                    </w:rPr>
                  </w:pPr>
                </w:p>
                <w:p w14:paraId="37ED3135" w14:textId="77777777" w:rsidR="002F7B74" w:rsidRPr="00022345" w:rsidRDefault="002F7B74" w:rsidP="00A3262D">
                  <w:pPr>
                    <w:rPr>
                      <w:rFonts w:ascii="Arial" w:hAnsi="Arial"/>
                      <w:b/>
                      <w:sz w:val="20"/>
                      <w:szCs w:val="20"/>
                    </w:rPr>
                  </w:pPr>
                  <w:proofErr w:type="spellStart"/>
                  <w:r w:rsidRPr="00022345">
                    <w:rPr>
                      <w:rFonts w:ascii="Arial" w:hAnsi="Arial"/>
                      <w:b/>
                      <w:sz w:val="20"/>
                      <w:szCs w:val="20"/>
                    </w:rPr>
                    <w:t>Final</w:t>
                  </w:r>
                  <w:proofErr w:type="spellEnd"/>
                  <w:r w:rsidRPr="00022345">
                    <w:rPr>
                      <w:rFonts w:ascii="Arial" w:hAnsi="Arial"/>
                      <w:b/>
                      <w:sz w:val="20"/>
                      <w:szCs w:val="20"/>
                    </w:rPr>
                    <w:t xml:space="preserve"> Mark</w:t>
                  </w:r>
                </w:p>
                <w:p w14:paraId="218595EC" w14:textId="77777777" w:rsidR="002F7B74" w:rsidRPr="00116CE6" w:rsidRDefault="002F7B74" w:rsidP="00A3262D">
                  <w:pPr>
                    <w:rPr>
                      <w:rFonts w:ascii="Arial" w:hAnsi="Arial"/>
                      <w:sz w:val="20"/>
                      <w:szCs w:val="20"/>
                    </w:rPr>
                  </w:pPr>
                </w:p>
              </w:tc>
              <w:tc>
                <w:tcPr>
                  <w:tcW w:w="1660" w:type="dxa"/>
                </w:tcPr>
                <w:p w14:paraId="1CD54625" w14:textId="77777777" w:rsidR="002F7B74" w:rsidRPr="00116CE6" w:rsidRDefault="002F7B74" w:rsidP="00A3262D">
                  <w:pPr>
                    <w:rPr>
                      <w:rFonts w:ascii="Arial" w:hAnsi="Arial"/>
                      <w:sz w:val="20"/>
                      <w:szCs w:val="20"/>
                    </w:rPr>
                  </w:pPr>
                </w:p>
              </w:tc>
            </w:tr>
          </w:tbl>
          <w:p w14:paraId="78BEDE2F" w14:textId="77777777" w:rsidR="002F7B74" w:rsidRDefault="002F7B74" w:rsidP="00A3262D">
            <w:pPr>
              <w:pStyle w:val="NormalWeb"/>
              <w:spacing w:before="0" w:beforeAutospacing="0" w:after="0" w:afterAutospacing="0"/>
              <w:ind w:left="142" w:right="34"/>
              <w:rPr>
                <w:rFonts w:ascii="Arial" w:hAnsi="Arial" w:cs="Arial"/>
                <w:b/>
                <w:sz w:val="22"/>
                <w:szCs w:val="22"/>
              </w:rPr>
            </w:pPr>
          </w:p>
          <w:p w14:paraId="4D5EBC97" w14:textId="77777777" w:rsidR="002F7B74" w:rsidRPr="00230F35" w:rsidRDefault="002F7B74" w:rsidP="00A3262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675CF16" w14:textId="77777777" w:rsidR="002F7B74" w:rsidRDefault="002F7B74" w:rsidP="00A3262D">
            <w:pPr>
              <w:pStyle w:val="NormalWeb"/>
              <w:spacing w:before="0" w:beforeAutospacing="0" w:after="0" w:afterAutospacing="0"/>
              <w:rPr>
                <w:rFonts w:ascii="Arial" w:hAnsi="Arial" w:cs="Arial"/>
                <w:b/>
                <w:sz w:val="22"/>
                <w:szCs w:val="22"/>
              </w:rPr>
            </w:pPr>
          </w:p>
          <w:p w14:paraId="30965DDA" w14:textId="77777777" w:rsidR="002F7B74" w:rsidRDefault="002F7B74" w:rsidP="00A3262D">
            <w:pPr>
              <w:pStyle w:val="NormalWeb"/>
              <w:spacing w:before="0" w:beforeAutospacing="0" w:after="0" w:afterAutospacing="0"/>
              <w:rPr>
                <w:rFonts w:ascii="Arial" w:hAnsi="Arial" w:cs="Arial"/>
                <w:b/>
                <w:sz w:val="22"/>
                <w:szCs w:val="22"/>
              </w:rPr>
            </w:pPr>
          </w:p>
          <w:p w14:paraId="139B4C64" w14:textId="77777777" w:rsidR="002F7B74" w:rsidRDefault="002F7B74" w:rsidP="00A3262D">
            <w:pPr>
              <w:pStyle w:val="NormalWeb"/>
              <w:spacing w:before="0" w:beforeAutospacing="0" w:after="0" w:afterAutospacing="0"/>
              <w:rPr>
                <w:rFonts w:ascii="Arial" w:hAnsi="Arial" w:cs="Arial"/>
                <w:b/>
                <w:sz w:val="22"/>
                <w:szCs w:val="22"/>
              </w:rPr>
            </w:pPr>
          </w:p>
          <w:p w14:paraId="47CE43C9" w14:textId="77777777" w:rsidR="002F7B74" w:rsidRDefault="002F7B74" w:rsidP="00A3262D">
            <w:pPr>
              <w:pStyle w:val="NormalWeb"/>
              <w:spacing w:before="0" w:beforeAutospacing="0" w:after="0" w:afterAutospacing="0"/>
              <w:rPr>
                <w:rFonts w:ascii="Arial" w:hAnsi="Arial" w:cs="Arial"/>
                <w:b/>
                <w:sz w:val="22"/>
                <w:szCs w:val="22"/>
              </w:rPr>
            </w:pPr>
          </w:p>
          <w:p w14:paraId="4F0B5D58" w14:textId="77777777" w:rsidR="002F7B74" w:rsidRDefault="002F7B74" w:rsidP="00A3262D">
            <w:pPr>
              <w:pStyle w:val="NormalWeb"/>
              <w:spacing w:before="0" w:beforeAutospacing="0" w:after="0" w:afterAutospacing="0"/>
              <w:rPr>
                <w:rFonts w:ascii="Arial" w:hAnsi="Arial" w:cs="Arial"/>
                <w:b/>
                <w:sz w:val="22"/>
                <w:szCs w:val="22"/>
              </w:rPr>
            </w:pPr>
          </w:p>
          <w:p w14:paraId="0208E552" w14:textId="77777777" w:rsidR="002F7B74" w:rsidRPr="00230F35" w:rsidRDefault="002F7B74" w:rsidP="00A3262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A5220EE" w14:textId="77777777" w:rsidR="002F7B74" w:rsidRDefault="002F7B74" w:rsidP="00A3262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BC60F66" w14:textId="77777777" w:rsidR="002F7B74" w:rsidRPr="00001C3B" w:rsidRDefault="002F7B74" w:rsidP="00A3262D">
            <w:pPr>
              <w:pStyle w:val="NormalWeb"/>
              <w:rPr>
                <w:rFonts w:ascii="Arial" w:hAnsi="Arial" w:cs="Arial"/>
                <w:sz w:val="22"/>
                <w:szCs w:val="22"/>
              </w:rPr>
            </w:pPr>
          </w:p>
        </w:tc>
      </w:tr>
      <w:tr w:rsidR="002F7B74" w:rsidRPr="00230F35" w14:paraId="390C62DD" w14:textId="77777777" w:rsidTr="00A3262D">
        <w:trPr>
          <w:trHeight w:val="492"/>
        </w:trPr>
        <w:tc>
          <w:tcPr>
            <w:tcW w:w="6768" w:type="dxa"/>
            <w:gridSpan w:val="3"/>
          </w:tcPr>
          <w:p w14:paraId="685BF721" w14:textId="77777777" w:rsidR="002F7B74" w:rsidRPr="00230F35" w:rsidRDefault="002F7B74" w:rsidP="00A3262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B24ACF8" w14:textId="77777777" w:rsidR="002F7B74" w:rsidRPr="00230F35" w:rsidRDefault="002F7B74" w:rsidP="00A3262D">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B74" w:rsidRPr="002F467C" w14:paraId="7A680835" w14:textId="77777777" w:rsidTr="00A3262D">
        <w:tc>
          <w:tcPr>
            <w:tcW w:w="8856" w:type="dxa"/>
            <w:gridSpan w:val="5"/>
          </w:tcPr>
          <w:p w14:paraId="2B3977AD" w14:textId="77777777" w:rsidR="002F7B74" w:rsidRPr="00230F35" w:rsidRDefault="002F7B74" w:rsidP="00A3262D">
            <w:pPr>
              <w:pStyle w:val="NormalWeb"/>
              <w:spacing w:before="0" w:beforeAutospacing="0" w:after="0" w:afterAutospacing="0"/>
              <w:ind w:right="-334"/>
              <w:rPr>
                <w:rFonts w:ascii="Arial" w:hAnsi="Arial" w:cs="Arial"/>
                <w:bCs/>
                <w:i/>
                <w:sz w:val="22"/>
                <w:szCs w:val="22"/>
              </w:rPr>
            </w:pPr>
          </w:p>
          <w:p w14:paraId="56B0F4F3" w14:textId="77777777" w:rsidR="002F7B74" w:rsidRPr="00230F35" w:rsidRDefault="002F7B74" w:rsidP="00A3262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DB1E498" w14:textId="77777777" w:rsidR="002F7B74" w:rsidRPr="00230F35" w:rsidRDefault="002F7B74" w:rsidP="00A3262D">
            <w:pPr>
              <w:pStyle w:val="NormalWeb"/>
              <w:spacing w:before="0" w:beforeAutospacing="0" w:after="0" w:afterAutospacing="0"/>
              <w:ind w:right="-334"/>
              <w:rPr>
                <w:rFonts w:ascii="Arial" w:hAnsi="Arial" w:cs="Arial"/>
                <w:b/>
                <w:bCs/>
                <w:sz w:val="22"/>
                <w:szCs w:val="22"/>
              </w:rPr>
            </w:pPr>
          </w:p>
          <w:p w14:paraId="0C9B7EA7"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4568191"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45B57AA8"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5E2F56D8"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5923982D"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4591CBEA"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0548BA7C"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5226DECB"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383DF0FB"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3B52A1DA" w14:textId="77777777" w:rsidR="002F7B74" w:rsidRDefault="002F7B74" w:rsidP="00A3262D">
            <w:pPr>
              <w:pStyle w:val="NormalWeb"/>
              <w:spacing w:before="0" w:beforeAutospacing="0" w:after="0" w:afterAutospacing="0"/>
              <w:ind w:right="-334"/>
              <w:rPr>
                <w:rFonts w:ascii="Arial" w:hAnsi="Arial" w:cs="Arial"/>
                <w:bCs/>
                <w:sz w:val="22"/>
                <w:szCs w:val="22"/>
              </w:rPr>
            </w:pPr>
          </w:p>
          <w:p w14:paraId="6C180BC6"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71889420"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1FA790BB"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tc>
      </w:tr>
      <w:tr w:rsidR="002F7B74" w:rsidRPr="002F467C" w14:paraId="7A5B2F25" w14:textId="77777777" w:rsidTr="00A3262D">
        <w:trPr>
          <w:trHeight w:val="720"/>
        </w:trPr>
        <w:tc>
          <w:tcPr>
            <w:tcW w:w="5211" w:type="dxa"/>
            <w:gridSpan w:val="2"/>
          </w:tcPr>
          <w:p w14:paraId="040FD4E4"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E66D736"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B74" w:rsidRPr="002F467C" w14:paraId="7034ADC7" w14:textId="77777777" w:rsidTr="00A3262D">
        <w:trPr>
          <w:trHeight w:val="720"/>
        </w:trPr>
        <w:tc>
          <w:tcPr>
            <w:tcW w:w="8856" w:type="dxa"/>
            <w:gridSpan w:val="5"/>
          </w:tcPr>
          <w:p w14:paraId="172C9A73" w14:textId="77777777" w:rsidR="002F7B74" w:rsidRPr="00B34964" w:rsidRDefault="002F7B74" w:rsidP="00A3262D">
            <w:pPr>
              <w:rPr>
                <w:rFonts w:ascii="Arial" w:hAnsi="Arial" w:cs="Arial"/>
                <w:b/>
                <w:sz w:val="22"/>
                <w:szCs w:val="22"/>
              </w:rPr>
            </w:pPr>
            <w:proofErr w:type="spellStart"/>
            <w:r w:rsidRPr="00B34964">
              <w:rPr>
                <w:rFonts w:ascii="Arial" w:hAnsi="Arial" w:cs="Arial"/>
                <w:b/>
                <w:sz w:val="22"/>
                <w:szCs w:val="22"/>
              </w:rPr>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if</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relevant</w:t>
            </w:r>
            <w:proofErr w:type="spellEnd"/>
            <w:r w:rsidRPr="00B34964">
              <w:rPr>
                <w:rFonts w:ascii="Arial" w:hAnsi="Arial" w:cs="Arial"/>
                <w:b/>
                <w:sz w:val="22"/>
                <w:szCs w:val="22"/>
              </w:rPr>
              <w:t>)</w:t>
            </w:r>
          </w:p>
          <w:p w14:paraId="252DF8EF"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6FB3A36A"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59911B5B"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2ED36A05"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7F97143C"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61F03A81"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580158AE"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46B3E1AE"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7DE59B36" w14:textId="77777777" w:rsidR="002F7B74" w:rsidRDefault="002F7B74" w:rsidP="00A3262D">
            <w:pPr>
              <w:pStyle w:val="NormalWeb"/>
              <w:spacing w:before="0" w:beforeAutospacing="0" w:after="0" w:afterAutospacing="0"/>
              <w:ind w:right="-334"/>
              <w:rPr>
                <w:rFonts w:ascii="Arial" w:hAnsi="Arial" w:cs="Arial"/>
                <w:bCs/>
                <w:sz w:val="22"/>
                <w:szCs w:val="22"/>
              </w:rPr>
            </w:pPr>
          </w:p>
          <w:p w14:paraId="6C806000"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p w14:paraId="13EFC3BC" w14:textId="77777777" w:rsidR="002F7B74" w:rsidRPr="00230F35" w:rsidRDefault="002F7B74" w:rsidP="00A3262D">
            <w:pPr>
              <w:pStyle w:val="NormalWeb"/>
              <w:spacing w:before="0" w:beforeAutospacing="0" w:after="0" w:afterAutospacing="0"/>
              <w:ind w:right="-334"/>
              <w:rPr>
                <w:rFonts w:ascii="Arial" w:hAnsi="Arial" w:cs="Arial"/>
                <w:bCs/>
                <w:sz w:val="22"/>
                <w:szCs w:val="22"/>
              </w:rPr>
            </w:pPr>
          </w:p>
        </w:tc>
      </w:tr>
      <w:tr w:rsidR="002F7B74" w:rsidRPr="002F467C" w14:paraId="1771A4E1" w14:textId="77777777" w:rsidTr="00A3262D">
        <w:trPr>
          <w:trHeight w:val="720"/>
        </w:trPr>
        <w:tc>
          <w:tcPr>
            <w:tcW w:w="5211" w:type="dxa"/>
            <w:gridSpan w:val="2"/>
          </w:tcPr>
          <w:p w14:paraId="2FFBAB1F" w14:textId="77777777" w:rsidR="002F7B74" w:rsidRPr="00230F35" w:rsidRDefault="002F7B74" w:rsidP="00A3262D">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64E0999A" w14:textId="77777777" w:rsidR="002F7B74" w:rsidRPr="00230F35" w:rsidRDefault="002F7B74" w:rsidP="00A3262D">
            <w:pPr>
              <w:rPr>
                <w:rFonts w:ascii="Arial" w:hAnsi="Arial" w:cs="Arial"/>
                <w:sz w:val="22"/>
                <w:szCs w:val="22"/>
              </w:rPr>
            </w:pPr>
            <w:r w:rsidRPr="00230F35">
              <w:rPr>
                <w:rFonts w:ascii="Arial" w:hAnsi="Arial" w:cs="Arial"/>
                <w:sz w:val="22"/>
                <w:szCs w:val="22"/>
              </w:rPr>
              <w:t>Date:</w:t>
            </w:r>
          </w:p>
        </w:tc>
      </w:tr>
    </w:tbl>
    <w:p w14:paraId="7DCF0FD8" w14:textId="77777777" w:rsidR="002F7B74" w:rsidRPr="00D67BF8" w:rsidRDefault="002F7B74" w:rsidP="002F7B74">
      <w:pPr>
        <w:pStyle w:val="NormalWeb"/>
        <w:spacing w:before="0" w:beforeAutospacing="0" w:after="0" w:afterAutospacing="0"/>
        <w:ind w:right="-334"/>
        <w:rPr>
          <w:rFonts w:ascii="Trebuchet MS" w:hAnsi="Trebuchet MS" w:cs="Tahoma"/>
          <w:bCs/>
          <w:sz w:val="24"/>
          <w:szCs w:val="24"/>
        </w:rPr>
      </w:pPr>
    </w:p>
    <w:p w14:paraId="4F3EED76" w14:textId="4F31B863" w:rsidR="00E12353" w:rsidRPr="00006503" w:rsidRDefault="00E12353" w:rsidP="00801B70">
      <w:pPr>
        <w:jc w:val="both"/>
        <w:rPr>
          <w:i/>
          <w:lang w:val="en-GB"/>
        </w:rPr>
      </w:pPr>
      <w:r>
        <w:rPr>
          <w:lang w:val="en-GB"/>
        </w:rPr>
        <w:t xml:space="preserve">This paper will compare and contrast </w:t>
      </w:r>
      <w:r w:rsidR="00EE2A24">
        <w:rPr>
          <w:lang w:val="en-GB"/>
        </w:rPr>
        <w:t xml:space="preserve">Gillian Bennett’s </w:t>
      </w:r>
      <w:r w:rsidR="000657A7">
        <w:rPr>
          <w:lang w:val="en-GB"/>
        </w:rPr>
        <w:t>essay ‘If I knew you were coming I’d have baked a cake: The Folklore of Forekn</w:t>
      </w:r>
      <w:r w:rsidR="00682FCF">
        <w:rPr>
          <w:lang w:val="en-GB"/>
        </w:rPr>
        <w:t xml:space="preserve">owledge in a </w:t>
      </w:r>
      <w:proofErr w:type="spellStart"/>
      <w:r w:rsidR="00682FCF">
        <w:rPr>
          <w:lang w:val="en-GB"/>
        </w:rPr>
        <w:t>Neighborhood</w:t>
      </w:r>
      <w:proofErr w:type="spellEnd"/>
      <w:r w:rsidR="00682FCF">
        <w:rPr>
          <w:lang w:val="en-GB"/>
        </w:rPr>
        <w:t xml:space="preserve"> Group</w:t>
      </w:r>
      <w:r w:rsidR="000657A7">
        <w:rPr>
          <w:lang w:val="en-GB"/>
        </w:rPr>
        <w:t>’</w:t>
      </w:r>
      <w:r w:rsidR="00682FCF">
        <w:rPr>
          <w:lang w:val="en-GB"/>
        </w:rPr>
        <w:t xml:space="preserve"> in Out of the Ordinary by Barbara Walker published by </w:t>
      </w:r>
      <w:r w:rsidR="00836EDE">
        <w:rPr>
          <w:lang w:val="en-GB"/>
        </w:rPr>
        <w:t>Utah State University Press</w:t>
      </w:r>
      <w:r w:rsidR="00006503">
        <w:rPr>
          <w:lang w:val="en-GB"/>
        </w:rPr>
        <w:t xml:space="preserve"> in 1995</w:t>
      </w:r>
      <w:r w:rsidR="00836EDE">
        <w:rPr>
          <w:lang w:val="en-GB"/>
        </w:rPr>
        <w:t xml:space="preserve"> and </w:t>
      </w:r>
      <w:r w:rsidR="00EE2A24">
        <w:rPr>
          <w:lang w:val="en-GB"/>
        </w:rPr>
        <w:t xml:space="preserve">T.L Brink’s </w:t>
      </w:r>
      <w:r w:rsidR="00752632">
        <w:rPr>
          <w:lang w:val="en-GB"/>
        </w:rPr>
        <w:t>study</w:t>
      </w:r>
      <w:r w:rsidR="00EE2A24">
        <w:rPr>
          <w:lang w:val="en-GB"/>
        </w:rPr>
        <w:t xml:space="preserve"> </w:t>
      </w:r>
      <w:r w:rsidR="00752632">
        <w:rPr>
          <w:lang w:val="en-GB"/>
        </w:rPr>
        <w:t>‘</w:t>
      </w:r>
      <w:r w:rsidR="00EE2A24" w:rsidRPr="00752632">
        <w:rPr>
          <w:lang w:val="en-GB"/>
        </w:rPr>
        <w:t>The Inconsistency of Belief among Roman Catholic Girls: Concerning Rel</w:t>
      </w:r>
      <w:r w:rsidR="00752632">
        <w:rPr>
          <w:lang w:val="en-GB"/>
        </w:rPr>
        <w:t>igion, Astrology, Reincarnation,</w:t>
      </w:r>
      <w:r w:rsidR="00752632" w:rsidRPr="00752632">
        <w:rPr>
          <w:lang w:val="en-GB"/>
        </w:rPr>
        <w:t>’</w:t>
      </w:r>
      <w:r w:rsidR="00752632">
        <w:rPr>
          <w:lang w:val="en-GB"/>
        </w:rPr>
        <w:t xml:space="preserve"> </w:t>
      </w:r>
      <w:r w:rsidR="00EB3E7A">
        <w:rPr>
          <w:lang w:val="en-GB"/>
        </w:rPr>
        <w:t>pub</w:t>
      </w:r>
      <w:r w:rsidR="00006503">
        <w:rPr>
          <w:lang w:val="en-GB"/>
        </w:rPr>
        <w:t xml:space="preserve">lished in </w:t>
      </w:r>
      <w:r w:rsidR="00006503" w:rsidRPr="00CE1A29">
        <w:rPr>
          <w:i/>
          <w:lang w:val="en-GB"/>
        </w:rPr>
        <w:t>Review of Religious Research</w:t>
      </w:r>
      <w:r w:rsidR="00006503">
        <w:rPr>
          <w:lang w:val="en-GB"/>
        </w:rPr>
        <w:t xml:space="preserve"> in 1978. </w:t>
      </w:r>
    </w:p>
    <w:p w14:paraId="2A633505" w14:textId="77777777" w:rsidR="00B21DE9" w:rsidRDefault="00B21DE9" w:rsidP="00801B70">
      <w:pPr>
        <w:jc w:val="both"/>
        <w:rPr>
          <w:i/>
          <w:lang w:val="en-GB"/>
        </w:rPr>
      </w:pPr>
    </w:p>
    <w:p w14:paraId="0088221C" w14:textId="52734965" w:rsidR="00B21DE9" w:rsidRDefault="001E2066" w:rsidP="00B21DE9">
      <w:pPr>
        <w:jc w:val="both"/>
        <w:rPr>
          <w:b/>
          <w:u w:val="single"/>
          <w:lang w:val="en-GB"/>
        </w:rPr>
      </w:pPr>
      <w:r>
        <w:rPr>
          <w:b/>
          <w:u w:val="single"/>
          <w:lang w:val="en-GB"/>
        </w:rPr>
        <w:t>Context</w:t>
      </w:r>
    </w:p>
    <w:p w14:paraId="55A2F935" w14:textId="47BB4146" w:rsidR="00777CC3" w:rsidRDefault="00B21DE9" w:rsidP="00777CC3">
      <w:pPr>
        <w:jc w:val="both"/>
        <w:rPr>
          <w:lang w:val="en-GB"/>
        </w:rPr>
      </w:pPr>
      <w:r>
        <w:rPr>
          <w:lang w:val="en-GB"/>
        </w:rPr>
        <w:t xml:space="preserve">The website of </w:t>
      </w:r>
      <w:proofErr w:type="spellStart"/>
      <w:r>
        <w:rPr>
          <w:lang w:val="en-GB"/>
        </w:rPr>
        <w:t>Amberley</w:t>
      </w:r>
      <w:proofErr w:type="spellEnd"/>
      <w:r>
        <w:rPr>
          <w:lang w:val="en-GB"/>
        </w:rPr>
        <w:t xml:space="preserve"> Books publishing house describes Gillian Bennett as “a leading</w:t>
      </w:r>
      <w:r w:rsidR="00182712">
        <w:rPr>
          <w:lang w:val="en-GB"/>
        </w:rPr>
        <w:t xml:space="preserve"> member of the Folklore Society</w:t>
      </w:r>
      <w:r>
        <w:rPr>
          <w:lang w:val="en-GB"/>
        </w:rPr>
        <w:t>.”</w:t>
      </w:r>
      <w:r w:rsidR="00176790">
        <w:rPr>
          <w:rStyle w:val="FootnoteReference"/>
          <w:lang w:val="en-GB"/>
        </w:rPr>
        <w:footnoteReference w:id="1"/>
      </w:r>
      <w:r>
        <w:rPr>
          <w:lang w:val="en-GB"/>
        </w:rPr>
        <w:t xml:space="preserve"> We are told that she lectured in English Literature for sixteen years before turning her attention to folklore and oral narrative in 1980.</w:t>
      </w:r>
      <w:r>
        <w:rPr>
          <w:rStyle w:val="FootnoteReference"/>
          <w:lang w:val="en-GB"/>
        </w:rPr>
        <w:footnoteReference w:id="2"/>
      </w:r>
      <w:r>
        <w:rPr>
          <w:lang w:val="en-GB"/>
        </w:rPr>
        <w:t xml:space="preserve"> This information is relevant as throughout the paper Bennett </w:t>
      </w:r>
      <w:r w:rsidR="006F0DA0">
        <w:rPr>
          <w:lang w:val="en-GB"/>
        </w:rPr>
        <w:t>focuses</w:t>
      </w:r>
      <w:r>
        <w:rPr>
          <w:lang w:val="en-GB"/>
        </w:rPr>
        <w:t xml:space="preserve"> on </w:t>
      </w:r>
      <w:r w:rsidR="0031169B">
        <w:rPr>
          <w:lang w:val="en-GB"/>
        </w:rPr>
        <w:t>the</w:t>
      </w:r>
      <w:r>
        <w:rPr>
          <w:lang w:val="en-GB"/>
        </w:rPr>
        <w:t xml:space="preserve"> </w:t>
      </w:r>
      <w:r w:rsidR="008D4736">
        <w:rPr>
          <w:lang w:val="en-GB"/>
        </w:rPr>
        <w:t>informants</w:t>
      </w:r>
      <w:r w:rsidR="006F0DA0">
        <w:rPr>
          <w:lang w:val="en-GB"/>
        </w:rPr>
        <w:t>’</w:t>
      </w:r>
      <w:r>
        <w:rPr>
          <w:lang w:val="en-GB"/>
        </w:rPr>
        <w:t xml:space="preserve"> choice of words as if to make data of their language.  </w:t>
      </w:r>
      <w:r w:rsidR="008D4736">
        <w:rPr>
          <w:lang w:val="en-GB"/>
        </w:rPr>
        <w:t>Bennett’s</w:t>
      </w:r>
      <w:r>
        <w:rPr>
          <w:lang w:val="en-GB"/>
        </w:rPr>
        <w:t xml:space="preserve"> paper was published in 1995 in “Out of the Ordinary: Folklore and the Supernatural” </w:t>
      </w:r>
      <w:r w:rsidR="00713BB3">
        <w:rPr>
          <w:lang w:val="en-GB"/>
        </w:rPr>
        <w:t>a compilation of essays</w:t>
      </w:r>
      <w:r w:rsidR="0031169B">
        <w:rPr>
          <w:lang w:val="en-GB"/>
        </w:rPr>
        <w:t xml:space="preserve"> </w:t>
      </w:r>
      <w:r w:rsidR="00713BB3">
        <w:rPr>
          <w:lang w:val="en-GB"/>
        </w:rPr>
        <w:t xml:space="preserve">on the supernatural after a conference took place at </w:t>
      </w:r>
      <w:r w:rsidR="007467D7">
        <w:rPr>
          <w:lang w:val="en-GB"/>
        </w:rPr>
        <w:t xml:space="preserve">Utah State University in 1991. </w:t>
      </w:r>
      <w:r w:rsidR="00F87D8F">
        <w:rPr>
          <w:lang w:val="en-GB"/>
        </w:rPr>
        <w:t>In her introduction, Walker writes about the term ‘supernatural’ and how “</w:t>
      </w:r>
      <w:r w:rsidR="00F87D8F">
        <w:rPr>
          <w:rFonts w:eastAsia="Times New Roman" w:cs="Times New Roman"/>
          <w:lang w:val="en-GB"/>
        </w:rPr>
        <w:t>t</w:t>
      </w:r>
      <w:r w:rsidR="00F87D8F" w:rsidRPr="00F87D8F">
        <w:rPr>
          <w:rFonts w:eastAsia="Times New Roman" w:cs="Times New Roman"/>
          <w:lang w:val="en-GB"/>
        </w:rPr>
        <w:t>he existence of the term itself is a linguistic and cultural acknowledgment t</w:t>
      </w:r>
      <w:r w:rsidR="00F87D8F">
        <w:rPr>
          <w:rFonts w:eastAsia="Times New Roman" w:cs="Times New Roman"/>
          <w:lang w:val="en-GB"/>
        </w:rPr>
        <w:t>hat inexplicable things happen.”</w:t>
      </w:r>
      <w:r w:rsidR="00F87D8F">
        <w:rPr>
          <w:rStyle w:val="FootnoteReference"/>
          <w:rFonts w:eastAsia="Times New Roman" w:cs="Times New Roman"/>
          <w:lang w:val="en-GB"/>
        </w:rPr>
        <w:footnoteReference w:id="3"/>
      </w:r>
      <w:r w:rsidR="00912F8B">
        <w:rPr>
          <w:rFonts w:eastAsia="Times New Roman" w:cs="Times New Roman"/>
          <w:lang w:val="en-GB"/>
        </w:rPr>
        <w:t xml:space="preserve"> </w:t>
      </w:r>
      <w:r w:rsidR="00DD6AD2">
        <w:rPr>
          <w:rFonts w:eastAsia="Times New Roman" w:cs="Times New Roman"/>
          <w:lang w:val="en-GB"/>
        </w:rPr>
        <w:t>T</w:t>
      </w:r>
      <w:r w:rsidR="00912F8B">
        <w:rPr>
          <w:rFonts w:eastAsia="Times New Roman" w:cs="Times New Roman"/>
          <w:lang w:val="en-GB"/>
        </w:rPr>
        <w:t xml:space="preserve">his </w:t>
      </w:r>
      <w:r w:rsidR="005373DA">
        <w:rPr>
          <w:rFonts w:eastAsia="Times New Roman" w:cs="Times New Roman"/>
          <w:lang w:val="en-GB"/>
        </w:rPr>
        <w:t xml:space="preserve">gives insight </w:t>
      </w:r>
      <w:r w:rsidR="00182712">
        <w:rPr>
          <w:rFonts w:eastAsia="Times New Roman" w:cs="Times New Roman"/>
          <w:lang w:val="en-GB"/>
        </w:rPr>
        <w:t xml:space="preserve">and perhaps relevance </w:t>
      </w:r>
      <w:r w:rsidR="005373DA">
        <w:rPr>
          <w:rFonts w:eastAsia="Times New Roman" w:cs="Times New Roman"/>
          <w:lang w:val="en-GB"/>
        </w:rPr>
        <w:t>to</w:t>
      </w:r>
      <w:r w:rsidR="00912F8B">
        <w:rPr>
          <w:rFonts w:eastAsia="Times New Roman" w:cs="Times New Roman"/>
          <w:lang w:val="en-GB"/>
        </w:rPr>
        <w:t xml:space="preserve"> Bennett</w:t>
      </w:r>
      <w:r w:rsidR="00500EB7">
        <w:rPr>
          <w:rFonts w:eastAsia="Times New Roman" w:cs="Times New Roman"/>
          <w:lang w:val="en-GB"/>
        </w:rPr>
        <w:t xml:space="preserve">’s </w:t>
      </w:r>
      <w:r w:rsidR="00912F8B">
        <w:rPr>
          <w:rFonts w:eastAsia="Times New Roman" w:cs="Times New Roman"/>
          <w:lang w:val="en-GB"/>
        </w:rPr>
        <w:t xml:space="preserve">literary approach to her study, given her academic peers and </w:t>
      </w:r>
      <w:r w:rsidR="002945D8">
        <w:rPr>
          <w:rFonts w:eastAsia="Times New Roman" w:cs="Times New Roman"/>
          <w:lang w:val="en-GB"/>
        </w:rPr>
        <w:t xml:space="preserve">editor </w:t>
      </w:r>
      <w:r w:rsidR="00182712">
        <w:rPr>
          <w:rFonts w:eastAsia="Times New Roman" w:cs="Times New Roman"/>
          <w:lang w:val="en-GB"/>
        </w:rPr>
        <w:t>appear to have been</w:t>
      </w:r>
      <w:r w:rsidR="00912F8B">
        <w:rPr>
          <w:rFonts w:eastAsia="Times New Roman" w:cs="Times New Roman"/>
          <w:lang w:val="en-GB"/>
        </w:rPr>
        <w:t xml:space="preserve"> </w:t>
      </w:r>
      <w:r w:rsidR="005E64D8">
        <w:rPr>
          <w:rFonts w:eastAsia="Times New Roman" w:cs="Times New Roman"/>
          <w:lang w:val="en-GB"/>
        </w:rPr>
        <w:t>interested in</w:t>
      </w:r>
      <w:r w:rsidR="00912F8B">
        <w:rPr>
          <w:rFonts w:eastAsia="Times New Roman" w:cs="Times New Roman"/>
          <w:lang w:val="en-GB"/>
        </w:rPr>
        <w:t xml:space="preserve"> the linguistic aspect to the supernatural. </w:t>
      </w:r>
    </w:p>
    <w:p w14:paraId="3EDC1175" w14:textId="0C878D54" w:rsidR="00B21DE9" w:rsidRDefault="00B21DE9" w:rsidP="00B21DE9">
      <w:pPr>
        <w:jc w:val="both"/>
        <w:rPr>
          <w:lang w:val="en-GB"/>
        </w:rPr>
      </w:pPr>
    </w:p>
    <w:p w14:paraId="7BDFEDA6" w14:textId="7757521E" w:rsidR="009152D3" w:rsidRDefault="005373DA" w:rsidP="00CD002A">
      <w:pPr>
        <w:jc w:val="both"/>
        <w:rPr>
          <w:b/>
          <w:lang w:val="en-GB"/>
        </w:rPr>
      </w:pPr>
      <w:r>
        <w:rPr>
          <w:lang w:val="en-GB"/>
        </w:rPr>
        <w:t>Brink</w:t>
      </w:r>
      <w:r w:rsidR="00203376">
        <w:rPr>
          <w:lang w:val="en-GB"/>
        </w:rPr>
        <w:t xml:space="preserve"> is a social scientist </w:t>
      </w:r>
      <w:r w:rsidR="00CD002A">
        <w:rPr>
          <w:lang w:val="en-GB"/>
        </w:rPr>
        <w:t xml:space="preserve">and </w:t>
      </w:r>
      <w:r w:rsidR="0020018F">
        <w:rPr>
          <w:lang w:val="en-GB"/>
        </w:rPr>
        <w:t xml:space="preserve">in 2023 </w:t>
      </w:r>
      <w:r w:rsidR="00CD002A">
        <w:rPr>
          <w:lang w:val="en-GB"/>
        </w:rPr>
        <w:t>has been</w:t>
      </w:r>
      <w:r w:rsidR="00203376">
        <w:rPr>
          <w:lang w:val="en-GB"/>
        </w:rPr>
        <w:t xml:space="preserve"> P</w:t>
      </w:r>
      <w:r>
        <w:rPr>
          <w:lang w:val="en-GB"/>
        </w:rPr>
        <w:t xml:space="preserve">rofessor of psychology at Crafton Hills </w:t>
      </w:r>
      <w:r w:rsidR="00203376">
        <w:rPr>
          <w:lang w:val="en-GB"/>
        </w:rPr>
        <w:t>College for over 30 years.</w:t>
      </w:r>
      <w:r w:rsidR="00203376">
        <w:rPr>
          <w:rStyle w:val="FootnoteReference"/>
          <w:lang w:val="en-GB"/>
        </w:rPr>
        <w:footnoteReference w:id="4"/>
      </w:r>
      <w:r w:rsidR="00203376">
        <w:rPr>
          <w:lang w:val="en-GB"/>
        </w:rPr>
        <w:t xml:space="preserve"> </w:t>
      </w:r>
      <w:r w:rsidR="00422F61">
        <w:rPr>
          <w:lang w:val="en-GB"/>
        </w:rPr>
        <w:t>In June of 1976, Brink</w:t>
      </w:r>
      <w:r w:rsidR="00CD002A">
        <w:rPr>
          <w:lang w:val="en-GB"/>
        </w:rPr>
        <w:t xml:space="preserve"> used a quantitative method of a questionnaire survey to identify ‘the religious attitudes of 227 junior and senior students at a Catholic girls high school. </w:t>
      </w:r>
      <w:r w:rsidR="007B5AD1">
        <w:rPr>
          <w:lang w:val="en-GB"/>
        </w:rPr>
        <w:t>At the time of the study he was a student of psychology at the University of Chicago.</w:t>
      </w:r>
      <w:r w:rsidR="007B5AD1">
        <w:rPr>
          <w:rStyle w:val="FootnoteReference"/>
          <w:lang w:val="en-GB"/>
        </w:rPr>
        <w:footnoteReference w:id="5"/>
      </w:r>
      <w:r w:rsidR="007B5AD1">
        <w:rPr>
          <w:lang w:val="en-GB"/>
        </w:rPr>
        <w:t xml:space="preserve"> </w:t>
      </w:r>
      <w:r w:rsidR="00CD002A">
        <w:rPr>
          <w:lang w:val="en-GB"/>
        </w:rPr>
        <w:t>He handed out questionnaires to all students present in the compulsory religious class at the school, but does not show any reflexivity or awareness of his position on the insider/outsider continuum.</w:t>
      </w:r>
      <w:r w:rsidR="00CD002A">
        <w:rPr>
          <w:rStyle w:val="FootnoteReference"/>
          <w:lang w:val="en-GB"/>
        </w:rPr>
        <w:footnoteReference w:id="6"/>
      </w:r>
      <w:r w:rsidR="00CD002A">
        <w:rPr>
          <w:lang w:val="en-GB"/>
        </w:rPr>
        <w:t xml:space="preserve"> He does not state that he worked at the school where he carried out the survey. </w:t>
      </w:r>
      <w:r w:rsidR="00743E16">
        <w:rPr>
          <w:lang w:val="en-GB"/>
        </w:rPr>
        <w:t xml:space="preserve">Furthermore, he does not show any awareness of </w:t>
      </w:r>
      <w:r w:rsidR="0038642D">
        <w:rPr>
          <w:lang w:val="en-GB"/>
        </w:rPr>
        <w:t>potential ethical issues such as potential lack of informed consent to the girls in class. He makes a point of stating that the class was “a required course,” therefore there is a high chance that this transgresses the issue of ‘Self-determination’ and ‘Informed Consent.’</w:t>
      </w:r>
      <w:r w:rsidR="0038642D">
        <w:rPr>
          <w:rStyle w:val="FootnoteReference"/>
          <w:lang w:val="en-GB"/>
        </w:rPr>
        <w:footnoteReference w:id="7"/>
      </w:r>
      <w:r w:rsidR="004F1A1C">
        <w:rPr>
          <w:lang w:val="en-GB"/>
        </w:rPr>
        <w:t xml:space="preserve"> </w:t>
      </w:r>
      <w:r w:rsidR="007C5C97">
        <w:rPr>
          <w:lang w:val="en-GB"/>
        </w:rPr>
        <w:t xml:space="preserve">Despite the fact that there were no known issues of coercion </w:t>
      </w:r>
      <w:r w:rsidR="007D19BD">
        <w:rPr>
          <w:lang w:val="en-GB"/>
        </w:rPr>
        <w:t>with</w:t>
      </w:r>
      <w:r w:rsidR="007C5C97">
        <w:rPr>
          <w:lang w:val="en-GB"/>
        </w:rPr>
        <w:t xml:space="preserve">in the study, </w:t>
      </w:r>
      <w:r w:rsidR="00827C68">
        <w:rPr>
          <w:lang w:val="en-GB"/>
        </w:rPr>
        <w:t>Brink would have naturally held a position of ‘Gatekeeper’</w:t>
      </w:r>
      <w:r w:rsidR="007C5C97">
        <w:rPr>
          <w:lang w:val="en-GB"/>
        </w:rPr>
        <w:t xml:space="preserve"> given the inherent power dynam</w:t>
      </w:r>
      <w:r w:rsidR="00D960F7">
        <w:rPr>
          <w:lang w:val="en-GB"/>
        </w:rPr>
        <w:t>ic between teacher and students.</w:t>
      </w:r>
      <w:r w:rsidR="00D960F7">
        <w:rPr>
          <w:rStyle w:val="FootnoteReference"/>
          <w:lang w:val="en-GB"/>
        </w:rPr>
        <w:footnoteReference w:id="8"/>
      </w:r>
      <w:r w:rsidR="002025B7">
        <w:rPr>
          <w:lang w:val="en-GB"/>
        </w:rPr>
        <w:t xml:space="preserve"> Furthermore, we are not told of any girls in the class who excused the</w:t>
      </w:r>
      <w:r w:rsidR="007D19BD">
        <w:rPr>
          <w:lang w:val="en-GB"/>
        </w:rPr>
        <w:t xml:space="preserve">mselves or did not participate. </w:t>
      </w:r>
      <w:r w:rsidR="0056359C">
        <w:rPr>
          <w:lang w:val="en-GB"/>
        </w:rPr>
        <w:t xml:space="preserve">Brink acknowledges “most of the subjects came from working class families of Polish or Italian extraction,” however had he included statements that refer to religious habits at home, the inconsistencies in his </w:t>
      </w:r>
      <w:r w:rsidR="00407C2E">
        <w:rPr>
          <w:lang w:val="en-GB"/>
        </w:rPr>
        <w:t xml:space="preserve">results might have had more </w:t>
      </w:r>
      <w:r w:rsidR="00EA5E2C">
        <w:rPr>
          <w:lang w:val="en-GB"/>
        </w:rPr>
        <w:t>meaning</w:t>
      </w:r>
      <w:r w:rsidR="00407C2E">
        <w:rPr>
          <w:lang w:val="en-GB"/>
        </w:rPr>
        <w:t>.</w:t>
      </w:r>
      <w:r w:rsidR="00407C2E">
        <w:rPr>
          <w:rStyle w:val="FootnoteReference"/>
          <w:lang w:val="en-GB"/>
        </w:rPr>
        <w:footnoteReference w:id="9"/>
      </w:r>
    </w:p>
    <w:p w14:paraId="6F5C56C6" w14:textId="77777777" w:rsidR="0039133C" w:rsidRPr="000E7FDE" w:rsidRDefault="0039133C" w:rsidP="00CD002A">
      <w:pPr>
        <w:jc w:val="both"/>
        <w:rPr>
          <w:lang w:val="en-GB"/>
        </w:rPr>
      </w:pPr>
    </w:p>
    <w:p w14:paraId="4A827277" w14:textId="1C10507A" w:rsidR="001E3607" w:rsidRPr="0054081A" w:rsidRDefault="00906245" w:rsidP="001E3607">
      <w:pPr>
        <w:jc w:val="both"/>
        <w:rPr>
          <w:lang w:val="en-GB"/>
        </w:rPr>
      </w:pPr>
      <w:r w:rsidRPr="000E7FDE">
        <w:rPr>
          <w:lang w:val="en-GB"/>
        </w:rPr>
        <w:t xml:space="preserve">Brink stated his hypothesis </w:t>
      </w:r>
      <w:r w:rsidR="00EA5E2C">
        <w:rPr>
          <w:lang w:val="en-GB"/>
        </w:rPr>
        <w:t>as</w:t>
      </w:r>
      <w:r w:rsidRPr="000E7FDE">
        <w:rPr>
          <w:lang w:val="en-GB"/>
        </w:rPr>
        <w:t>:</w:t>
      </w:r>
      <w:r w:rsidR="009152D3" w:rsidRPr="000E7FDE">
        <w:rPr>
          <w:lang w:val="en-GB"/>
        </w:rPr>
        <w:t xml:space="preserve"> “a study of beliefs of adolescent girls will show an acceptance of only on</w:t>
      </w:r>
      <w:r w:rsidR="00EC3CB0" w:rsidRPr="000E7FDE">
        <w:rPr>
          <w:lang w:val="en-GB"/>
        </w:rPr>
        <w:t>e of these three belief sets (</w:t>
      </w:r>
      <w:r w:rsidR="0039133C" w:rsidRPr="000E7FDE">
        <w:rPr>
          <w:lang w:val="en-GB"/>
        </w:rPr>
        <w:t>Roman Catholic, astrology, reincarnation) accompanie</w:t>
      </w:r>
      <w:r w:rsidR="00EC3CB0" w:rsidRPr="000E7FDE">
        <w:rPr>
          <w:lang w:val="en-GB"/>
        </w:rPr>
        <w:t>d by a rejection of the others.”</w:t>
      </w:r>
      <w:r w:rsidR="00EC3CB0" w:rsidRPr="000E7FDE">
        <w:rPr>
          <w:rStyle w:val="FootnoteReference"/>
          <w:lang w:val="en-GB"/>
        </w:rPr>
        <w:footnoteReference w:id="10"/>
      </w:r>
      <w:r w:rsidRPr="000E7FDE">
        <w:rPr>
          <w:lang w:val="en-GB"/>
        </w:rPr>
        <w:t xml:space="preserve"> His questionnaire offers participants to select statements such as “I would like to get married by a prie</w:t>
      </w:r>
      <w:r w:rsidR="00787E06" w:rsidRPr="000E7FDE">
        <w:rPr>
          <w:lang w:val="en-GB"/>
        </w:rPr>
        <w:t xml:space="preserve">st” </w:t>
      </w:r>
      <w:r w:rsidR="00C90B71" w:rsidRPr="000E7FDE">
        <w:rPr>
          <w:lang w:val="en-GB"/>
        </w:rPr>
        <w:t>or</w:t>
      </w:r>
      <w:r w:rsidR="00787E06" w:rsidRPr="000E7FDE">
        <w:rPr>
          <w:lang w:val="en-GB"/>
        </w:rPr>
        <w:t xml:space="preserve"> “I believe in astrology</w:t>
      </w:r>
      <w:r w:rsidR="00D16B1B" w:rsidRPr="000E7FDE">
        <w:rPr>
          <w:lang w:val="en-GB"/>
        </w:rPr>
        <w:t>,”</w:t>
      </w:r>
      <w:r w:rsidR="00B706C7" w:rsidRPr="000E7FDE">
        <w:rPr>
          <w:lang w:val="en-GB"/>
        </w:rPr>
        <w:t xml:space="preserve"> that serve to either highlight an inconsistency of belief or di</w:t>
      </w:r>
      <w:r w:rsidR="00787E06" w:rsidRPr="000E7FDE">
        <w:rPr>
          <w:lang w:val="en-GB"/>
        </w:rPr>
        <w:t>sprove it.</w:t>
      </w:r>
      <w:r w:rsidR="00787E06" w:rsidRPr="000E7FDE">
        <w:rPr>
          <w:rStyle w:val="FootnoteReference"/>
          <w:lang w:val="en-GB"/>
        </w:rPr>
        <w:footnoteReference w:id="11"/>
      </w:r>
      <w:r w:rsidR="00787E06" w:rsidRPr="000E7FDE">
        <w:rPr>
          <w:lang w:val="en-GB"/>
        </w:rPr>
        <w:t xml:space="preserve"> </w:t>
      </w:r>
      <w:r w:rsidR="001962FB">
        <w:rPr>
          <w:lang w:val="en-GB"/>
        </w:rPr>
        <w:t>Such an approach</w:t>
      </w:r>
      <w:r w:rsidR="00787E06" w:rsidRPr="000E7FDE">
        <w:rPr>
          <w:lang w:val="en-GB"/>
        </w:rPr>
        <w:t xml:space="preserve"> would have benefited Bennett</w:t>
      </w:r>
      <w:r w:rsidR="00C216F3" w:rsidRPr="000E7FDE">
        <w:rPr>
          <w:lang w:val="en-GB"/>
        </w:rPr>
        <w:t>’s study</w:t>
      </w:r>
      <w:r w:rsidR="00787E06" w:rsidRPr="000E7FDE">
        <w:rPr>
          <w:lang w:val="en-GB"/>
        </w:rPr>
        <w:t>, as we will discuss later</w:t>
      </w:r>
      <w:r w:rsidR="00C90B71" w:rsidRPr="000E7FDE">
        <w:rPr>
          <w:lang w:val="en-GB"/>
        </w:rPr>
        <w:t xml:space="preserve">, </w:t>
      </w:r>
      <w:r w:rsidR="004828CF" w:rsidRPr="000E7FDE">
        <w:rPr>
          <w:lang w:val="en-GB"/>
        </w:rPr>
        <w:t xml:space="preserve">to clearly identify the </w:t>
      </w:r>
      <w:r w:rsidR="00BA3319">
        <w:rPr>
          <w:lang w:val="en-GB"/>
        </w:rPr>
        <w:t xml:space="preserve">belief </w:t>
      </w:r>
      <w:r w:rsidR="004828CF" w:rsidRPr="000E7FDE">
        <w:rPr>
          <w:lang w:val="en-GB"/>
        </w:rPr>
        <w:t xml:space="preserve">differences </w:t>
      </w:r>
      <w:r w:rsidR="00BA3319">
        <w:rPr>
          <w:lang w:val="en-GB"/>
        </w:rPr>
        <w:t>within</w:t>
      </w:r>
      <w:r w:rsidR="004828CF" w:rsidRPr="000E7FDE">
        <w:rPr>
          <w:lang w:val="en-GB"/>
        </w:rPr>
        <w:t xml:space="preserve"> her homogenous group. </w:t>
      </w:r>
      <w:r w:rsidR="00787E06" w:rsidRPr="000E7FDE">
        <w:rPr>
          <w:lang w:val="en-GB"/>
        </w:rPr>
        <w:t xml:space="preserve">Instead Bennett </w:t>
      </w:r>
      <w:r w:rsidR="004828CF" w:rsidRPr="000E7FDE">
        <w:rPr>
          <w:lang w:val="en-GB"/>
        </w:rPr>
        <w:t>only uses a chart to identify</w:t>
      </w:r>
      <w:r w:rsidR="00787E06" w:rsidRPr="000E7FDE">
        <w:rPr>
          <w:lang w:val="en-GB"/>
        </w:rPr>
        <w:t xml:space="preserve"> the domestic arrangements of her participants, which end</w:t>
      </w:r>
      <w:r w:rsidR="00CC287E">
        <w:rPr>
          <w:lang w:val="en-GB"/>
        </w:rPr>
        <w:t>s</w:t>
      </w:r>
      <w:r w:rsidR="004828CF" w:rsidRPr="000E7FDE">
        <w:rPr>
          <w:lang w:val="en-GB"/>
        </w:rPr>
        <w:t xml:space="preserve"> up being not highly revealing, and only show</w:t>
      </w:r>
      <w:r w:rsidR="00CC287E">
        <w:rPr>
          <w:lang w:val="en-GB"/>
        </w:rPr>
        <w:t>s</w:t>
      </w:r>
      <w:r w:rsidR="004828CF" w:rsidRPr="000E7FDE">
        <w:rPr>
          <w:lang w:val="en-GB"/>
        </w:rPr>
        <w:t xml:space="preserve"> that the majority were in partnership. </w:t>
      </w:r>
      <w:r w:rsidR="001E3607">
        <w:rPr>
          <w:lang w:val="en-GB"/>
        </w:rPr>
        <w:t xml:space="preserve">Instead, Brink early on is able to </w:t>
      </w:r>
      <w:proofErr w:type="gramStart"/>
      <w:r w:rsidR="001E3607">
        <w:rPr>
          <w:lang w:val="en-GB"/>
        </w:rPr>
        <w:t>declare</w:t>
      </w:r>
      <w:proofErr w:type="gramEnd"/>
      <w:r w:rsidR="001E3607">
        <w:rPr>
          <w:lang w:val="en-GB"/>
        </w:rPr>
        <w:t xml:space="preserve"> </w:t>
      </w:r>
      <w:r w:rsidR="001E3607" w:rsidRPr="000E7FDE">
        <w:rPr>
          <w:lang w:val="en-GB"/>
        </w:rPr>
        <w:t xml:space="preserve">“the hypothesis was </w:t>
      </w:r>
      <w:r w:rsidR="001E3607" w:rsidRPr="000E7FDE">
        <w:rPr>
          <w:i/>
          <w:lang w:val="en-GB"/>
        </w:rPr>
        <w:t>not</w:t>
      </w:r>
      <w:r w:rsidR="001E3607" w:rsidRPr="000E7FDE">
        <w:rPr>
          <w:lang w:val="en-GB"/>
        </w:rPr>
        <w:t xml:space="preserve"> confirmed”</w:t>
      </w:r>
      <w:r w:rsidR="001E3607">
        <w:rPr>
          <w:lang w:val="en-GB"/>
        </w:rPr>
        <w:t xml:space="preserve">. </w:t>
      </w:r>
      <w:r w:rsidR="001E3607" w:rsidRPr="000E7FDE">
        <w:rPr>
          <w:rStyle w:val="FootnoteReference"/>
          <w:lang w:val="en-GB"/>
        </w:rPr>
        <w:footnoteReference w:id="12"/>
      </w:r>
      <w:r w:rsidR="001E3607" w:rsidRPr="000E7FDE">
        <w:rPr>
          <w:lang w:val="en-GB"/>
        </w:rPr>
        <w:t xml:space="preserve"> </w:t>
      </w:r>
    </w:p>
    <w:p w14:paraId="73B0224D" w14:textId="77777777" w:rsidR="001E3607" w:rsidRDefault="001E3607" w:rsidP="00CD002A">
      <w:pPr>
        <w:jc w:val="both"/>
        <w:rPr>
          <w:lang w:val="en-GB"/>
        </w:rPr>
      </w:pPr>
    </w:p>
    <w:p w14:paraId="5B70256F" w14:textId="2980BEA2" w:rsidR="005373DA" w:rsidRDefault="005373DA" w:rsidP="00B21DE9">
      <w:pPr>
        <w:jc w:val="both"/>
        <w:rPr>
          <w:lang w:val="en-GB"/>
        </w:rPr>
      </w:pPr>
    </w:p>
    <w:p w14:paraId="2044FC92" w14:textId="119A30A1" w:rsidR="00780557" w:rsidRPr="00780557" w:rsidRDefault="00780557" w:rsidP="00B21DE9">
      <w:pPr>
        <w:jc w:val="both"/>
        <w:rPr>
          <w:b/>
          <w:u w:val="single"/>
          <w:lang w:val="en-GB"/>
        </w:rPr>
      </w:pPr>
      <w:r w:rsidRPr="00780557">
        <w:rPr>
          <w:b/>
          <w:u w:val="single"/>
          <w:lang w:val="en-GB"/>
        </w:rPr>
        <w:t>Methodology/Approach</w:t>
      </w:r>
    </w:p>
    <w:p w14:paraId="3676796E" w14:textId="07BBE9D1" w:rsidR="0020018F" w:rsidRDefault="00935ABA" w:rsidP="00935ABA">
      <w:pPr>
        <w:jc w:val="both"/>
        <w:rPr>
          <w:lang w:val="en-GB"/>
        </w:rPr>
      </w:pPr>
      <w:r>
        <w:rPr>
          <w:lang w:val="en-GB"/>
        </w:rPr>
        <w:t>Bennett uses the historical context of discussing belief in ESP throughout the 18</w:t>
      </w:r>
      <w:r w:rsidRPr="00905D08">
        <w:rPr>
          <w:vertAlign w:val="superscript"/>
          <w:lang w:val="en-GB"/>
        </w:rPr>
        <w:t>th</w:t>
      </w:r>
      <w:r>
        <w:rPr>
          <w:lang w:val="en-GB"/>
        </w:rPr>
        <w:t xml:space="preserve"> and 19</w:t>
      </w:r>
      <w:r w:rsidRPr="00905D08">
        <w:rPr>
          <w:vertAlign w:val="superscript"/>
          <w:lang w:val="en-GB"/>
        </w:rPr>
        <w:t>th</w:t>
      </w:r>
      <w:r>
        <w:rPr>
          <w:lang w:val="en-GB"/>
        </w:rPr>
        <w:t xml:space="preserve"> centuries to arrive at the focus of her paper. As she documents “the gradual internalizing of supernatural experience,” throughout </w:t>
      </w:r>
      <w:r w:rsidR="00D82995">
        <w:rPr>
          <w:lang w:val="en-GB"/>
        </w:rPr>
        <w:t>history</w:t>
      </w:r>
      <w:r>
        <w:rPr>
          <w:lang w:val="en-GB"/>
        </w:rPr>
        <w:t>, she concludes that “by the mid nineteenth century, therefore there were two main strands in British folkloristic writing about foreknowledge: on the one hand, accounts of divinatory practices and the interpretation of signs and tokens; on the other, accounts of visions dreams and presentiments.”</w:t>
      </w:r>
      <w:r>
        <w:rPr>
          <w:rStyle w:val="FootnoteReference"/>
          <w:lang w:val="en-GB"/>
        </w:rPr>
        <w:footnoteReference w:id="13"/>
      </w:r>
      <w:r w:rsidR="00C74B50">
        <w:rPr>
          <w:lang w:val="en-GB"/>
        </w:rPr>
        <w:t xml:space="preserve"> Bennett </w:t>
      </w:r>
      <w:r w:rsidR="00FF0D57">
        <w:rPr>
          <w:lang w:val="en-GB"/>
        </w:rPr>
        <w:t xml:space="preserve">then </w:t>
      </w:r>
      <w:r w:rsidR="00C74B50">
        <w:rPr>
          <w:lang w:val="en-GB"/>
        </w:rPr>
        <w:t xml:space="preserve">uses these </w:t>
      </w:r>
      <w:r>
        <w:rPr>
          <w:lang w:val="en-GB"/>
        </w:rPr>
        <w:t>two strands of foreknowledge</w:t>
      </w:r>
      <w:r w:rsidR="00C74B50">
        <w:rPr>
          <w:lang w:val="en-GB"/>
        </w:rPr>
        <w:t xml:space="preserve"> as </w:t>
      </w:r>
      <w:r w:rsidR="00FF0D57">
        <w:rPr>
          <w:lang w:val="en-GB"/>
        </w:rPr>
        <w:t>the architecture of her study</w:t>
      </w:r>
      <w:r w:rsidR="008F7BC5">
        <w:rPr>
          <w:lang w:val="en-GB"/>
        </w:rPr>
        <w:t>, but she does not give a clear hypothesis</w:t>
      </w:r>
      <w:r>
        <w:rPr>
          <w:lang w:val="en-GB"/>
        </w:rPr>
        <w:t xml:space="preserve">. </w:t>
      </w:r>
      <w:r w:rsidR="00E47C5B">
        <w:rPr>
          <w:lang w:val="en-GB"/>
        </w:rPr>
        <w:t>She</w:t>
      </w:r>
      <w:r w:rsidRPr="00935ABA">
        <w:rPr>
          <w:lang w:val="en-GB"/>
        </w:rPr>
        <w:t xml:space="preserve"> could have used a typology at the start of her study to </w:t>
      </w:r>
      <w:r w:rsidR="0020018F">
        <w:rPr>
          <w:lang w:val="en-GB"/>
        </w:rPr>
        <w:t>reveal</w:t>
      </w:r>
      <w:r w:rsidRPr="00935ABA">
        <w:rPr>
          <w:lang w:val="en-GB"/>
        </w:rPr>
        <w:t xml:space="preserve"> </w:t>
      </w:r>
      <w:r w:rsidR="008F7BC5">
        <w:rPr>
          <w:lang w:val="en-GB"/>
        </w:rPr>
        <w:t>patterns</w:t>
      </w:r>
      <w:r w:rsidRPr="00935ABA">
        <w:rPr>
          <w:lang w:val="en-GB"/>
        </w:rPr>
        <w:t xml:space="preserve"> between her informants</w:t>
      </w:r>
      <w:r w:rsidR="008F7BC5">
        <w:rPr>
          <w:lang w:val="en-GB"/>
        </w:rPr>
        <w:t>’ social background</w:t>
      </w:r>
      <w:r w:rsidRPr="00935ABA">
        <w:rPr>
          <w:lang w:val="en-GB"/>
        </w:rPr>
        <w:t xml:space="preserve"> and their involvement with the two contrasting types of ESP she focussed on.</w:t>
      </w:r>
      <w:r w:rsidRPr="00935ABA">
        <w:rPr>
          <w:rStyle w:val="FootnoteReference"/>
          <w:lang w:val="en-GB"/>
        </w:rPr>
        <w:footnoteReference w:id="14"/>
      </w:r>
      <w:r w:rsidR="008055A4">
        <w:rPr>
          <w:lang w:val="en-GB"/>
        </w:rPr>
        <w:t xml:space="preserve"> </w:t>
      </w:r>
      <w:r w:rsidR="00894216">
        <w:rPr>
          <w:lang w:val="en-GB"/>
        </w:rPr>
        <w:t>Instead she</w:t>
      </w:r>
      <w:r w:rsidR="00B30E46">
        <w:rPr>
          <w:lang w:val="en-GB"/>
        </w:rPr>
        <w:t xml:space="preserve"> gives us a table that divides her informants into the</w:t>
      </w:r>
      <w:r w:rsidR="00894216">
        <w:rPr>
          <w:lang w:val="en-GB"/>
        </w:rPr>
        <w:t xml:space="preserve">ir marital and living statuses, </w:t>
      </w:r>
      <w:r w:rsidR="00CB3E6E">
        <w:rPr>
          <w:lang w:val="en-GB"/>
        </w:rPr>
        <w:t>which only b</w:t>
      </w:r>
      <w:r w:rsidR="008F7BC5">
        <w:rPr>
          <w:lang w:val="en-GB"/>
        </w:rPr>
        <w:t>e</w:t>
      </w:r>
      <w:r w:rsidR="00CB3E6E">
        <w:rPr>
          <w:lang w:val="en-GB"/>
        </w:rPr>
        <w:t xml:space="preserve">comes relevant much later. </w:t>
      </w:r>
      <w:r w:rsidR="00894216">
        <w:rPr>
          <w:lang w:val="en-GB"/>
        </w:rPr>
        <w:t xml:space="preserve"> </w:t>
      </w:r>
    </w:p>
    <w:p w14:paraId="12C1FAF8" w14:textId="03A2B4A1" w:rsidR="008055A4" w:rsidRPr="00935ABA" w:rsidRDefault="001414AA" w:rsidP="00935ABA">
      <w:pPr>
        <w:jc w:val="both"/>
        <w:rPr>
          <w:lang w:val="en-GB"/>
        </w:rPr>
      </w:pPr>
      <w:r>
        <w:rPr>
          <w:lang w:val="en-GB"/>
        </w:rPr>
        <w:t xml:space="preserve">         </w:t>
      </w:r>
      <w:r w:rsidR="008055A4" w:rsidRPr="0079049D">
        <w:rPr>
          <w:lang w:val="en-GB"/>
        </w:rPr>
        <w:t xml:space="preserve">Bennett’s </w:t>
      </w:r>
      <w:r w:rsidR="008055A4">
        <w:rPr>
          <w:lang w:val="en-GB"/>
        </w:rPr>
        <w:t>study could have benefit</w:t>
      </w:r>
      <w:r w:rsidR="0020018F">
        <w:rPr>
          <w:lang w:val="en-GB"/>
        </w:rPr>
        <w:t>t</w:t>
      </w:r>
      <w:r w:rsidR="008055A4">
        <w:rPr>
          <w:lang w:val="en-GB"/>
        </w:rPr>
        <w:t xml:space="preserve">ed from using a strategy to conceptualise her data, to help understand how the </w:t>
      </w:r>
      <w:r w:rsidR="0016641F">
        <w:rPr>
          <w:lang w:val="en-GB"/>
        </w:rPr>
        <w:t xml:space="preserve">social </w:t>
      </w:r>
      <w:r w:rsidR="008055A4">
        <w:rPr>
          <w:lang w:val="en-GB"/>
        </w:rPr>
        <w:t>context of her study group influenced her focal issues.</w:t>
      </w:r>
      <w:r w:rsidR="008055A4">
        <w:rPr>
          <w:rStyle w:val="FootnoteReference"/>
          <w:lang w:val="en-GB"/>
        </w:rPr>
        <w:footnoteReference w:id="15"/>
      </w:r>
      <w:r w:rsidR="008055A4">
        <w:rPr>
          <w:lang w:val="en-GB"/>
        </w:rPr>
        <w:t xml:space="preserve"> </w:t>
      </w:r>
      <w:r w:rsidR="008F7BC5">
        <w:rPr>
          <w:lang w:val="en-GB"/>
        </w:rPr>
        <w:t>She states in her introduction</w:t>
      </w:r>
      <w:r w:rsidR="0020018F">
        <w:rPr>
          <w:lang w:val="en-GB"/>
        </w:rPr>
        <w:t xml:space="preserve"> that her focus is</w:t>
      </w:r>
      <w:r w:rsidR="008055A4">
        <w:rPr>
          <w:lang w:val="en-GB"/>
        </w:rPr>
        <w:t xml:space="preserve">: “the women’s social situation and moral code shape the folklore that they share,” </w:t>
      </w:r>
      <w:r w:rsidR="0020018F">
        <w:rPr>
          <w:lang w:val="en-GB"/>
        </w:rPr>
        <w:t>but their social situation</w:t>
      </w:r>
      <w:r w:rsidR="0030556A">
        <w:rPr>
          <w:lang w:val="en-GB"/>
        </w:rPr>
        <w:t xml:space="preserve"> as caretakers</w:t>
      </w:r>
      <w:r w:rsidR="0020018F">
        <w:rPr>
          <w:lang w:val="en-GB"/>
        </w:rPr>
        <w:t xml:space="preserve"> </w:t>
      </w:r>
      <w:r w:rsidR="008055A4">
        <w:rPr>
          <w:lang w:val="en-GB"/>
        </w:rPr>
        <w:t>only gets discussed towards the end of her paper. Bennett tells</w:t>
      </w:r>
      <w:r w:rsidR="0030556A">
        <w:rPr>
          <w:lang w:val="en-GB"/>
        </w:rPr>
        <w:t xml:space="preserve"> us they are </w:t>
      </w:r>
      <w:proofErr w:type="gramStart"/>
      <w:r w:rsidR="0030556A">
        <w:rPr>
          <w:lang w:val="en-GB"/>
        </w:rPr>
        <w:t>church-goers</w:t>
      </w:r>
      <w:proofErr w:type="gramEnd"/>
      <w:r w:rsidR="0030556A">
        <w:rPr>
          <w:lang w:val="en-GB"/>
        </w:rPr>
        <w:t>, but more</w:t>
      </w:r>
      <w:r w:rsidR="008055A4">
        <w:rPr>
          <w:lang w:val="en-GB"/>
        </w:rPr>
        <w:t xml:space="preserve"> </w:t>
      </w:r>
      <w:r w:rsidR="003D58A3">
        <w:rPr>
          <w:lang w:val="en-GB"/>
        </w:rPr>
        <w:t>inspection</w:t>
      </w:r>
      <w:r w:rsidR="008055A4">
        <w:rPr>
          <w:lang w:val="en-GB"/>
        </w:rPr>
        <w:t xml:space="preserve"> of their religious beliefs or daily habits </w:t>
      </w:r>
      <w:r w:rsidR="0020018F">
        <w:rPr>
          <w:lang w:val="en-GB"/>
        </w:rPr>
        <w:t>would</w:t>
      </w:r>
      <w:r w:rsidR="008055A4">
        <w:rPr>
          <w:lang w:val="en-GB"/>
        </w:rPr>
        <w:t xml:space="preserve"> have been revealing given that it has “a pivotal influence on the central issues in the data.”</w:t>
      </w:r>
      <w:r w:rsidR="008055A4">
        <w:rPr>
          <w:rStyle w:val="FootnoteReference"/>
          <w:lang w:val="en-GB"/>
        </w:rPr>
        <w:footnoteReference w:id="16"/>
      </w:r>
      <w:r w:rsidR="00894216">
        <w:rPr>
          <w:lang w:val="en-GB"/>
        </w:rPr>
        <w:t xml:space="preserve"> </w:t>
      </w:r>
      <w:r w:rsidR="0030556A">
        <w:rPr>
          <w:lang w:val="en-GB"/>
        </w:rPr>
        <w:t xml:space="preserve">As discussed </w:t>
      </w:r>
      <w:r w:rsidR="0016641F">
        <w:rPr>
          <w:lang w:val="en-GB"/>
        </w:rPr>
        <w:t xml:space="preserve">above, Brink’s use of </w:t>
      </w:r>
      <w:r w:rsidR="0030556A">
        <w:rPr>
          <w:lang w:val="en-GB"/>
        </w:rPr>
        <w:t xml:space="preserve">a questionnaire with </w:t>
      </w:r>
      <w:r w:rsidR="00E47C5B">
        <w:rPr>
          <w:lang w:val="en-GB"/>
        </w:rPr>
        <w:t xml:space="preserve">a </w:t>
      </w:r>
      <w:r w:rsidR="0030556A">
        <w:rPr>
          <w:lang w:val="en-GB"/>
        </w:rPr>
        <w:t xml:space="preserve">selection of firm statements helped highlight key inconsistencies in the beliefs of his informants, if Bennett’s group was similarly homogenous in that they all went to the same church, like Brink’s informants all going to the same school, a narrower approach through a questionnaire could have revealed something </w:t>
      </w:r>
      <w:r w:rsidR="00E47C5B">
        <w:rPr>
          <w:lang w:val="en-GB"/>
        </w:rPr>
        <w:t xml:space="preserve">specific for Bennett. </w:t>
      </w:r>
    </w:p>
    <w:p w14:paraId="448B84DE" w14:textId="3F337AD8" w:rsidR="00935ABA" w:rsidRPr="00935ABA" w:rsidRDefault="008055A4" w:rsidP="00B21DE9">
      <w:pPr>
        <w:jc w:val="both"/>
        <w:rPr>
          <w:lang w:val="en-GB"/>
        </w:rPr>
      </w:pPr>
      <w:r>
        <w:rPr>
          <w:lang w:val="en-GB"/>
        </w:rPr>
        <w:t xml:space="preserve">   </w:t>
      </w:r>
      <w:r w:rsidR="00935ABA">
        <w:rPr>
          <w:lang w:val="en-GB"/>
        </w:rPr>
        <w:t xml:space="preserve"> </w:t>
      </w:r>
      <w:r>
        <w:rPr>
          <w:lang w:val="en-GB"/>
        </w:rPr>
        <w:t xml:space="preserve"> </w:t>
      </w:r>
      <w:r w:rsidR="00935ABA">
        <w:rPr>
          <w:lang w:val="en-GB"/>
        </w:rPr>
        <w:t xml:space="preserve"> Problematically, she includes younger women</w:t>
      </w:r>
      <w:r w:rsidR="009217AB">
        <w:rPr>
          <w:lang w:val="en-GB"/>
        </w:rPr>
        <w:t xml:space="preserve"> to strengthen her argument</w:t>
      </w:r>
      <w:r w:rsidR="00AE6589">
        <w:rPr>
          <w:lang w:val="en-GB"/>
        </w:rPr>
        <w:t xml:space="preserve"> regarding social roles</w:t>
      </w:r>
      <w:r w:rsidR="009217AB">
        <w:rPr>
          <w:lang w:val="en-GB"/>
        </w:rPr>
        <w:t>,</w:t>
      </w:r>
      <w:r w:rsidR="00935ABA">
        <w:rPr>
          <w:lang w:val="en-GB"/>
        </w:rPr>
        <w:t xml:space="preserve"> </w:t>
      </w:r>
      <w:r w:rsidR="009217AB">
        <w:rPr>
          <w:lang w:val="en-GB"/>
        </w:rPr>
        <w:t>but only in her conclusion, otherwise they</w:t>
      </w:r>
      <w:r w:rsidR="00935ABA">
        <w:rPr>
          <w:lang w:val="en-GB"/>
        </w:rPr>
        <w:t xml:space="preserve"> are omitted from the study throughout the paper. She is open about the fact that more work needs to be done on the topic, stating: “my work permits only an impressionistic discussion of this question, but some trends are nevertheless discernible and would be worth following up.”</w:t>
      </w:r>
      <w:r w:rsidR="00935ABA">
        <w:rPr>
          <w:rStyle w:val="FootnoteReference"/>
          <w:lang w:val="en-GB"/>
        </w:rPr>
        <w:footnoteReference w:id="17"/>
      </w:r>
    </w:p>
    <w:p w14:paraId="3775005B" w14:textId="77777777" w:rsidR="00935ABA" w:rsidRDefault="00935ABA" w:rsidP="00B21DE9">
      <w:pPr>
        <w:jc w:val="both"/>
        <w:rPr>
          <w:b/>
          <w:u w:val="single"/>
          <w:lang w:val="en-GB"/>
        </w:rPr>
      </w:pPr>
    </w:p>
    <w:p w14:paraId="594F937B" w14:textId="77777777" w:rsidR="00AE6589" w:rsidRDefault="00AE6589" w:rsidP="00B21DE9">
      <w:pPr>
        <w:jc w:val="both"/>
        <w:rPr>
          <w:b/>
          <w:u w:val="single"/>
          <w:lang w:val="en-GB"/>
        </w:rPr>
      </w:pPr>
    </w:p>
    <w:p w14:paraId="5CD9AE8C" w14:textId="260A1B09" w:rsidR="00AE6589" w:rsidRPr="00E72F42" w:rsidRDefault="00AE6589" w:rsidP="00B21DE9">
      <w:pPr>
        <w:jc w:val="both"/>
        <w:rPr>
          <w:b/>
          <w:u w:val="single"/>
          <w:lang w:val="en-GB"/>
        </w:rPr>
      </w:pPr>
      <w:r>
        <w:rPr>
          <w:b/>
          <w:u w:val="single"/>
          <w:lang w:val="en-GB"/>
        </w:rPr>
        <w:t>Reflexivity</w:t>
      </w:r>
    </w:p>
    <w:p w14:paraId="271ED4D3" w14:textId="773BA0BD" w:rsidR="005E64D8" w:rsidRDefault="005E64D8" w:rsidP="005E64D8">
      <w:pPr>
        <w:jc w:val="both"/>
        <w:rPr>
          <w:lang w:val="en-GB"/>
        </w:rPr>
      </w:pPr>
      <w:r>
        <w:rPr>
          <w:lang w:val="en-GB"/>
        </w:rPr>
        <w:t>Bennett shows an awareness that her research might be thought of as “delicate” or “controversial” and chose to ask her father who worked at the same podiatrist clinic for fourteen years if she could talk to his patients during clinic hours.</w:t>
      </w:r>
      <w:r w:rsidR="00935ABA">
        <w:rPr>
          <w:rStyle w:val="FootnoteReference"/>
          <w:lang w:val="en-GB"/>
        </w:rPr>
        <w:footnoteReference w:id="18"/>
      </w:r>
      <w:r>
        <w:rPr>
          <w:lang w:val="en-GB"/>
        </w:rPr>
        <w:t xml:space="preserve"> </w:t>
      </w:r>
      <w:r w:rsidR="005F5596">
        <w:rPr>
          <w:lang w:val="en-GB"/>
        </w:rPr>
        <w:t xml:space="preserve">She is open about the practical reason for selecting the elderly portion of her informants as they represented the majority. </w:t>
      </w:r>
      <w:r>
        <w:rPr>
          <w:lang w:val="en-GB"/>
        </w:rPr>
        <w:t>There is considerable overlap</w:t>
      </w:r>
      <w:r w:rsidR="00534168">
        <w:rPr>
          <w:lang w:val="en-GB"/>
        </w:rPr>
        <w:t xml:space="preserve"> between her informants</w:t>
      </w:r>
      <w:r>
        <w:rPr>
          <w:lang w:val="en-GB"/>
        </w:rPr>
        <w:t xml:space="preserve"> as she states that his patients “used the same doctor, shopped at the same local shops, and were part of the same social network.”</w:t>
      </w:r>
      <w:r>
        <w:rPr>
          <w:rStyle w:val="FootnoteReference"/>
          <w:lang w:val="en-GB"/>
        </w:rPr>
        <w:footnoteReference w:id="19"/>
      </w:r>
      <w:r>
        <w:rPr>
          <w:lang w:val="en-GB"/>
        </w:rPr>
        <w:t xml:space="preserve"> She goes on to divulge their religious beliefs and that “the majority also attended the local Methodist church as he did.”</w:t>
      </w:r>
      <w:r>
        <w:rPr>
          <w:rStyle w:val="FootnoteReference"/>
          <w:lang w:val="en-GB"/>
        </w:rPr>
        <w:footnoteReference w:id="20"/>
      </w:r>
      <w:r>
        <w:rPr>
          <w:lang w:val="en-GB"/>
        </w:rPr>
        <w:t xml:space="preserve"> She describes her chosen subjects as forming a “homogenous social and cultural group.”</w:t>
      </w:r>
      <w:r>
        <w:rPr>
          <w:rStyle w:val="FootnoteReference"/>
          <w:lang w:val="en-GB"/>
        </w:rPr>
        <w:footnoteReference w:id="21"/>
      </w:r>
      <w:r>
        <w:rPr>
          <w:lang w:val="en-GB"/>
        </w:rPr>
        <w:t xml:space="preserve"> </w:t>
      </w:r>
      <w:r w:rsidR="00A34100">
        <w:rPr>
          <w:lang w:val="en-GB"/>
        </w:rPr>
        <w:t xml:space="preserve">One might consider this closeness between the informants as being an ethical issue, as there is a higher risk that the </w:t>
      </w:r>
      <w:r w:rsidR="003E2BE7">
        <w:rPr>
          <w:lang w:val="en-GB"/>
        </w:rPr>
        <w:t>data would not remain anonymous.</w:t>
      </w:r>
      <w:r w:rsidR="003E2BE7">
        <w:rPr>
          <w:rStyle w:val="FootnoteReference"/>
          <w:lang w:val="en-GB"/>
        </w:rPr>
        <w:footnoteReference w:id="22"/>
      </w:r>
      <w:r w:rsidR="003E2BE7">
        <w:rPr>
          <w:lang w:val="en-GB"/>
        </w:rPr>
        <w:t xml:space="preserve"> </w:t>
      </w:r>
      <w:r w:rsidR="003F55AE">
        <w:rPr>
          <w:lang w:val="en-GB"/>
        </w:rPr>
        <w:t xml:space="preserve">However Bennett could have stated more clearly that this was deliberate in order to highlight the effect their </w:t>
      </w:r>
      <w:r w:rsidR="003D58A3">
        <w:rPr>
          <w:lang w:val="en-GB"/>
        </w:rPr>
        <w:t>varying</w:t>
      </w:r>
      <w:r w:rsidR="003F55AE">
        <w:rPr>
          <w:lang w:val="en-GB"/>
        </w:rPr>
        <w:t xml:space="preserve"> domestic situation</w:t>
      </w:r>
      <w:r w:rsidR="003D58A3">
        <w:rPr>
          <w:lang w:val="en-GB"/>
        </w:rPr>
        <w:t>s</w:t>
      </w:r>
      <w:r w:rsidR="003F55AE">
        <w:rPr>
          <w:lang w:val="en-GB"/>
        </w:rPr>
        <w:t xml:space="preserve"> would have on their beliefs. This </w:t>
      </w:r>
      <w:r w:rsidR="003D58A3">
        <w:rPr>
          <w:lang w:val="en-GB"/>
        </w:rPr>
        <w:t>aspect</w:t>
      </w:r>
      <w:r w:rsidR="003F55AE">
        <w:rPr>
          <w:lang w:val="en-GB"/>
        </w:rPr>
        <w:t xml:space="preserve"> is only stressed much later in the paper. </w:t>
      </w:r>
    </w:p>
    <w:p w14:paraId="3988147B" w14:textId="1E9536BA" w:rsidR="009917CC" w:rsidRDefault="00D075E5" w:rsidP="00450319">
      <w:pPr>
        <w:jc w:val="both"/>
        <w:rPr>
          <w:lang w:val="en-GB"/>
        </w:rPr>
      </w:pPr>
      <w:r>
        <w:rPr>
          <w:lang w:val="en-GB"/>
        </w:rPr>
        <w:t xml:space="preserve">       </w:t>
      </w:r>
      <w:r w:rsidR="00450319">
        <w:rPr>
          <w:lang w:val="en-GB"/>
        </w:rPr>
        <w:t>After interviewing 120 people of both sexes from ages 16 to 95, Bennett chose the majority group of elderly women as her primary informants.</w:t>
      </w:r>
      <w:r w:rsidR="00450319">
        <w:rPr>
          <w:rStyle w:val="FootnoteReference"/>
          <w:lang w:val="en-GB"/>
        </w:rPr>
        <w:footnoteReference w:id="23"/>
      </w:r>
      <w:r w:rsidR="00450319">
        <w:rPr>
          <w:lang w:val="en-GB"/>
        </w:rPr>
        <w:t xml:space="preserve"> </w:t>
      </w:r>
      <w:r w:rsidR="003F55AE">
        <w:rPr>
          <w:lang w:val="en-GB"/>
        </w:rPr>
        <w:t>She</w:t>
      </w:r>
      <w:r w:rsidR="00450319">
        <w:rPr>
          <w:lang w:val="en-GB"/>
        </w:rPr>
        <w:t xml:space="preserve"> </w:t>
      </w:r>
      <w:r w:rsidR="003B6F89">
        <w:rPr>
          <w:lang w:val="en-GB"/>
        </w:rPr>
        <w:t xml:space="preserve">describers her methodology as </w:t>
      </w:r>
      <w:r w:rsidR="00450319">
        <w:rPr>
          <w:lang w:val="en-GB"/>
        </w:rPr>
        <w:t>“reco</w:t>
      </w:r>
      <w:r w:rsidR="003B6F89">
        <w:rPr>
          <w:lang w:val="en-GB"/>
        </w:rPr>
        <w:t>rding everything that was said”,</w:t>
      </w:r>
      <w:r w:rsidR="00544901">
        <w:rPr>
          <w:lang w:val="en-GB"/>
        </w:rPr>
        <w:t xml:space="preserve"> </w:t>
      </w:r>
      <w:r w:rsidR="009217AB">
        <w:rPr>
          <w:lang w:val="en-GB"/>
        </w:rPr>
        <w:t xml:space="preserve">during </w:t>
      </w:r>
      <w:r w:rsidR="00C72A08">
        <w:rPr>
          <w:lang w:val="en-GB"/>
        </w:rPr>
        <w:t xml:space="preserve">their </w:t>
      </w:r>
      <w:r w:rsidR="009217AB">
        <w:rPr>
          <w:lang w:val="en-GB"/>
        </w:rPr>
        <w:t>appointments</w:t>
      </w:r>
      <w:r w:rsidR="00544901">
        <w:rPr>
          <w:lang w:val="en-GB"/>
        </w:rPr>
        <w:t>. She used a qualitative approach, extracting data from her recordings</w:t>
      </w:r>
      <w:r w:rsidR="003B6F89">
        <w:rPr>
          <w:lang w:val="en-GB"/>
        </w:rPr>
        <w:t xml:space="preserve">. </w:t>
      </w:r>
      <w:r w:rsidR="009917CC">
        <w:rPr>
          <w:lang w:val="en-GB"/>
        </w:rPr>
        <w:t>A questionnaire would have influenced the language of the informants</w:t>
      </w:r>
      <w:r w:rsidR="007F614B">
        <w:rPr>
          <w:lang w:val="en-GB"/>
        </w:rPr>
        <w:t>’ responses</w:t>
      </w:r>
      <w:r w:rsidR="009917CC">
        <w:rPr>
          <w:lang w:val="en-GB"/>
        </w:rPr>
        <w:t xml:space="preserve">, however organic conversation </w:t>
      </w:r>
      <w:r w:rsidR="007F614B">
        <w:rPr>
          <w:lang w:val="en-GB"/>
        </w:rPr>
        <w:t>left</w:t>
      </w:r>
      <w:r w:rsidR="009917CC">
        <w:rPr>
          <w:lang w:val="en-GB"/>
        </w:rPr>
        <w:t xml:space="preserve"> room for linguistic data that Bennett </w:t>
      </w:r>
      <w:r w:rsidR="007F614B">
        <w:rPr>
          <w:lang w:val="en-GB"/>
        </w:rPr>
        <w:t>was able to</w:t>
      </w:r>
      <w:r w:rsidR="009917CC">
        <w:rPr>
          <w:lang w:val="en-GB"/>
        </w:rPr>
        <w:t xml:space="preserve"> </w:t>
      </w:r>
      <w:r w:rsidR="00AF680C">
        <w:rPr>
          <w:lang w:val="en-GB"/>
        </w:rPr>
        <w:t xml:space="preserve">extract nuance from with her </w:t>
      </w:r>
      <w:r w:rsidR="003D58A3">
        <w:rPr>
          <w:lang w:val="en-GB"/>
        </w:rPr>
        <w:t>linguistic expertise</w:t>
      </w:r>
      <w:r w:rsidR="00AF680C">
        <w:rPr>
          <w:lang w:val="en-GB"/>
        </w:rPr>
        <w:t xml:space="preserve">. </w:t>
      </w:r>
    </w:p>
    <w:p w14:paraId="119EE6A6" w14:textId="77777777" w:rsidR="00B47632" w:rsidRDefault="00B47632" w:rsidP="00450319">
      <w:pPr>
        <w:jc w:val="both"/>
        <w:rPr>
          <w:b/>
          <w:lang w:val="en-GB"/>
        </w:rPr>
      </w:pPr>
    </w:p>
    <w:p w14:paraId="18031A37" w14:textId="2AE7DBA3" w:rsidR="00B47632" w:rsidRPr="00457C38" w:rsidRDefault="00457C38" w:rsidP="00450319">
      <w:pPr>
        <w:jc w:val="both"/>
        <w:rPr>
          <w:b/>
          <w:u w:val="single"/>
          <w:lang w:val="en-GB"/>
        </w:rPr>
      </w:pPr>
      <w:r w:rsidRPr="00457C38">
        <w:rPr>
          <w:b/>
          <w:u w:val="single"/>
          <w:lang w:val="en-GB"/>
        </w:rPr>
        <w:t xml:space="preserve">Literature </w:t>
      </w:r>
    </w:p>
    <w:p w14:paraId="12A8B59D" w14:textId="7240CD97" w:rsidR="005D3D04" w:rsidRDefault="005506D8" w:rsidP="00450319">
      <w:pPr>
        <w:jc w:val="both"/>
        <w:rPr>
          <w:lang w:val="en-GB"/>
        </w:rPr>
      </w:pPr>
      <w:proofErr w:type="spellStart"/>
      <w:r>
        <w:rPr>
          <w:lang w:val="en-GB"/>
        </w:rPr>
        <w:t>Elemire</w:t>
      </w:r>
      <w:proofErr w:type="spellEnd"/>
      <w:r>
        <w:rPr>
          <w:lang w:val="en-GB"/>
        </w:rPr>
        <w:t xml:space="preserve"> </w:t>
      </w:r>
      <w:proofErr w:type="spellStart"/>
      <w:r>
        <w:rPr>
          <w:lang w:val="en-GB"/>
        </w:rPr>
        <w:t>Zolla</w:t>
      </w:r>
      <w:proofErr w:type="spellEnd"/>
      <w:r w:rsidR="005D3D04">
        <w:rPr>
          <w:lang w:val="en-GB"/>
        </w:rPr>
        <w:t xml:space="preserve"> who reviewed </w:t>
      </w:r>
      <w:r w:rsidR="00F56D4D">
        <w:rPr>
          <w:lang w:val="en-GB"/>
        </w:rPr>
        <w:t xml:space="preserve">the </w:t>
      </w:r>
      <w:r w:rsidR="008075CA">
        <w:rPr>
          <w:lang w:val="en-GB"/>
        </w:rPr>
        <w:t>study</w:t>
      </w:r>
      <w:r w:rsidR="00F56D4D">
        <w:rPr>
          <w:lang w:val="en-GB"/>
        </w:rPr>
        <w:t xml:space="preserve"> on ESP of </w:t>
      </w:r>
      <w:r w:rsidR="005D3D04">
        <w:rPr>
          <w:lang w:val="en-GB"/>
        </w:rPr>
        <w:t xml:space="preserve">Bennett’s main peer </w:t>
      </w:r>
      <w:proofErr w:type="spellStart"/>
      <w:r w:rsidR="005D3D04">
        <w:rPr>
          <w:lang w:val="en-GB"/>
        </w:rPr>
        <w:t>Leea</w:t>
      </w:r>
      <w:proofErr w:type="spellEnd"/>
      <w:r w:rsidR="005D3D04">
        <w:rPr>
          <w:lang w:val="en-GB"/>
        </w:rPr>
        <w:t xml:space="preserve"> </w:t>
      </w:r>
      <w:proofErr w:type="spellStart"/>
      <w:r w:rsidR="005D3D04">
        <w:rPr>
          <w:lang w:val="en-GB"/>
        </w:rPr>
        <w:t>Virtaanen</w:t>
      </w:r>
      <w:proofErr w:type="spellEnd"/>
      <w:r w:rsidR="00F56D4D">
        <w:rPr>
          <w:lang w:val="en-GB"/>
        </w:rPr>
        <w:t xml:space="preserve"> stated that Virtanen “bridged the gap” with regard to </w:t>
      </w:r>
      <w:r>
        <w:rPr>
          <w:lang w:val="en-GB"/>
        </w:rPr>
        <w:t>scientific exploration of occult phenomena and the study of the “social, folkloric element that sustains them.”</w:t>
      </w:r>
      <w:r>
        <w:rPr>
          <w:rStyle w:val="FootnoteReference"/>
          <w:lang w:val="en-GB"/>
        </w:rPr>
        <w:footnoteReference w:id="24"/>
      </w:r>
      <w:r w:rsidR="00593140">
        <w:rPr>
          <w:lang w:val="en-GB"/>
        </w:rPr>
        <w:t xml:space="preserve"> </w:t>
      </w:r>
      <w:r w:rsidR="002E7855">
        <w:rPr>
          <w:lang w:val="en-GB"/>
        </w:rPr>
        <w:t>However Bennett does not make any revealing use of Virtanen’</w:t>
      </w:r>
      <w:r w:rsidR="00081615">
        <w:rPr>
          <w:lang w:val="en-GB"/>
        </w:rPr>
        <w:t xml:space="preserve">s study for the reader, </w:t>
      </w:r>
      <w:r w:rsidR="00BA1E7A">
        <w:rPr>
          <w:lang w:val="en-GB"/>
        </w:rPr>
        <w:t>she only tells us that Virtanen</w:t>
      </w:r>
      <w:r w:rsidR="00081615">
        <w:rPr>
          <w:lang w:val="en-GB"/>
        </w:rPr>
        <w:t xml:space="preserve"> collected </w:t>
      </w:r>
      <w:r w:rsidR="00465F04">
        <w:rPr>
          <w:lang w:val="en-GB"/>
        </w:rPr>
        <w:t>1,442 reports.</w:t>
      </w:r>
      <w:r w:rsidR="00465F04">
        <w:rPr>
          <w:rStyle w:val="FootnoteReference"/>
          <w:lang w:val="en-GB"/>
        </w:rPr>
        <w:footnoteReference w:id="25"/>
      </w:r>
      <w:r w:rsidR="00081615">
        <w:rPr>
          <w:lang w:val="en-GB"/>
        </w:rPr>
        <w:t xml:space="preserve"> </w:t>
      </w:r>
      <w:r w:rsidR="002D6CFD">
        <w:rPr>
          <w:lang w:val="en-GB"/>
        </w:rPr>
        <w:t xml:space="preserve">The only effective use of </w:t>
      </w:r>
      <w:r w:rsidR="000C0A6D">
        <w:rPr>
          <w:lang w:val="en-GB"/>
        </w:rPr>
        <w:t xml:space="preserve">other literature is that of David </w:t>
      </w:r>
      <w:proofErr w:type="spellStart"/>
      <w:r w:rsidR="000C0A6D">
        <w:rPr>
          <w:lang w:val="en-GB"/>
        </w:rPr>
        <w:t>Hufford</w:t>
      </w:r>
      <w:proofErr w:type="spellEnd"/>
      <w:r w:rsidR="000C0A6D">
        <w:rPr>
          <w:lang w:val="en-GB"/>
        </w:rPr>
        <w:t>. Bennett uses his concept of “traditions of disbelief” to analyse the linguistic patterns in her informants.</w:t>
      </w:r>
      <w:r w:rsidR="000C0A6D">
        <w:rPr>
          <w:rStyle w:val="FootnoteReference"/>
          <w:lang w:val="en-GB"/>
        </w:rPr>
        <w:footnoteReference w:id="26"/>
      </w:r>
      <w:r w:rsidR="002E5DE6" w:rsidRPr="002E5DE6">
        <w:rPr>
          <w:lang w:val="en-GB"/>
        </w:rPr>
        <w:t xml:space="preserve"> </w:t>
      </w:r>
      <w:r w:rsidR="002E5DE6" w:rsidRPr="007321A1">
        <w:rPr>
          <w:lang w:val="en-GB"/>
        </w:rPr>
        <w:t xml:space="preserve">More literature about how social roles or gender affect </w:t>
      </w:r>
      <w:r w:rsidR="00F66D67">
        <w:rPr>
          <w:lang w:val="en-GB"/>
        </w:rPr>
        <w:t>beliefs in spirituality</w:t>
      </w:r>
      <w:r w:rsidR="002E5DE6" w:rsidRPr="007321A1">
        <w:rPr>
          <w:lang w:val="en-GB"/>
        </w:rPr>
        <w:t xml:space="preserve"> would have strengthened Bennett’s </w:t>
      </w:r>
      <w:r w:rsidR="002E5DE6">
        <w:rPr>
          <w:lang w:val="en-GB"/>
        </w:rPr>
        <w:t>study</w:t>
      </w:r>
      <w:r w:rsidR="002E5DE6" w:rsidRPr="007321A1">
        <w:rPr>
          <w:lang w:val="en-GB"/>
        </w:rPr>
        <w:t>.</w:t>
      </w:r>
    </w:p>
    <w:p w14:paraId="72707CC7" w14:textId="77777777" w:rsidR="00721BE4" w:rsidRDefault="00721BE4" w:rsidP="00450319">
      <w:pPr>
        <w:jc w:val="both"/>
        <w:rPr>
          <w:lang w:val="en-GB"/>
        </w:rPr>
      </w:pPr>
    </w:p>
    <w:p w14:paraId="606FE5FD" w14:textId="632B4DB6" w:rsidR="00721BE4" w:rsidRDefault="00F66D67" w:rsidP="00450319">
      <w:pPr>
        <w:jc w:val="both"/>
        <w:rPr>
          <w:lang w:val="en-GB"/>
        </w:rPr>
      </w:pPr>
      <w:r>
        <w:rPr>
          <w:lang w:val="en-GB"/>
        </w:rPr>
        <w:t xml:space="preserve">Bennett is often vague when referencing other work on her topic. </w:t>
      </w:r>
      <w:r w:rsidR="00721BE4">
        <w:rPr>
          <w:lang w:val="en-GB"/>
        </w:rPr>
        <w:t xml:space="preserve"> </w:t>
      </w:r>
      <w:r>
        <w:rPr>
          <w:lang w:val="en-GB"/>
        </w:rPr>
        <w:t>She</w:t>
      </w:r>
      <w:r w:rsidR="00721BE4">
        <w:rPr>
          <w:lang w:val="en-GB"/>
        </w:rPr>
        <w:t xml:space="preserve"> writes “A British survey” or “An American survey” followed by the year. She </w:t>
      </w:r>
      <w:r>
        <w:rPr>
          <w:lang w:val="en-GB"/>
        </w:rPr>
        <w:t>mentions</w:t>
      </w:r>
      <w:r w:rsidR="00721BE4">
        <w:rPr>
          <w:lang w:val="en-GB"/>
        </w:rPr>
        <w:t xml:space="preserve"> “a survey by sociologists of religion at Leeds University,” however she shows awareness of the limitations of her literature when she concludes: “it is impossible to decide whether they reflect genuine differences between differing populations or at different times, or whether they are a function of the methodologies employed.”</w:t>
      </w:r>
      <w:r w:rsidR="00721BE4">
        <w:rPr>
          <w:rStyle w:val="FootnoteReference"/>
          <w:lang w:val="en-GB"/>
        </w:rPr>
        <w:footnoteReference w:id="27"/>
      </w:r>
      <w:r w:rsidR="00721BE4">
        <w:rPr>
          <w:lang w:val="en-GB"/>
        </w:rPr>
        <w:t xml:space="preserve"> </w:t>
      </w:r>
      <w:r w:rsidR="00721BE4">
        <w:rPr>
          <w:rFonts w:eastAsia="Times New Roman" w:cs="Times New Roman"/>
          <w:color w:val="202122"/>
          <w:shd w:val="clear" w:color="auto" w:fill="FFFFFF"/>
          <w:lang w:val="en-GB"/>
        </w:rPr>
        <w:t xml:space="preserve">Bennett is aware of her focus on language </w:t>
      </w:r>
      <w:r w:rsidR="001F3934">
        <w:rPr>
          <w:rFonts w:eastAsia="Times New Roman" w:cs="Times New Roman"/>
          <w:color w:val="202122"/>
          <w:shd w:val="clear" w:color="auto" w:fill="FFFFFF"/>
          <w:lang w:val="en-GB"/>
        </w:rPr>
        <w:t>as well as the limitations of her work as she</w:t>
      </w:r>
      <w:r w:rsidR="00721BE4">
        <w:rPr>
          <w:rFonts w:eastAsia="Times New Roman" w:cs="Times New Roman"/>
          <w:color w:val="202122"/>
          <w:shd w:val="clear" w:color="auto" w:fill="FFFFFF"/>
          <w:lang w:val="en-GB"/>
        </w:rPr>
        <w:t xml:space="preserve"> </w:t>
      </w:r>
      <w:proofErr w:type="gramStart"/>
      <w:r w:rsidR="00721BE4" w:rsidRPr="00732E72">
        <w:rPr>
          <w:rFonts w:eastAsia="Times New Roman" w:cs="Times New Roman"/>
          <w:color w:val="202122"/>
          <w:shd w:val="clear" w:color="auto" w:fill="FFFFFF"/>
          <w:lang w:val="en-GB"/>
        </w:rPr>
        <w:t>states</w:t>
      </w:r>
      <w:proofErr w:type="gramEnd"/>
      <w:r w:rsidR="00721BE4" w:rsidRPr="00732E72">
        <w:rPr>
          <w:rFonts w:eastAsia="Times New Roman" w:cs="Times New Roman"/>
          <w:color w:val="202122"/>
          <w:shd w:val="clear" w:color="auto" w:fill="FFFFFF"/>
          <w:lang w:val="en-GB"/>
        </w:rPr>
        <w:t xml:space="preserve"> “</w:t>
      </w:r>
      <w:r w:rsidR="00721BE4" w:rsidRPr="00732E72">
        <w:rPr>
          <w:rFonts w:eastAsia="Times New Roman" w:cs="Times New Roman"/>
          <w:lang w:val="en-GB"/>
        </w:rPr>
        <w:t>there is no other study that has looked at the language by which traditions of foreknowledge are discussed.”</w:t>
      </w:r>
      <w:r w:rsidR="00721BE4" w:rsidRPr="00732E72">
        <w:rPr>
          <w:rStyle w:val="FootnoteReference"/>
          <w:rFonts w:eastAsia="Times New Roman" w:cs="Times New Roman"/>
          <w:lang w:val="en-GB"/>
        </w:rPr>
        <w:footnoteReference w:id="28"/>
      </w:r>
      <w:r w:rsidR="00721BE4" w:rsidRPr="00732E72">
        <w:rPr>
          <w:rFonts w:eastAsia="Times New Roman" w:cs="Times New Roman"/>
          <w:lang w:val="en-GB"/>
        </w:rPr>
        <w:t xml:space="preserve"> </w:t>
      </w:r>
    </w:p>
    <w:p w14:paraId="11189973" w14:textId="77777777" w:rsidR="0042631B" w:rsidRDefault="0042631B" w:rsidP="0042631B">
      <w:pPr>
        <w:jc w:val="both"/>
        <w:rPr>
          <w:b/>
          <w:lang w:val="en-GB"/>
        </w:rPr>
      </w:pPr>
    </w:p>
    <w:p w14:paraId="77C3805B" w14:textId="35BBA315" w:rsidR="0042631B" w:rsidRDefault="0042631B" w:rsidP="0042631B">
      <w:pPr>
        <w:jc w:val="both"/>
        <w:rPr>
          <w:lang w:val="en-GB"/>
        </w:rPr>
      </w:pPr>
      <w:r w:rsidRPr="007321A1">
        <w:rPr>
          <w:lang w:val="en-GB"/>
        </w:rPr>
        <w:t xml:space="preserve">Brink’s hypothesis was </w:t>
      </w:r>
      <w:r w:rsidR="00BA1E7A">
        <w:rPr>
          <w:lang w:val="en-GB"/>
        </w:rPr>
        <w:t>centred on</w:t>
      </w:r>
      <w:r w:rsidRPr="007321A1">
        <w:rPr>
          <w:lang w:val="en-GB"/>
        </w:rPr>
        <w:t xml:space="preserve"> the nature of belief, and his literature directly addressed this issue, whereas Bennett was concerned with both social roles and the morality of ESP</w:t>
      </w:r>
      <w:r w:rsidR="00BA1E7A">
        <w:rPr>
          <w:lang w:val="en-GB"/>
        </w:rPr>
        <w:t>, but her literature addressed neither of these themes</w:t>
      </w:r>
      <w:r w:rsidRPr="007321A1">
        <w:rPr>
          <w:lang w:val="en-GB"/>
        </w:rPr>
        <w:t xml:space="preserve">. </w:t>
      </w:r>
      <w:r>
        <w:rPr>
          <w:lang w:val="en-GB"/>
        </w:rPr>
        <w:t xml:space="preserve">In his conclusion Brink writes “a consideration of the function of beliefs may be helpful,” before referencing several academics </w:t>
      </w:r>
      <w:proofErr w:type="gramStart"/>
      <w:r>
        <w:rPr>
          <w:lang w:val="en-GB"/>
        </w:rPr>
        <w:t>who</w:t>
      </w:r>
      <w:proofErr w:type="gramEnd"/>
      <w:r>
        <w:rPr>
          <w:lang w:val="en-GB"/>
        </w:rPr>
        <w:t xml:space="preserve"> support the idea that beliefs are there “to protect the ego by reinterpreting situations with which the ego cannot cope.”</w:t>
      </w:r>
      <w:r>
        <w:rPr>
          <w:rStyle w:val="FootnoteReference"/>
          <w:lang w:val="en-GB"/>
        </w:rPr>
        <w:footnoteReference w:id="29"/>
      </w:r>
      <w:r>
        <w:rPr>
          <w:lang w:val="en-GB"/>
        </w:rPr>
        <w:t xml:space="preserve"> This directly correlates to the inconsistency of belief</w:t>
      </w:r>
      <w:r w:rsidR="00BA1E7A">
        <w:rPr>
          <w:lang w:val="en-GB"/>
        </w:rPr>
        <w:t xml:space="preserve"> at the heart of the study. The sources in question are Daniel Katz, Irving Sarnoff and Charles McClintock</w:t>
      </w:r>
      <w:r>
        <w:rPr>
          <w:lang w:val="en-GB"/>
        </w:rPr>
        <w:t xml:space="preserve"> are psychologists, which is helpful as it directly addresses the orientation of </w:t>
      </w:r>
      <w:r w:rsidR="00BA1E7A">
        <w:rPr>
          <w:lang w:val="en-GB"/>
        </w:rPr>
        <w:t>Brink’s</w:t>
      </w:r>
      <w:r>
        <w:rPr>
          <w:lang w:val="en-GB"/>
        </w:rPr>
        <w:t xml:space="preserve"> research </w:t>
      </w:r>
      <w:r w:rsidR="00BA1E7A">
        <w:rPr>
          <w:lang w:val="en-GB"/>
        </w:rPr>
        <w:t>on</w:t>
      </w:r>
      <w:r>
        <w:rPr>
          <w:lang w:val="en-GB"/>
        </w:rPr>
        <w:t xml:space="preserve"> religious be</w:t>
      </w:r>
      <w:r w:rsidR="00BA1E7A">
        <w:rPr>
          <w:lang w:val="en-GB"/>
        </w:rPr>
        <w:t>lief within the context of the psychology of belief.</w:t>
      </w:r>
      <w:r w:rsidR="00BA1E7A">
        <w:rPr>
          <w:rStyle w:val="FootnoteReference"/>
          <w:lang w:val="en-GB"/>
        </w:rPr>
        <w:footnoteReference w:id="30"/>
      </w:r>
      <w:r w:rsidR="00F66D67">
        <w:rPr>
          <w:lang w:val="en-GB"/>
        </w:rPr>
        <w:t xml:space="preserve"> </w:t>
      </w:r>
      <w:proofErr w:type="spellStart"/>
      <w:r w:rsidR="009E23FA">
        <w:rPr>
          <w:lang w:val="en-GB"/>
        </w:rPr>
        <w:t>Wuthnow</w:t>
      </w:r>
      <w:proofErr w:type="spellEnd"/>
      <w:r w:rsidR="009E23FA">
        <w:rPr>
          <w:lang w:val="en-GB"/>
        </w:rPr>
        <w:t xml:space="preserve">, </w:t>
      </w:r>
      <w:r w:rsidR="000F5FEA">
        <w:rPr>
          <w:lang w:val="en-GB"/>
        </w:rPr>
        <w:t>Brink’s other reference, is an American sociologist of religion whose work directly correlates to Brink’s findings that “the higher the index of marginality, the greater the likelihood of belief in astrology.”</w:t>
      </w:r>
      <w:r w:rsidR="000F5FEA">
        <w:rPr>
          <w:rStyle w:val="FootnoteReference"/>
          <w:lang w:val="en-GB"/>
        </w:rPr>
        <w:footnoteReference w:id="31"/>
      </w:r>
      <w:r w:rsidR="00F66D67">
        <w:rPr>
          <w:lang w:val="en-GB"/>
        </w:rPr>
        <w:t xml:space="preserve"> </w:t>
      </w:r>
      <w:r w:rsidR="00A93C51">
        <w:rPr>
          <w:lang w:val="en-GB"/>
        </w:rPr>
        <w:t xml:space="preserve">Brink’s choice of </w:t>
      </w:r>
      <w:r w:rsidR="00814C73">
        <w:rPr>
          <w:lang w:val="en-GB"/>
        </w:rPr>
        <w:t>references</w:t>
      </w:r>
      <w:r w:rsidR="00A93C51">
        <w:rPr>
          <w:lang w:val="en-GB"/>
        </w:rPr>
        <w:t xml:space="preserve"> is precise and </w:t>
      </w:r>
      <w:r w:rsidR="00814C73">
        <w:rPr>
          <w:lang w:val="en-GB"/>
        </w:rPr>
        <w:t>directly supports</w:t>
      </w:r>
      <w:r w:rsidR="00A93C51">
        <w:rPr>
          <w:lang w:val="en-GB"/>
        </w:rPr>
        <w:t xml:space="preserve"> his findings. </w:t>
      </w:r>
    </w:p>
    <w:p w14:paraId="485742AE" w14:textId="77777777" w:rsidR="00450319" w:rsidRDefault="00450319" w:rsidP="00450319">
      <w:pPr>
        <w:jc w:val="both"/>
        <w:rPr>
          <w:lang w:val="en-GB"/>
        </w:rPr>
      </w:pPr>
    </w:p>
    <w:p w14:paraId="56A5F583" w14:textId="4E088281" w:rsidR="00450319" w:rsidRPr="00230FBE" w:rsidRDefault="008075CA" w:rsidP="00450319">
      <w:pPr>
        <w:jc w:val="both"/>
        <w:rPr>
          <w:b/>
          <w:u w:val="single"/>
          <w:lang w:val="en-GB"/>
        </w:rPr>
      </w:pPr>
      <w:r>
        <w:rPr>
          <w:b/>
          <w:u w:val="single"/>
          <w:lang w:val="en-GB"/>
        </w:rPr>
        <w:t>Structure &amp; Use of data</w:t>
      </w:r>
    </w:p>
    <w:p w14:paraId="6A8D9ACB" w14:textId="77777777" w:rsidR="00A6053F" w:rsidRDefault="00A6053F" w:rsidP="00450319">
      <w:pPr>
        <w:jc w:val="both"/>
        <w:rPr>
          <w:lang w:val="en-GB"/>
        </w:rPr>
      </w:pPr>
    </w:p>
    <w:p w14:paraId="5A7EE3F9" w14:textId="04C388A1" w:rsidR="00FE6800" w:rsidRPr="00FE6800" w:rsidRDefault="002568D8" w:rsidP="0016395B">
      <w:pPr>
        <w:jc w:val="both"/>
        <w:rPr>
          <w:lang w:val="en-GB"/>
        </w:rPr>
      </w:pPr>
      <w:r>
        <w:rPr>
          <w:lang w:val="en-GB"/>
        </w:rPr>
        <w:t xml:space="preserve">Bennett chose a literary approach </w:t>
      </w:r>
      <w:r w:rsidR="0059078F">
        <w:rPr>
          <w:lang w:val="en-GB"/>
        </w:rPr>
        <w:t>by presenting</w:t>
      </w:r>
      <w:r w:rsidR="007C1CCA">
        <w:rPr>
          <w:lang w:val="en-GB"/>
        </w:rPr>
        <w:t xml:space="preserve"> a quotation from an 18</w:t>
      </w:r>
      <w:r w:rsidR="007C1CCA" w:rsidRPr="007C1CCA">
        <w:rPr>
          <w:vertAlign w:val="superscript"/>
          <w:lang w:val="en-GB"/>
        </w:rPr>
        <w:t>th</w:t>
      </w:r>
      <w:r w:rsidR="007C1CCA">
        <w:rPr>
          <w:lang w:val="en-GB"/>
        </w:rPr>
        <w:t xml:space="preserve"> century reference </w:t>
      </w:r>
      <w:r w:rsidR="006A0C49">
        <w:rPr>
          <w:lang w:val="en-GB"/>
        </w:rPr>
        <w:t>as the ‘focus’ of her essay</w:t>
      </w:r>
      <w:r w:rsidR="0016395B">
        <w:rPr>
          <w:lang w:val="en-GB"/>
        </w:rPr>
        <w:t>.</w:t>
      </w:r>
      <w:r w:rsidR="006A0C49">
        <w:rPr>
          <w:lang w:val="en-GB"/>
        </w:rPr>
        <w:t xml:space="preserve"> </w:t>
      </w:r>
      <w:r w:rsidR="0016395B">
        <w:rPr>
          <w:lang w:val="en-GB"/>
        </w:rPr>
        <w:t xml:space="preserve">She </w:t>
      </w:r>
      <w:r w:rsidR="0016395B" w:rsidRPr="00716231">
        <w:rPr>
          <w:lang w:val="en-GB"/>
        </w:rPr>
        <w:t xml:space="preserve">states in her introduction </w:t>
      </w:r>
      <w:r w:rsidR="0016395B">
        <w:rPr>
          <w:lang w:val="en-GB"/>
        </w:rPr>
        <w:t>that her paper is concerned with</w:t>
      </w:r>
      <w:r w:rsidR="0016395B" w:rsidRPr="00716231">
        <w:rPr>
          <w:lang w:val="en-GB"/>
        </w:rPr>
        <w:t xml:space="preserve"> “the common consent and agreement of Mankind,” </w:t>
      </w:r>
      <w:r>
        <w:rPr>
          <w:lang w:val="en-GB"/>
        </w:rPr>
        <w:t>quoting</w:t>
      </w:r>
      <w:r w:rsidR="0016395B" w:rsidRPr="00716231">
        <w:rPr>
          <w:lang w:val="en-GB"/>
        </w:rPr>
        <w:t xml:space="preserve"> </w:t>
      </w:r>
      <w:r w:rsidR="00F0137C">
        <w:rPr>
          <w:lang w:val="en-GB"/>
        </w:rPr>
        <w:t>an</w:t>
      </w:r>
      <w:r w:rsidR="0016395B" w:rsidRPr="00716231">
        <w:rPr>
          <w:lang w:val="en-GB"/>
        </w:rPr>
        <w:t xml:space="preserve"> 18</w:t>
      </w:r>
      <w:r w:rsidR="0016395B" w:rsidRPr="00716231">
        <w:rPr>
          <w:vertAlign w:val="superscript"/>
          <w:lang w:val="en-GB"/>
        </w:rPr>
        <w:t>th</w:t>
      </w:r>
      <w:r w:rsidR="0016395B" w:rsidRPr="00716231">
        <w:rPr>
          <w:lang w:val="en-GB"/>
        </w:rPr>
        <w:t xml:space="preserve"> century </w:t>
      </w:r>
      <w:r w:rsidR="0016395B">
        <w:rPr>
          <w:lang w:val="en-GB"/>
        </w:rPr>
        <w:t>historian</w:t>
      </w:r>
      <w:r w:rsidR="0016395B" w:rsidRPr="00716231">
        <w:rPr>
          <w:lang w:val="en-GB"/>
        </w:rPr>
        <w:t xml:space="preserve"> on the topic of dreams and divination.</w:t>
      </w:r>
      <w:r w:rsidR="0016395B" w:rsidRPr="00716231">
        <w:rPr>
          <w:rStyle w:val="FootnoteReference"/>
          <w:lang w:val="en-GB"/>
        </w:rPr>
        <w:footnoteReference w:id="32"/>
      </w:r>
      <w:r w:rsidR="0016395B" w:rsidRPr="00716231">
        <w:rPr>
          <w:lang w:val="en-GB"/>
        </w:rPr>
        <w:t xml:space="preserve"> She is careful to quote the words “consent” and “agreement”, but it is only towards the end of her paper that she discusses at great length the moral implications of involuntary premonitions or receiving of omens, and the ethical concerns surrounding “delving”</w:t>
      </w:r>
      <w:r w:rsidR="0016395B">
        <w:rPr>
          <w:lang w:val="en-GB"/>
        </w:rPr>
        <w:t xml:space="preserve"> or conscious psychic intervention</w:t>
      </w:r>
      <w:r w:rsidR="0016395B" w:rsidRPr="00716231">
        <w:rPr>
          <w:lang w:val="en-GB"/>
        </w:rPr>
        <w:t>.</w:t>
      </w:r>
      <w:r w:rsidR="0016395B" w:rsidRPr="00716231">
        <w:rPr>
          <w:rStyle w:val="FootnoteReference"/>
          <w:lang w:val="en-GB"/>
        </w:rPr>
        <w:footnoteReference w:id="33"/>
      </w:r>
      <w:r w:rsidR="00FE6800">
        <w:rPr>
          <w:lang w:val="en-GB"/>
        </w:rPr>
        <w:t xml:space="preserve"> She does so through careful consideration of her informants’ language. Therefore what she states a</w:t>
      </w:r>
      <w:r w:rsidR="0016395B" w:rsidRPr="00716231">
        <w:rPr>
          <w:lang w:val="en-GB"/>
        </w:rPr>
        <w:t xml:space="preserve">s the focus of her paper is </w:t>
      </w:r>
      <w:r w:rsidR="00FE6800">
        <w:rPr>
          <w:lang w:val="en-GB"/>
        </w:rPr>
        <w:t xml:space="preserve">only </w:t>
      </w:r>
      <w:r w:rsidR="0016395B" w:rsidRPr="00716231">
        <w:rPr>
          <w:lang w:val="en-GB"/>
        </w:rPr>
        <w:t xml:space="preserve">returned to after fourteen pages, where she makes use </w:t>
      </w:r>
      <w:r w:rsidR="00DA67CA">
        <w:rPr>
          <w:lang w:val="en-GB"/>
        </w:rPr>
        <w:t xml:space="preserve">of </w:t>
      </w:r>
      <w:r w:rsidR="0016395B" w:rsidRPr="00716231">
        <w:rPr>
          <w:lang w:val="en-GB"/>
        </w:rPr>
        <w:t xml:space="preserve">lengthy quotations that correlate to </w:t>
      </w:r>
      <w:r w:rsidR="0016395B">
        <w:rPr>
          <w:lang w:val="en-GB"/>
        </w:rPr>
        <w:t xml:space="preserve">this intended focus. </w:t>
      </w:r>
      <w:r w:rsidR="00AD42D8" w:rsidRPr="00FE6800">
        <w:rPr>
          <w:lang w:val="en-GB"/>
        </w:rPr>
        <w:t xml:space="preserve">The fact that she began from a literary standpoint when examining a social issue, </w:t>
      </w:r>
      <w:r w:rsidR="00FE6800">
        <w:rPr>
          <w:lang w:val="en-GB"/>
        </w:rPr>
        <w:t xml:space="preserve">should have been a methodological advantage, but it became a structural obstacle as it took her 14 pages to dig into recorded interviews. </w:t>
      </w:r>
    </w:p>
    <w:p w14:paraId="7DB8F29E" w14:textId="77777777" w:rsidR="00EC3900" w:rsidRDefault="00EC3900" w:rsidP="00342E07">
      <w:pPr>
        <w:jc w:val="both"/>
        <w:rPr>
          <w:lang w:val="en-GB"/>
        </w:rPr>
      </w:pPr>
    </w:p>
    <w:p w14:paraId="1BA11074" w14:textId="16572756" w:rsidR="006D45A0" w:rsidRDefault="006A07B5" w:rsidP="00342E07">
      <w:pPr>
        <w:jc w:val="both"/>
        <w:rPr>
          <w:lang w:val="en-GB"/>
        </w:rPr>
      </w:pPr>
      <w:r>
        <w:rPr>
          <w:lang w:val="en-GB"/>
        </w:rPr>
        <w:t xml:space="preserve">On page 139, Bennett </w:t>
      </w:r>
      <w:r w:rsidR="00714B99">
        <w:rPr>
          <w:lang w:val="en-GB"/>
        </w:rPr>
        <w:t>finally</w:t>
      </w:r>
      <w:r>
        <w:rPr>
          <w:lang w:val="en-GB"/>
        </w:rPr>
        <w:t xml:space="preserve"> includes lengthy citations from women </w:t>
      </w:r>
      <w:r w:rsidR="00A33DEE">
        <w:rPr>
          <w:lang w:val="en-GB"/>
        </w:rPr>
        <w:t xml:space="preserve">who have foretold the future to family and friends. This section </w:t>
      </w:r>
      <w:r w:rsidR="00F55340">
        <w:rPr>
          <w:lang w:val="en-GB"/>
        </w:rPr>
        <w:t xml:space="preserve">presents </w:t>
      </w:r>
      <w:r w:rsidR="00653B19">
        <w:rPr>
          <w:lang w:val="en-GB"/>
        </w:rPr>
        <w:t xml:space="preserve">the moral concerns of both </w:t>
      </w:r>
      <w:r w:rsidR="00113440">
        <w:rPr>
          <w:lang w:val="en-GB"/>
        </w:rPr>
        <w:t xml:space="preserve">the </w:t>
      </w:r>
      <w:r w:rsidR="00653B19">
        <w:rPr>
          <w:lang w:val="en-GB"/>
        </w:rPr>
        <w:t>accidental premonitions and what she calls “delving” – attempting to consciously pre-tell the future.</w:t>
      </w:r>
      <w:r w:rsidR="00653B19">
        <w:rPr>
          <w:rStyle w:val="FootnoteReference"/>
          <w:lang w:val="en-GB"/>
        </w:rPr>
        <w:footnoteReference w:id="34"/>
      </w:r>
      <w:r w:rsidR="00113440">
        <w:rPr>
          <w:lang w:val="en-GB"/>
        </w:rPr>
        <w:t xml:space="preserve"> Bennett concludes</w:t>
      </w:r>
      <w:r w:rsidR="00AF6FDD">
        <w:rPr>
          <w:lang w:val="en-GB"/>
        </w:rPr>
        <w:t xml:space="preserve"> about her informants</w:t>
      </w:r>
      <w:r w:rsidR="00113440">
        <w:rPr>
          <w:lang w:val="en-GB"/>
        </w:rPr>
        <w:t xml:space="preserve"> “so the women are careful to stress that they do not really believe in these things and are apt to hedge their stories and experiences with apologies and explanations -  “I did it for a laugh”” etc. </w:t>
      </w:r>
      <w:r w:rsidR="00BF25F6">
        <w:rPr>
          <w:lang w:val="en-GB"/>
        </w:rPr>
        <w:t>referencing her subjec</w:t>
      </w:r>
      <w:r w:rsidR="00900FF8">
        <w:rPr>
          <w:lang w:val="en-GB"/>
        </w:rPr>
        <w:t>ts from the start of the paper.</w:t>
      </w:r>
      <w:r w:rsidR="00900FF8">
        <w:rPr>
          <w:rStyle w:val="FootnoteReference"/>
          <w:lang w:val="en-GB"/>
        </w:rPr>
        <w:footnoteReference w:id="35"/>
      </w:r>
      <w:r w:rsidR="002E58A3">
        <w:rPr>
          <w:lang w:val="en-GB"/>
        </w:rPr>
        <w:t xml:space="preserve"> Thus she </w:t>
      </w:r>
      <w:r w:rsidR="00D40BDC">
        <w:rPr>
          <w:lang w:val="en-GB"/>
        </w:rPr>
        <w:t xml:space="preserve">draws </w:t>
      </w:r>
      <w:r w:rsidR="002E58A3">
        <w:rPr>
          <w:lang w:val="en-GB"/>
        </w:rPr>
        <w:t xml:space="preserve">conclusions between the women who diminished their pursuit of Astrology readings </w:t>
      </w:r>
      <w:r w:rsidR="00D40BDC">
        <w:rPr>
          <w:lang w:val="en-GB"/>
        </w:rPr>
        <w:t xml:space="preserve">and the potential moral pitfalls of psychic readings. </w:t>
      </w:r>
      <w:r w:rsidR="006D45A0">
        <w:rPr>
          <w:lang w:val="en-GB"/>
        </w:rPr>
        <w:t>This section</w:t>
      </w:r>
      <w:r w:rsidR="00714B99">
        <w:rPr>
          <w:lang w:val="en-GB"/>
        </w:rPr>
        <w:t xml:space="preserve"> </w:t>
      </w:r>
      <w:r w:rsidR="000639B1">
        <w:rPr>
          <w:lang w:val="en-GB"/>
        </w:rPr>
        <w:t xml:space="preserve">shows a direct link between her data, </w:t>
      </w:r>
      <w:r w:rsidR="00714B99">
        <w:rPr>
          <w:lang w:val="en-GB"/>
        </w:rPr>
        <w:t xml:space="preserve">the language </w:t>
      </w:r>
      <w:r w:rsidR="006D45A0">
        <w:rPr>
          <w:lang w:val="en-GB"/>
        </w:rPr>
        <w:t>of her informants</w:t>
      </w:r>
      <w:r w:rsidR="00B9327D">
        <w:rPr>
          <w:lang w:val="en-GB"/>
        </w:rPr>
        <w:t xml:space="preserve"> </w:t>
      </w:r>
      <w:r w:rsidR="000639B1">
        <w:rPr>
          <w:lang w:val="en-GB"/>
        </w:rPr>
        <w:t xml:space="preserve">and her intended focus. Therefore the end of Bennett’s paper becomes the </w:t>
      </w:r>
      <w:r w:rsidR="00AF6FDD">
        <w:rPr>
          <w:lang w:val="en-GB"/>
        </w:rPr>
        <w:t xml:space="preserve">most </w:t>
      </w:r>
      <w:r w:rsidR="00DA67CA">
        <w:rPr>
          <w:lang w:val="en-GB"/>
        </w:rPr>
        <w:t>revealing</w:t>
      </w:r>
      <w:r w:rsidR="00AF6FDD">
        <w:rPr>
          <w:lang w:val="en-GB"/>
        </w:rPr>
        <w:t xml:space="preserve"> </w:t>
      </w:r>
      <w:r w:rsidR="000639B1">
        <w:rPr>
          <w:lang w:val="en-GB"/>
        </w:rPr>
        <w:t xml:space="preserve">once her linguistic analysis </w:t>
      </w:r>
      <w:r w:rsidR="00DA67CA">
        <w:rPr>
          <w:lang w:val="en-GB"/>
        </w:rPr>
        <w:t>is</w:t>
      </w:r>
      <w:r w:rsidR="000639B1">
        <w:rPr>
          <w:lang w:val="en-GB"/>
        </w:rPr>
        <w:t xml:space="preserve"> used as evidence for the nuanced differences in bel</w:t>
      </w:r>
      <w:r w:rsidR="00DA67CA">
        <w:rPr>
          <w:lang w:val="en-GB"/>
        </w:rPr>
        <w:t xml:space="preserve">iefs between a homogenous </w:t>
      </w:r>
      <w:proofErr w:type="gramStart"/>
      <w:r w:rsidR="00DA67CA">
        <w:rPr>
          <w:lang w:val="en-GB"/>
        </w:rPr>
        <w:t>group</w:t>
      </w:r>
      <w:proofErr w:type="gramEnd"/>
      <w:r w:rsidR="00DA67CA">
        <w:rPr>
          <w:lang w:val="en-GB"/>
        </w:rPr>
        <w:t xml:space="preserve">. </w:t>
      </w:r>
    </w:p>
    <w:p w14:paraId="02AA18C9" w14:textId="77777777" w:rsidR="005242A0" w:rsidRDefault="005242A0" w:rsidP="00342E07">
      <w:pPr>
        <w:jc w:val="both"/>
        <w:rPr>
          <w:lang w:val="en-GB"/>
        </w:rPr>
      </w:pPr>
    </w:p>
    <w:p w14:paraId="52858420" w14:textId="77777777" w:rsidR="005242A0" w:rsidRDefault="005242A0" w:rsidP="00342E07">
      <w:pPr>
        <w:jc w:val="both"/>
        <w:rPr>
          <w:lang w:val="en-GB"/>
        </w:rPr>
      </w:pPr>
    </w:p>
    <w:p w14:paraId="3DAD55C7" w14:textId="7171256B" w:rsidR="006D45A0" w:rsidRDefault="00AD4E13" w:rsidP="006D45A0">
      <w:pPr>
        <w:jc w:val="both"/>
        <w:rPr>
          <w:b/>
          <w:lang w:val="en-GB"/>
        </w:rPr>
      </w:pPr>
      <w:r w:rsidRPr="00AD4E13">
        <w:rPr>
          <w:b/>
          <w:u w:val="single"/>
          <w:lang w:val="en-GB"/>
        </w:rPr>
        <w:t xml:space="preserve">Conclusion </w:t>
      </w:r>
    </w:p>
    <w:p w14:paraId="0E9030D0" w14:textId="77777777" w:rsidR="00AD4E13" w:rsidRDefault="00AD4E13" w:rsidP="00342E07">
      <w:pPr>
        <w:jc w:val="both"/>
        <w:rPr>
          <w:lang w:val="en-GB"/>
        </w:rPr>
      </w:pPr>
    </w:p>
    <w:p w14:paraId="10F50BC8" w14:textId="66341032" w:rsidR="009152D3" w:rsidRDefault="00D63C7B" w:rsidP="00342E07">
      <w:pPr>
        <w:jc w:val="both"/>
        <w:rPr>
          <w:lang w:val="en-GB"/>
        </w:rPr>
      </w:pPr>
      <w:r>
        <w:rPr>
          <w:lang w:val="en-GB"/>
        </w:rPr>
        <w:t xml:space="preserve">Belden Lane wrote on the study of the </w:t>
      </w:r>
      <w:r w:rsidRPr="00B62FE0">
        <w:rPr>
          <w:i/>
          <w:lang w:val="en-GB"/>
        </w:rPr>
        <w:t>Sacred</w:t>
      </w:r>
      <w:r>
        <w:rPr>
          <w:lang w:val="en-GB"/>
        </w:rPr>
        <w:t>, that: “Beyond the need for interdisciplinary insight is the deeper, even more difficult question of language. How can spiritual experience be examined and described without either abstracting it entirely from the emotions and ambience of the original encounter, or simply repeating the naked event in the non-reflective immediacy of the placed moment? The language of objective analysis is too abstract. The only alternative, perhaps, is to borrow the poet’s third eye.”</w:t>
      </w:r>
      <w:r w:rsidRPr="00C24728">
        <w:rPr>
          <w:rStyle w:val="FootnoteReference"/>
          <w:lang w:val="en-GB"/>
        </w:rPr>
        <w:t xml:space="preserve"> </w:t>
      </w:r>
      <w:r>
        <w:rPr>
          <w:rStyle w:val="FootnoteReference"/>
          <w:lang w:val="en-GB"/>
        </w:rPr>
        <w:footnoteReference w:id="36"/>
      </w:r>
      <w:r w:rsidR="005C7D61">
        <w:rPr>
          <w:lang w:val="en-GB"/>
        </w:rPr>
        <w:t xml:space="preserve"> Bennett </w:t>
      </w:r>
      <w:r>
        <w:rPr>
          <w:lang w:val="en-GB"/>
        </w:rPr>
        <w:t xml:space="preserve">began her </w:t>
      </w:r>
      <w:r w:rsidR="005C7D61">
        <w:rPr>
          <w:lang w:val="en-GB"/>
        </w:rPr>
        <w:t>paper by quoting John Beaumont and this literary</w:t>
      </w:r>
      <w:r>
        <w:rPr>
          <w:lang w:val="en-GB"/>
        </w:rPr>
        <w:t xml:space="preserve"> approach lends a poetic lens to her introduction. In keeping with Lane, it seems Bennett has understood the nuance of</w:t>
      </w:r>
      <w:r w:rsidR="005C7D61">
        <w:rPr>
          <w:lang w:val="en-GB"/>
        </w:rPr>
        <w:t xml:space="preserve"> this linguistic lens that gives great insight to spiritual experience. However her paper suffered due to a lack of clear hypothesis, which was the advantage and strong architecture of Brink’s study. For Brink, the</w:t>
      </w:r>
      <w:r w:rsidR="005C7D61" w:rsidRPr="0054081A">
        <w:rPr>
          <w:lang w:val="en-GB"/>
        </w:rPr>
        <w:t xml:space="preserve"> lack of consistency in the statements selected are present so early on in his study that he was able to </w:t>
      </w:r>
      <w:r w:rsidR="00685FE2">
        <w:rPr>
          <w:lang w:val="en-GB"/>
        </w:rPr>
        <w:t>subsequently use</w:t>
      </w:r>
      <w:r w:rsidR="005C7D61" w:rsidRPr="0054081A">
        <w:rPr>
          <w:lang w:val="en-GB"/>
        </w:rPr>
        <w:t xml:space="preserve"> literature to </w:t>
      </w:r>
      <w:r w:rsidR="005C7D61">
        <w:rPr>
          <w:lang w:val="en-GB"/>
        </w:rPr>
        <w:t xml:space="preserve">directly </w:t>
      </w:r>
      <w:r w:rsidR="005C7D61" w:rsidRPr="0054081A">
        <w:rPr>
          <w:lang w:val="en-GB"/>
        </w:rPr>
        <w:t>discuss this inconsistency.</w:t>
      </w:r>
      <w:r w:rsidR="005C7D61" w:rsidRPr="000E7FDE">
        <w:rPr>
          <w:b/>
          <w:lang w:val="en-GB"/>
        </w:rPr>
        <w:t xml:space="preserve"> </w:t>
      </w:r>
      <w:r w:rsidR="0054081A" w:rsidRPr="0054081A">
        <w:rPr>
          <w:lang w:val="en-GB"/>
        </w:rPr>
        <w:t>Bennett instead spends most of her paper working out a hypothesis, as well as finding the revealing data towards the end.</w:t>
      </w:r>
      <w:r w:rsidR="00685FE2">
        <w:rPr>
          <w:lang w:val="en-GB"/>
        </w:rPr>
        <w:t xml:space="preserve"> </w:t>
      </w:r>
      <w:r w:rsidR="009152D3" w:rsidRPr="00685FE2">
        <w:rPr>
          <w:lang w:val="en-GB"/>
        </w:rPr>
        <w:t xml:space="preserve">If Bennett believed at the start that different social roles in these domesticated </w:t>
      </w:r>
      <w:proofErr w:type="gramStart"/>
      <w:r w:rsidR="009152D3" w:rsidRPr="00685FE2">
        <w:rPr>
          <w:lang w:val="en-GB"/>
        </w:rPr>
        <w:t>women</w:t>
      </w:r>
      <w:proofErr w:type="gramEnd"/>
      <w:r w:rsidR="009152D3" w:rsidRPr="00685FE2">
        <w:rPr>
          <w:lang w:val="en-GB"/>
        </w:rPr>
        <w:t xml:space="preserve"> as caretakers would have had an effect on their beliefs in ESP, then her study would have benefited from making this hypothesis more explicit. It is only once her quotations fro</w:t>
      </w:r>
      <w:r w:rsidR="00975CF8">
        <w:rPr>
          <w:lang w:val="en-GB"/>
        </w:rPr>
        <w:t xml:space="preserve">m interviews support this idea </w:t>
      </w:r>
      <w:r w:rsidR="00685FE2" w:rsidRPr="00685FE2">
        <w:rPr>
          <w:lang w:val="en-GB"/>
        </w:rPr>
        <w:t xml:space="preserve">that her position becomes clear and her data is revealing. </w:t>
      </w:r>
    </w:p>
    <w:p w14:paraId="765E473F" w14:textId="77777777" w:rsidR="00975CF8" w:rsidRDefault="00975CF8" w:rsidP="00342E07">
      <w:pPr>
        <w:jc w:val="both"/>
        <w:rPr>
          <w:lang w:val="en-GB"/>
        </w:rPr>
      </w:pPr>
    </w:p>
    <w:p w14:paraId="19E02A1C" w14:textId="77777777" w:rsidR="00975CF8" w:rsidRPr="00685FE2" w:rsidRDefault="00975CF8" w:rsidP="00342E07">
      <w:pPr>
        <w:jc w:val="both"/>
        <w:rPr>
          <w:lang w:val="en-GB"/>
        </w:rPr>
      </w:pPr>
    </w:p>
    <w:p w14:paraId="32AEB487" w14:textId="77777777" w:rsidR="009917CC" w:rsidRPr="00685FE2" w:rsidRDefault="009917CC" w:rsidP="00342E07">
      <w:pPr>
        <w:jc w:val="both"/>
        <w:rPr>
          <w:lang w:val="en-GB"/>
        </w:rPr>
      </w:pPr>
    </w:p>
    <w:p w14:paraId="045E8592" w14:textId="77777777" w:rsidR="00BA3319" w:rsidRPr="00685FE2" w:rsidRDefault="00BA3319" w:rsidP="00342E07">
      <w:pPr>
        <w:jc w:val="both"/>
        <w:rPr>
          <w:lang w:val="en-GB"/>
        </w:rPr>
      </w:pPr>
    </w:p>
    <w:p w14:paraId="708DCF88" w14:textId="77777777" w:rsidR="009917CC" w:rsidRPr="00685FE2" w:rsidRDefault="009917CC" w:rsidP="00342E07">
      <w:pPr>
        <w:jc w:val="both"/>
        <w:rPr>
          <w:lang w:val="en-GB"/>
        </w:rPr>
      </w:pPr>
    </w:p>
    <w:p w14:paraId="40253224" w14:textId="77777777" w:rsidR="009917CC" w:rsidRPr="00685FE2" w:rsidRDefault="009917CC" w:rsidP="00342E07">
      <w:pPr>
        <w:jc w:val="both"/>
        <w:rPr>
          <w:lang w:val="en-GB"/>
        </w:rPr>
      </w:pPr>
    </w:p>
    <w:p w14:paraId="6E016BFD" w14:textId="77777777" w:rsidR="009917CC" w:rsidRDefault="009917CC" w:rsidP="00342E07">
      <w:pPr>
        <w:jc w:val="both"/>
        <w:rPr>
          <w:lang w:val="en-GB"/>
        </w:rPr>
      </w:pPr>
    </w:p>
    <w:p w14:paraId="4798ABBE" w14:textId="77777777" w:rsidR="009917CC" w:rsidRDefault="009917CC" w:rsidP="00342E07">
      <w:pPr>
        <w:jc w:val="both"/>
        <w:rPr>
          <w:lang w:val="en-GB"/>
        </w:rPr>
      </w:pPr>
    </w:p>
    <w:p w14:paraId="470161FA" w14:textId="77777777" w:rsidR="009917CC" w:rsidRDefault="009917CC" w:rsidP="00342E07">
      <w:pPr>
        <w:jc w:val="both"/>
        <w:rPr>
          <w:lang w:val="en-GB"/>
        </w:rPr>
      </w:pPr>
    </w:p>
    <w:p w14:paraId="1B189860" w14:textId="77777777" w:rsidR="009917CC" w:rsidRDefault="009917CC" w:rsidP="00342E07">
      <w:pPr>
        <w:jc w:val="both"/>
        <w:rPr>
          <w:lang w:val="en-GB"/>
        </w:rPr>
      </w:pPr>
    </w:p>
    <w:p w14:paraId="199A6B93" w14:textId="77777777" w:rsidR="009917CC" w:rsidRDefault="009917CC" w:rsidP="00342E07">
      <w:pPr>
        <w:jc w:val="both"/>
        <w:rPr>
          <w:lang w:val="en-GB"/>
        </w:rPr>
      </w:pPr>
    </w:p>
    <w:p w14:paraId="649230CF" w14:textId="77777777" w:rsidR="009917CC" w:rsidRDefault="009917CC" w:rsidP="00342E07">
      <w:pPr>
        <w:jc w:val="both"/>
        <w:rPr>
          <w:lang w:val="en-GB"/>
        </w:rPr>
      </w:pPr>
    </w:p>
    <w:p w14:paraId="2CFB9695" w14:textId="77777777" w:rsidR="00685FE2" w:rsidRDefault="00685FE2" w:rsidP="00342E07">
      <w:pPr>
        <w:jc w:val="both"/>
        <w:rPr>
          <w:lang w:val="en-GB"/>
        </w:rPr>
      </w:pPr>
    </w:p>
    <w:p w14:paraId="4ACC9DE2" w14:textId="77777777" w:rsidR="00685FE2" w:rsidRDefault="00685FE2" w:rsidP="00342E07">
      <w:pPr>
        <w:jc w:val="both"/>
        <w:rPr>
          <w:lang w:val="en-GB"/>
        </w:rPr>
      </w:pPr>
    </w:p>
    <w:p w14:paraId="26D1B315" w14:textId="77777777" w:rsidR="00685FE2" w:rsidRDefault="00685FE2" w:rsidP="00342E07">
      <w:pPr>
        <w:jc w:val="both"/>
        <w:rPr>
          <w:lang w:val="en-GB"/>
        </w:rPr>
      </w:pPr>
    </w:p>
    <w:p w14:paraId="55CFE726" w14:textId="77777777" w:rsidR="00685FE2" w:rsidRDefault="00685FE2" w:rsidP="00342E07">
      <w:pPr>
        <w:jc w:val="both"/>
        <w:rPr>
          <w:lang w:val="en-GB"/>
        </w:rPr>
      </w:pPr>
    </w:p>
    <w:p w14:paraId="23E37153" w14:textId="77777777" w:rsidR="00685FE2" w:rsidRDefault="00685FE2" w:rsidP="00342E07">
      <w:pPr>
        <w:jc w:val="both"/>
        <w:rPr>
          <w:lang w:val="en-GB"/>
        </w:rPr>
      </w:pPr>
    </w:p>
    <w:p w14:paraId="677F52CB" w14:textId="77777777" w:rsidR="00685FE2" w:rsidRDefault="00685FE2" w:rsidP="00342E07">
      <w:pPr>
        <w:jc w:val="both"/>
        <w:rPr>
          <w:lang w:val="en-GB"/>
        </w:rPr>
      </w:pPr>
    </w:p>
    <w:p w14:paraId="1A982731" w14:textId="77777777" w:rsidR="00685FE2" w:rsidRDefault="00685FE2" w:rsidP="00342E07">
      <w:pPr>
        <w:jc w:val="both"/>
        <w:rPr>
          <w:lang w:val="en-GB"/>
        </w:rPr>
      </w:pPr>
    </w:p>
    <w:p w14:paraId="5A24366D" w14:textId="77777777" w:rsidR="00685FE2" w:rsidRDefault="00685FE2" w:rsidP="00342E07">
      <w:pPr>
        <w:jc w:val="both"/>
        <w:rPr>
          <w:lang w:val="en-GB"/>
        </w:rPr>
      </w:pPr>
    </w:p>
    <w:p w14:paraId="3A48D335" w14:textId="77777777" w:rsidR="00685FE2" w:rsidRDefault="00685FE2" w:rsidP="00342E07">
      <w:pPr>
        <w:jc w:val="both"/>
        <w:rPr>
          <w:lang w:val="en-GB"/>
        </w:rPr>
      </w:pPr>
    </w:p>
    <w:p w14:paraId="16DB6967" w14:textId="77777777" w:rsidR="00685FE2" w:rsidRDefault="00685FE2" w:rsidP="00342E07">
      <w:pPr>
        <w:jc w:val="both"/>
        <w:rPr>
          <w:lang w:val="en-GB"/>
        </w:rPr>
      </w:pPr>
    </w:p>
    <w:p w14:paraId="64CCDE9F" w14:textId="77777777" w:rsidR="00685FE2" w:rsidRDefault="00685FE2" w:rsidP="00342E07">
      <w:pPr>
        <w:jc w:val="both"/>
        <w:rPr>
          <w:lang w:val="en-GB"/>
        </w:rPr>
      </w:pPr>
    </w:p>
    <w:p w14:paraId="15B7E7C0" w14:textId="77777777" w:rsidR="0043626C" w:rsidRDefault="0043626C" w:rsidP="00342E07">
      <w:pPr>
        <w:jc w:val="both"/>
        <w:rPr>
          <w:lang w:val="en-GB"/>
        </w:rPr>
      </w:pPr>
    </w:p>
    <w:p w14:paraId="4B426E44" w14:textId="13157DC4" w:rsidR="0043626C" w:rsidRDefault="0043626C" w:rsidP="00342E07">
      <w:pPr>
        <w:jc w:val="both"/>
        <w:rPr>
          <w:b/>
          <w:lang w:val="en-GB"/>
        </w:rPr>
      </w:pPr>
      <w:r w:rsidRPr="004056F0">
        <w:rPr>
          <w:b/>
          <w:u w:val="single"/>
          <w:lang w:val="en-GB"/>
        </w:rPr>
        <w:t>Bibliography</w:t>
      </w:r>
      <w:r w:rsidRPr="004056F0">
        <w:rPr>
          <w:b/>
          <w:lang w:val="en-GB"/>
        </w:rPr>
        <w:t xml:space="preserve">: </w:t>
      </w:r>
    </w:p>
    <w:p w14:paraId="68AA1D02" w14:textId="77777777" w:rsidR="00BC223C" w:rsidRDefault="00BC223C" w:rsidP="00342E07">
      <w:pPr>
        <w:jc w:val="both"/>
        <w:rPr>
          <w:lang w:val="en-US"/>
        </w:rPr>
      </w:pPr>
    </w:p>
    <w:p w14:paraId="172B12B8" w14:textId="77777777" w:rsidR="002C5455" w:rsidRPr="00905D08" w:rsidRDefault="002C5455" w:rsidP="002C5455">
      <w:pPr>
        <w:pStyle w:val="FootnoteText"/>
        <w:rPr>
          <w:lang w:val="en-US"/>
        </w:rPr>
      </w:pPr>
      <w:r>
        <w:rPr>
          <w:lang w:val="en-US"/>
        </w:rPr>
        <w:t>Bennett, Gillian, ‘</w:t>
      </w:r>
      <w:r w:rsidRPr="008F74AD">
        <w:rPr>
          <w:lang w:val="en-US"/>
        </w:rPr>
        <w:t>If I knew you were coming’</w:t>
      </w:r>
      <w:r>
        <w:rPr>
          <w:lang w:val="en-US"/>
        </w:rPr>
        <w:t xml:space="preserve">, in </w:t>
      </w:r>
      <w:r>
        <w:rPr>
          <w:i/>
          <w:lang w:val="en-US"/>
        </w:rPr>
        <w:t xml:space="preserve">Out of the Ordinary, </w:t>
      </w:r>
      <w:r>
        <w:rPr>
          <w:lang w:val="en-US"/>
        </w:rPr>
        <w:t xml:space="preserve">ed. Barbara Walker (Utah University Press, 1995) pp. 122 – 145 </w:t>
      </w:r>
    </w:p>
    <w:p w14:paraId="11C6EAD1" w14:textId="77777777" w:rsidR="002C5455" w:rsidRDefault="002C5455" w:rsidP="00342E07">
      <w:pPr>
        <w:jc w:val="both"/>
        <w:rPr>
          <w:lang w:val="en-US"/>
        </w:rPr>
      </w:pPr>
    </w:p>
    <w:p w14:paraId="4F190AB6" w14:textId="6DCB4F2B" w:rsidR="00BC223C" w:rsidRDefault="007A0D88" w:rsidP="00BC223C">
      <w:pPr>
        <w:jc w:val="both"/>
        <w:rPr>
          <w:lang w:val="en-GB"/>
        </w:rPr>
      </w:pPr>
      <w:r>
        <w:rPr>
          <w:lang w:val="en-US"/>
        </w:rPr>
        <w:t xml:space="preserve">Brink, T.L, </w:t>
      </w:r>
      <w:r w:rsidR="00BC223C">
        <w:rPr>
          <w:lang w:val="en-GB"/>
        </w:rPr>
        <w:t>‘</w:t>
      </w:r>
      <w:r w:rsidR="00BC223C" w:rsidRPr="00752632">
        <w:rPr>
          <w:lang w:val="en-GB"/>
        </w:rPr>
        <w:t>The Inconsistency of Belief among Roman Catholic Girls: Concerning Rel</w:t>
      </w:r>
      <w:r w:rsidR="00BC223C">
        <w:rPr>
          <w:lang w:val="en-GB"/>
        </w:rPr>
        <w:t>igion, Astrology, Reincarnation,</w:t>
      </w:r>
      <w:r w:rsidR="00BC223C" w:rsidRPr="00752632">
        <w:rPr>
          <w:lang w:val="en-GB"/>
        </w:rPr>
        <w:t>’</w:t>
      </w:r>
      <w:r w:rsidR="00BC223C">
        <w:rPr>
          <w:lang w:val="en-GB"/>
        </w:rPr>
        <w:t xml:space="preserve"> </w:t>
      </w:r>
      <w:r w:rsidR="00BC223C" w:rsidRPr="00CE1A29">
        <w:rPr>
          <w:i/>
          <w:lang w:val="en-GB"/>
        </w:rPr>
        <w:t>Review of Religious Research</w:t>
      </w:r>
      <w:r w:rsidR="00BC223C">
        <w:rPr>
          <w:lang w:val="en-GB"/>
        </w:rPr>
        <w:t>, (1978) 82-85, p.83</w:t>
      </w:r>
    </w:p>
    <w:p w14:paraId="5F75DD3C" w14:textId="77777777" w:rsidR="002C5455" w:rsidRDefault="002C5455" w:rsidP="00BC223C">
      <w:pPr>
        <w:jc w:val="both"/>
        <w:rPr>
          <w:lang w:val="en-GB"/>
        </w:rPr>
      </w:pPr>
    </w:p>
    <w:p w14:paraId="0BAED382" w14:textId="77777777" w:rsidR="002C5455" w:rsidRDefault="002C5455" w:rsidP="002C5455">
      <w:pPr>
        <w:pStyle w:val="FootnoteText"/>
        <w:rPr>
          <w:lang w:val="en-US"/>
        </w:rPr>
      </w:pPr>
      <w:proofErr w:type="spellStart"/>
      <w:r>
        <w:rPr>
          <w:lang w:val="en-US"/>
        </w:rPr>
        <w:t>Hennick</w:t>
      </w:r>
      <w:proofErr w:type="spellEnd"/>
      <w:r>
        <w:rPr>
          <w:lang w:val="en-US"/>
        </w:rPr>
        <w:t xml:space="preserve">, Monique, </w:t>
      </w:r>
      <w:proofErr w:type="spellStart"/>
      <w:r>
        <w:rPr>
          <w:lang w:val="en-US"/>
        </w:rPr>
        <w:t>Hutter</w:t>
      </w:r>
      <w:proofErr w:type="spellEnd"/>
      <w:r>
        <w:rPr>
          <w:lang w:val="en-US"/>
        </w:rPr>
        <w:t xml:space="preserve">, </w:t>
      </w:r>
      <w:proofErr w:type="spellStart"/>
      <w:r>
        <w:rPr>
          <w:lang w:val="en-US"/>
        </w:rPr>
        <w:t>Inge</w:t>
      </w:r>
      <w:proofErr w:type="spellEnd"/>
      <w:r>
        <w:rPr>
          <w:lang w:val="en-US"/>
        </w:rPr>
        <w:t xml:space="preserve">, Bailey Ajay, </w:t>
      </w:r>
      <w:r w:rsidRPr="003E2BE7">
        <w:rPr>
          <w:i/>
          <w:lang w:val="en-US"/>
        </w:rPr>
        <w:t>Qualitative Research Methods,</w:t>
      </w:r>
      <w:r>
        <w:rPr>
          <w:lang w:val="en-US"/>
        </w:rPr>
        <w:t xml:space="preserve"> (Sage publishing, 2010) </w:t>
      </w:r>
    </w:p>
    <w:p w14:paraId="7EDB95A0" w14:textId="77777777" w:rsidR="002C5455" w:rsidRDefault="002C5455" w:rsidP="002C5455">
      <w:pPr>
        <w:jc w:val="both"/>
        <w:rPr>
          <w:lang w:val="en-GB"/>
        </w:rPr>
      </w:pPr>
    </w:p>
    <w:p w14:paraId="38F3DFC0" w14:textId="551BEDB6" w:rsidR="002C5455" w:rsidRPr="0038642D" w:rsidRDefault="002C5455" w:rsidP="002C5455">
      <w:pPr>
        <w:jc w:val="both"/>
        <w:rPr>
          <w:lang w:val="en-US"/>
        </w:rPr>
      </w:pPr>
      <w:r>
        <w:rPr>
          <w:lang w:val="en-US"/>
        </w:rPr>
        <w:t xml:space="preserve">Lane, Belden C, </w:t>
      </w:r>
      <w:r w:rsidRPr="00167723">
        <w:rPr>
          <w:i/>
          <w:lang w:val="en-US"/>
        </w:rPr>
        <w:t>Landscapes of the Sacred, Geography and Narrative in American Spirituality,</w:t>
      </w:r>
      <w:r>
        <w:rPr>
          <w:i/>
          <w:lang w:val="en-US"/>
        </w:rPr>
        <w:t xml:space="preserve"> </w:t>
      </w:r>
      <w:r>
        <w:rPr>
          <w:lang w:val="en-US"/>
        </w:rPr>
        <w:t xml:space="preserve">(John Hopkins University Press, 2002) </w:t>
      </w:r>
    </w:p>
    <w:p w14:paraId="6127CE0F" w14:textId="77777777" w:rsidR="00BC223C" w:rsidRDefault="00BC223C" w:rsidP="00342E07">
      <w:pPr>
        <w:jc w:val="both"/>
        <w:rPr>
          <w:lang w:val="en-US"/>
        </w:rPr>
      </w:pPr>
    </w:p>
    <w:p w14:paraId="7F4316CE" w14:textId="0586BDC5" w:rsidR="00A3262D" w:rsidRPr="00BC223C" w:rsidRDefault="00BC223C" w:rsidP="00342E07">
      <w:pPr>
        <w:jc w:val="both"/>
        <w:rPr>
          <w:lang w:val="en-GB"/>
        </w:rPr>
      </w:pPr>
      <w:r>
        <w:t>Zolla,</w:t>
      </w:r>
      <w:r w:rsidR="007A0D88">
        <w:t xml:space="preserve"> </w:t>
      </w:r>
      <w:proofErr w:type="spellStart"/>
      <w:r w:rsidR="007A0D88">
        <w:t>Elemire</w:t>
      </w:r>
      <w:proofErr w:type="spellEnd"/>
      <w:r w:rsidR="007A0D88">
        <w:t>,</w:t>
      </w:r>
      <w:proofErr w:type="gramStart"/>
      <w:r w:rsidR="002C5455">
        <w:t xml:space="preserve"> </w:t>
      </w:r>
      <w:r>
        <w:t>‘</w:t>
      </w:r>
      <w:proofErr w:type="spellStart"/>
      <w:proofErr w:type="gramEnd"/>
      <w:r>
        <w:t>That</w:t>
      </w:r>
      <w:proofErr w:type="spellEnd"/>
      <w:r>
        <w:t xml:space="preserve"> must </w:t>
      </w:r>
      <w:proofErr w:type="spellStart"/>
      <w:r>
        <w:t>have</w:t>
      </w:r>
      <w:proofErr w:type="spellEnd"/>
      <w:r>
        <w:t xml:space="preserve"> </w:t>
      </w:r>
      <w:proofErr w:type="spellStart"/>
      <w:r>
        <w:t>Been</w:t>
      </w:r>
      <w:proofErr w:type="spellEnd"/>
      <w:r>
        <w:t xml:space="preserve"> ESP!” An </w:t>
      </w:r>
      <w:proofErr w:type="spellStart"/>
      <w:r>
        <w:t>examination</w:t>
      </w:r>
      <w:proofErr w:type="spellEnd"/>
      <w:r>
        <w:t xml:space="preserve"> of </w:t>
      </w:r>
      <w:proofErr w:type="spellStart"/>
      <w:r>
        <w:t>Psychic</w:t>
      </w:r>
      <w:proofErr w:type="spellEnd"/>
      <w:r>
        <w:t xml:space="preserve"> </w:t>
      </w:r>
      <w:proofErr w:type="spellStart"/>
      <w:r>
        <w:t>experiences</w:t>
      </w:r>
      <w:proofErr w:type="spellEnd"/>
      <w:r>
        <w:t xml:space="preserve"> by </w:t>
      </w:r>
      <w:proofErr w:type="spellStart"/>
      <w:r>
        <w:t>Leea</w:t>
      </w:r>
      <w:proofErr w:type="spellEnd"/>
      <w:r>
        <w:t xml:space="preserve"> </w:t>
      </w:r>
      <w:proofErr w:type="spellStart"/>
      <w:r>
        <w:t>Virtanen</w:t>
      </w:r>
      <w:proofErr w:type="spellEnd"/>
      <w:r>
        <w:t xml:space="preserve">, John </w:t>
      </w:r>
      <w:proofErr w:type="spellStart"/>
      <w:r>
        <w:t>Atkinson</w:t>
      </w:r>
      <w:proofErr w:type="spellEnd"/>
      <w:r>
        <w:t xml:space="preserve">, Thomas </w:t>
      </w:r>
      <w:proofErr w:type="spellStart"/>
      <w:r>
        <w:t>Dubois</w:t>
      </w:r>
      <w:proofErr w:type="spellEnd"/>
      <w:r>
        <w:t xml:space="preserve"> and Linda </w:t>
      </w:r>
      <w:proofErr w:type="spellStart"/>
      <w:r>
        <w:t>Dégh</w:t>
      </w:r>
      <w:proofErr w:type="spellEnd"/>
      <w:r>
        <w:t xml:space="preserve">.’ </w:t>
      </w:r>
      <w:r w:rsidRPr="00C20ABD">
        <w:rPr>
          <w:rFonts w:eastAsia="Times New Roman"/>
          <w:i/>
        </w:rPr>
        <w:t xml:space="preserve">Asian Folklore </w:t>
      </w:r>
      <w:proofErr w:type="spellStart"/>
      <w:r w:rsidRPr="00C20ABD">
        <w:rPr>
          <w:rFonts w:eastAsia="Times New Roman"/>
          <w:i/>
        </w:rPr>
        <w:t>Studies</w:t>
      </w:r>
      <w:proofErr w:type="spellEnd"/>
      <w:r>
        <w:rPr>
          <w:rFonts w:eastAsia="Times New Roman"/>
        </w:rPr>
        <w:t>, Vol. 50, No. 2 (1991), pp. 359-360</w:t>
      </w:r>
    </w:p>
    <w:p w14:paraId="2A17F7A0" w14:textId="77777777" w:rsidR="00BC223C" w:rsidRDefault="00BC223C" w:rsidP="00342E07">
      <w:pPr>
        <w:jc w:val="both"/>
        <w:rPr>
          <w:lang w:val="en-US"/>
        </w:rPr>
      </w:pPr>
    </w:p>
    <w:p w14:paraId="0F2AACD4" w14:textId="77777777" w:rsidR="002C5455" w:rsidRDefault="002C5455" w:rsidP="002C5455">
      <w:pPr>
        <w:jc w:val="both"/>
        <w:rPr>
          <w:u w:val="single"/>
          <w:lang w:val="en-GB"/>
        </w:rPr>
      </w:pPr>
      <w:r w:rsidRPr="002C5455">
        <w:rPr>
          <w:u w:val="single"/>
          <w:lang w:val="en-GB"/>
        </w:rPr>
        <w:t xml:space="preserve">Websites: </w:t>
      </w:r>
    </w:p>
    <w:p w14:paraId="5EADEC27" w14:textId="77777777" w:rsidR="007A0A1B" w:rsidRDefault="007A0A1B" w:rsidP="002C5455">
      <w:pPr>
        <w:jc w:val="both"/>
        <w:rPr>
          <w:u w:val="single"/>
          <w:lang w:val="en-GB"/>
        </w:rPr>
      </w:pPr>
    </w:p>
    <w:p w14:paraId="0D696239" w14:textId="6B88ED3D" w:rsidR="007A0A1B" w:rsidRPr="00176790" w:rsidRDefault="007A0A1B" w:rsidP="007A0A1B">
      <w:pPr>
        <w:pStyle w:val="FootnoteText"/>
        <w:rPr>
          <w:lang w:val="en-US"/>
        </w:rPr>
      </w:pPr>
      <w:proofErr w:type="spellStart"/>
      <w:r w:rsidRPr="007A0A1B">
        <w:t>Amberley</w:t>
      </w:r>
      <w:proofErr w:type="spellEnd"/>
      <w:r w:rsidRPr="007A0A1B">
        <w:t xml:space="preserve"> Books</w:t>
      </w:r>
      <w:r>
        <w:rPr>
          <w:i/>
        </w:rPr>
        <w:t xml:space="preserve">, </w:t>
      </w:r>
      <w:proofErr w:type="spellStart"/>
      <w:r w:rsidRPr="007A0A1B">
        <w:rPr>
          <w:i/>
        </w:rPr>
        <w:t>Amberley</w:t>
      </w:r>
      <w:proofErr w:type="spellEnd"/>
      <w:r w:rsidRPr="007A0A1B">
        <w:rPr>
          <w:i/>
        </w:rPr>
        <w:t xml:space="preserve"> Books Website,</w:t>
      </w:r>
      <w:r>
        <w:t xml:space="preserve"> &lt;</w:t>
      </w:r>
      <w:hyperlink r:id="rId9" w:history="1">
        <w:r w:rsidRPr="00846626">
          <w:rPr>
            <w:rStyle w:val="Hyperlink"/>
          </w:rPr>
          <w:t>https://www.amberley-books.com/author-community-main-page/b/gillian-bennett.html</w:t>
        </w:r>
      </w:hyperlink>
      <w:r>
        <w:rPr>
          <w:rStyle w:val="Hyperlink"/>
        </w:rPr>
        <w:t>&gt;</w:t>
      </w:r>
      <w:r>
        <w:t xml:space="preserve"> (</w:t>
      </w:r>
      <w:proofErr w:type="spellStart"/>
      <w:r>
        <w:t>accessed</w:t>
      </w:r>
      <w:proofErr w:type="spellEnd"/>
      <w:r>
        <w:t xml:space="preserve"> March 15th 2023) </w:t>
      </w:r>
    </w:p>
    <w:p w14:paraId="51498B14" w14:textId="77777777" w:rsidR="007A0A1B" w:rsidRPr="002C5455" w:rsidRDefault="007A0A1B" w:rsidP="002C5455">
      <w:pPr>
        <w:jc w:val="both"/>
        <w:rPr>
          <w:u w:val="single"/>
          <w:lang w:val="en-GB"/>
        </w:rPr>
      </w:pPr>
    </w:p>
    <w:p w14:paraId="733502CD" w14:textId="77777777" w:rsidR="002C5455" w:rsidRDefault="002C5455" w:rsidP="002C5455">
      <w:pPr>
        <w:jc w:val="both"/>
        <w:rPr>
          <w:lang w:val="en-GB"/>
        </w:rPr>
      </w:pPr>
    </w:p>
    <w:p w14:paraId="53B95EBE" w14:textId="32896445" w:rsidR="002C5455" w:rsidRPr="002C5455" w:rsidRDefault="002C5455" w:rsidP="002C5455">
      <w:pPr>
        <w:jc w:val="both"/>
        <w:rPr>
          <w:i/>
          <w:lang w:val="en-GB"/>
        </w:rPr>
      </w:pPr>
      <w:r>
        <w:rPr>
          <w:lang w:val="en-GB"/>
        </w:rPr>
        <w:t xml:space="preserve">Crafton Hills, </w:t>
      </w:r>
      <w:r w:rsidRPr="002C5455">
        <w:rPr>
          <w:i/>
          <w:lang w:val="en-GB"/>
        </w:rPr>
        <w:t xml:space="preserve">Crafton Hills website. </w:t>
      </w:r>
    </w:p>
    <w:p w14:paraId="09748B00" w14:textId="5761DEFD" w:rsidR="002C5455" w:rsidRDefault="002C5455" w:rsidP="002C5455">
      <w:pPr>
        <w:jc w:val="both"/>
        <w:rPr>
          <w:lang w:val="en-GB"/>
        </w:rPr>
      </w:pPr>
      <w:r>
        <w:t>&lt;</w:t>
      </w:r>
      <w:hyperlink r:id="rId10" w:history="1">
        <w:r w:rsidRPr="00846626">
          <w:rPr>
            <w:rStyle w:val="Hyperlink"/>
            <w:lang w:val="en-GB"/>
          </w:rPr>
          <w:t>https://www.craftonhills.edu/about-chc/index.php</w:t>
        </w:r>
      </w:hyperlink>
      <w:r>
        <w:rPr>
          <w:rStyle w:val="Hyperlink"/>
          <w:lang w:val="en-GB"/>
        </w:rPr>
        <w:t>&gt; (accessed march 15</w:t>
      </w:r>
      <w:r w:rsidRPr="002C5455">
        <w:rPr>
          <w:rStyle w:val="Hyperlink"/>
          <w:vertAlign w:val="superscript"/>
          <w:lang w:val="en-GB"/>
        </w:rPr>
        <w:t>th</w:t>
      </w:r>
      <w:r>
        <w:rPr>
          <w:rStyle w:val="Hyperlink"/>
          <w:lang w:val="en-GB"/>
        </w:rPr>
        <w:t xml:space="preserve"> 2023)</w:t>
      </w:r>
    </w:p>
    <w:p w14:paraId="570528A9" w14:textId="77777777" w:rsidR="002C5455" w:rsidRPr="002C5455" w:rsidRDefault="002C5455" w:rsidP="002C5455">
      <w:pPr>
        <w:jc w:val="both"/>
        <w:rPr>
          <w:i/>
          <w:lang w:val="en-GB"/>
        </w:rPr>
      </w:pPr>
    </w:p>
    <w:p w14:paraId="7BF5B4EE" w14:textId="3BDAA568" w:rsidR="002C5455" w:rsidRDefault="002C5455" w:rsidP="002C5455">
      <w:pPr>
        <w:jc w:val="both"/>
        <w:rPr>
          <w:lang w:val="en-GB"/>
        </w:rPr>
      </w:pPr>
      <w:r w:rsidRPr="002C5455">
        <w:rPr>
          <w:lang w:val="en-GB"/>
        </w:rPr>
        <w:t>Research Gate,</w:t>
      </w:r>
      <w:r>
        <w:rPr>
          <w:i/>
          <w:lang w:val="en-GB"/>
        </w:rPr>
        <w:t xml:space="preserve"> </w:t>
      </w:r>
      <w:r w:rsidRPr="002C5455">
        <w:rPr>
          <w:i/>
          <w:lang w:val="en-GB"/>
        </w:rPr>
        <w:t>Research gate website</w:t>
      </w:r>
    </w:p>
    <w:p w14:paraId="1C2B10FD" w14:textId="0F0E4848" w:rsidR="002C5455" w:rsidRDefault="002C5455" w:rsidP="002C5455">
      <w:pPr>
        <w:jc w:val="both"/>
        <w:rPr>
          <w:lang w:val="en-GB"/>
        </w:rPr>
      </w:pPr>
      <w:r>
        <w:t>&lt;</w:t>
      </w:r>
      <w:hyperlink r:id="rId11" w:history="1">
        <w:r w:rsidRPr="00846626">
          <w:rPr>
            <w:rStyle w:val="Hyperlink"/>
            <w:lang w:val="en-GB"/>
          </w:rPr>
          <w:t>https://www.researchgate.net/profile/Tl-Brink/2</w:t>
        </w:r>
      </w:hyperlink>
      <w:r>
        <w:rPr>
          <w:rStyle w:val="Hyperlink"/>
          <w:lang w:val="en-GB"/>
        </w:rPr>
        <w:t>&gt; (accessed March 15</w:t>
      </w:r>
      <w:r w:rsidRPr="002C5455">
        <w:rPr>
          <w:rStyle w:val="Hyperlink"/>
          <w:vertAlign w:val="superscript"/>
          <w:lang w:val="en-GB"/>
        </w:rPr>
        <w:t>th</w:t>
      </w:r>
      <w:r>
        <w:rPr>
          <w:rStyle w:val="Hyperlink"/>
          <w:lang w:val="en-GB"/>
        </w:rPr>
        <w:t xml:space="preserve"> 2023) </w:t>
      </w:r>
    </w:p>
    <w:p w14:paraId="5908858E" w14:textId="77777777" w:rsidR="00A3262D" w:rsidRDefault="00A3262D" w:rsidP="00342E07">
      <w:pPr>
        <w:jc w:val="both"/>
        <w:rPr>
          <w:lang w:val="en-US"/>
        </w:rPr>
      </w:pPr>
    </w:p>
    <w:p w14:paraId="7EA26110" w14:textId="77777777" w:rsidR="00BC223C" w:rsidRDefault="00BC223C" w:rsidP="00342E07">
      <w:pPr>
        <w:jc w:val="both"/>
        <w:rPr>
          <w:lang w:val="en-US"/>
        </w:rPr>
      </w:pPr>
    </w:p>
    <w:p w14:paraId="421F195F" w14:textId="3F6BEAB5" w:rsidR="00A3262D" w:rsidRPr="001F45A8" w:rsidRDefault="00A3262D" w:rsidP="00342E07">
      <w:pPr>
        <w:jc w:val="both"/>
        <w:rPr>
          <w:lang w:val="en-GB"/>
        </w:rPr>
      </w:pPr>
    </w:p>
    <w:sectPr w:rsidR="00A3262D" w:rsidRPr="001F45A8" w:rsidSect="00B71F37">
      <w:head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552D3A" w14:textId="77777777" w:rsidR="00A3262D" w:rsidRDefault="00A3262D" w:rsidP="00CA103C">
      <w:r>
        <w:separator/>
      </w:r>
    </w:p>
  </w:endnote>
  <w:endnote w:type="continuationSeparator" w:id="0">
    <w:p w14:paraId="7C08EEE8" w14:textId="77777777" w:rsidR="00A3262D" w:rsidRDefault="00A3262D" w:rsidP="00CA1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6297E0" w14:textId="77777777" w:rsidR="00A3262D" w:rsidRDefault="00A3262D" w:rsidP="00CA103C">
      <w:r>
        <w:separator/>
      </w:r>
    </w:p>
  </w:footnote>
  <w:footnote w:type="continuationSeparator" w:id="0">
    <w:p w14:paraId="1559AA24" w14:textId="77777777" w:rsidR="00A3262D" w:rsidRDefault="00A3262D" w:rsidP="00CA103C">
      <w:r>
        <w:continuationSeparator/>
      </w:r>
    </w:p>
  </w:footnote>
  <w:footnote w:id="1">
    <w:p w14:paraId="73D6283B" w14:textId="70650BF3" w:rsidR="00A3262D" w:rsidRPr="00176790" w:rsidRDefault="00A3262D">
      <w:pPr>
        <w:pStyle w:val="FootnoteText"/>
        <w:rPr>
          <w:lang w:val="en-US"/>
        </w:rPr>
      </w:pPr>
      <w:r>
        <w:rPr>
          <w:rStyle w:val="FootnoteReference"/>
        </w:rPr>
        <w:footnoteRef/>
      </w:r>
      <w:proofErr w:type="spellStart"/>
      <w:r>
        <w:t>Amberley</w:t>
      </w:r>
      <w:proofErr w:type="spellEnd"/>
      <w:r>
        <w:t xml:space="preserve"> Books Website, </w:t>
      </w:r>
      <w:hyperlink r:id="rId1" w:history="1">
        <w:r w:rsidRPr="00846626">
          <w:rPr>
            <w:rStyle w:val="Hyperlink"/>
          </w:rPr>
          <w:t>https://www.amberley-books.com/author-community-main-page/b/gillian-bennett.html</w:t>
        </w:r>
      </w:hyperlink>
      <w:r w:rsidR="007A0A1B">
        <w:t xml:space="preserve"> </w:t>
      </w:r>
      <w:proofErr w:type="spellStart"/>
      <w:r w:rsidR="007A0A1B">
        <w:t>Accessed</w:t>
      </w:r>
      <w:proofErr w:type="spellEnd"/>
      <w:r w:rsidR="007A0A1B">
        <w:t xml:space="preserve"> March 15</w:t>
      </w:r>
      <w:r>
        <w:t>th 2023</w:t>
      </w:r>
    </w:p>
  </w:footnote>
  <w:footnote w:id="2">
    <w:p w14:paraId="7C253C32" w14:textId="1B11D658" w:rsidR="00A3262D" w:rsidRPr="00245E76" w:rsidRDefault="00A3262D" w:rsidP="00B21DE9">
      <w:pPr>
        <w:pStyle w:val="FootnoteText"/>
        <w:rPr>
          <w:lang w:val="en-US"/>
        </w:rPr>
      </w:pPr>
      <w:r>
        <w:rPr>
          <w:rStyle w:val="FootnoteReference"/>
        </w:rPr>
        <w:footnoteRef/>
      </w:r>
      <w:r>
        <w:t xml:space="preserve"> </w:t>
      </w:r>
      <w:proofErr w:type="spellStart"/>
      <w:r>
        <w:t>Amberley</w:t>
      </w:r>
      <w:proofErr w:type="spellEnd"/>
      <w:r>
        <w:t xml:space="preserve"> Books Website, </w:t>
      </w:r>
      <w:hyperlink r:id="rId2" w:anchor=":~:text=Gillian%20Bennett%20is%20a%20leading,and%20oral%20narrative%20in%201980" w:history="1">
        <w:r w:rsidRPr="00846626">
          <w:rPr>
            <w:rStyle w:val="Hyperlink"/>
          </w:rPr>
          <w:t>https://www.amberley-books.com/author-community-main-page/b/gillian-bennett.html#:~:text=Gillian%20Bennett%20is%20a%20leading,and%20oral%20narrative%20in%201980</w:t>
        </w:r>
      </w:hyperlink>
      <w:r>
        <w:t xml:space="preserve"> </w:t>
      </w:r>
      <w:proofErr w:type="spellStart"/>
      <w:r>
        <w:t>Accessed</w:t>
      </w:r>
      <w:proofErr w:type="spellEnd"/>
      <w:r>
        <w:t xml:space="preserve"> March 15th 2023 </w:t>
      </w:r>
    </w:p>
  </w:footnote>
  <w:footnote w:id="3">
    <w:p w14:paraId="332ABB75" w14:textId="58F7CF85" w:rsidR="00A3262D" w:rsidRPr="00F87D8F" w:rsidRDefault="00A3262D">
      <w:pPr>
        <w:pStyle w:val="FootnoteText"/>
        <w:rPr>
          <w:lang w:val="en-US"/>
        </w:rPr>
      </w:pPr>
      <w:r>
        <w:rPr>
          <w:rStyle w:val="FootnoteReference"/>
        </w:rPr>
        <w:footnoteRef/>
      </w:r>
      <w:r>
        <w:t xml:space="preserve"> </w:t>
      </w:r>
      <w:r>
        <w:rPr>
          <w:lang w:val="en-US"/>
        </w:rPr>
        <w:t xml:space="preserve">Barbara Walker, </w:t>
      </w:r>
      <w:r w:rsidRPr="004272D3">
        <w:rPr>
          <w:i/>
          <w:lang w:val="en-US"/>
        </w:rPr>
        <w:t>Out of the Ordinary</w:t>
      </w:r>
      <w:r>
        <w:rPr>
          <w:lang w:val="en-US"/>
        </w:rPr>
        <w:t>, (Utah State University Press, 1995) p.2</w:t>
      </w:r>
    </w:p>
  </w:footnote>
  <w:footnote w:id="4">
    <w:p w14:paraId="640013D1" w14:textId="6501F85F" w:rsidR="00A3262D" w:rsidRPr="00726A05" w:rsidRDefault="00A3262D" w:rsidP="00726A05">
      <w:pPr>
        <w:jc w:val="both"/>
        <w:rPr>
          <w:lang w:val="en-GB"/>
        </w:rPr>
      </w:pPr>
      <w:r>
        <w:rPr>
          <w:rStyle w:val="FootnoteReference"/>
        </w:rPr>
        <w:footnoteRef/>
      </w:r>
      <w:r>
        <w:t xml:space="preserve"> </w:t>
      </w:r>
      <w:r w:rsidRPr="00726A05">
        <w:rPr>
          <w:i/>
          <w:lang w:val="en-US"/>
        </w:rPr>
        <w:t xml:space="preserve">Crafton Hills College </w:t>
      </w:r>
      <w:proofErr w:type="gramStart"/>
      <w:r w:rsidRPr="00726A05">
        <w:rPr>
          <w:i/>
          <w:lang w:val="en-US"/>
        </w:rPr>
        <w:t>website</w:t>
      </w:r>
      <w:proofErr w:type="gramEnd"/>
      <w:r>
        <w:rPr>
          <w:lang w:val="en-US"/>
        </w:rPr>
        <w:t>, &lt;</w:t>
      </w:r>
      <w:hyperlink r:id="rId3" w:history="1">
        <w:r w:rsidRPr="00846626">
          <w:rPr>
            <w:rStyle w:val="Hyperlink"/>
            <w:lang w:val="en-GB"/>
          </w:rPr>
          <w:t>https://www.craftonhills.edu/about-chc/index.php</w:t>
        </w:r>
      </w:hyperlink>
      <w:r>
        <w:rPr>
          <w:lang w:val="en-GB"/>
        </w:rPr>
        <w:t xml:space="preserve">&gt; Accessed March 15th 2023. </w:t>
      </w:r>
    </w:p>
  </w:footnote>
  <w:footnote w:id="5">
    <w:p w14:paraId="19A32BD8" w14:textId="47C1575D" w:rsidR="00A3262D" w:rsidRPr="007B5AD1" w:rsidRDefault="00A3262D">
      <w:pPr>
        <w:pStyle w:val="FootnoteText"/>
        <w:rPr>
          <w:lang w:val="en-US"/>
        </w:rPr>
      </w:pPr>
      <w:r>
        <w:rPr>
          <w:rStyle w:val="FootnoteReference"/>
        </w:rPr>
        <w:footnoteRef/>
      </w:r>
      <w:r>
        <w:t xml:space="preserve"> </w:t>
      </w:r>
      <w:proofErr w:type="spellStart"/>
      <w:r>
        <w:t>Research</w:t>
      </w:r>
      <w:proofErr w:type="spellEnd"/>
      <w:r>
        <w:t xml:space="preserve"> Gate Website, </w:t>
      </w:r>
      <w:hyperlink r:id="rId4" w:history="1">
        <w:r w:rsidRPr="006248F9">
          <w:rPr>
            <w:rStyle w:val="Hyperlink"/>
          </w:rPr>
          <w:t>https://www.researchgate.net/profile/Tl-Brink/2</w:t>
        </w:r>
      </w:hyperlink>
      <w:r>
        <w:t xml:space="preserve"> </w:t>
      </w:r>
      <w:proofErr w:type="spellStart"/>
      <w:r>
        <w:t>Accessed</w:t>
      </w:r>
      <w:proofErr w:type="spellEnd"/>
      <w:r>
        <w:t xml:space="preserve"> March 15th 2023. </w:t>
      </w:r>
    </w:p>
  </w:footnote>
  <w:footnote w:id="6">
    <w:p w14:paraId="04514867" w14:textId="57D2FD67" w:rsidR="00A3262D" w:rsidRPr="00B1295C" w:rsidRDefault="00A3262D" w:rsidP="00B1295C">
      <w:pPr>
        <w:jc w:val="both"/>
        <w:rPr>
          <w:i/>
          <w:lang w:val="en-GB"/>
        </w:rPr>
      </w:pPr>
      <w:r>
        <w:rPr>
          <w:rStyle w:val="FootnoteReference"/>
        </w:rPr>
        <w:footnoteRef/>
      </w:r>
      <w:r>
        <w:t xml:space="preserve"> </w:t>
      </w:r>
      <w:r>
        <w:rPr>
          <w:lang w:val="en-US"/>
        </w:rPr>
        <w:t xml:space="preserve">Brink, </w:t>
      </w:r>
      <w:r>
        <w:rPr>
          <w:lang w:val="en-GB"/>
        </w:rPr>
        <w:t>‘</w:t>
      </w:r>
      <w:r w:rsidRPr="00752632">
        <w:rPr>
          <w:lang w:val="en-GB"/>
        </w:rPr>
        <w:t>The Inconsistency of Belief among Roman Catholic Girls: Concerning Rel</w:t>
      </w:r>
      <w:r>
        <w:rPr>
          <w:lang w:val="en-GB"/>
        </w:rPr>
        <w:t>igion, Astrology, Reincarnation,</w:t>
      </w:r>
      <w:r w:rsidRPr="00752632">
        <w:rPr>
          <w:lang w:val="en-GB"/>
        </w:rPr>
        <w:t>’</w:t>
      </w:r>
      <w:r>
        <w:rPr>
          <w:lang w:val="en-GB"/>
        </w:rPr>
        <w:t xml:space="preserve"> </w:t>
      </w:r>
      <w:r w:rsidRPr="00CE1A29">
        <w:rPr>
          <w:i/>
          <w:lang w:val="en-GB"/>
        </w:rPr>
        <w:t>Review of Religious Research</w:t>
      </w:r>
      <w:r>
        <w:rPr>
          <w:lang w:val="en-GB"/>
        </w:rPr>
        <w:t>, (1978) 82-85, p.83</w:t>
      </w:r>
    </w:p>
  </w:footnote>
  <w:footnote w:id="7">
    <w:p w14:paraId="29D08F17" w14:textId="3DFC321E" w:rsidR="00A3262D" w:rsidRPr="0038642D" w:rsidRDefault="00A3262D">
      <w:pPr>
        <w:pStyle w:val="FootnoteText"/>
        <w:rPr>
          <w:lang w:val="en-US"/>
        </w:rPr>
      </w:pPr>
      <w:r>
        <w:rPr>
          <w:rStyle w:val="FootnoteReference"/>
        </w:rPr>
        <w:footnoteRef/>
      </w:r>
      <w:r>
        <w:t xml:space="preserve"> </w:t>
      </w:r>
      <w:r>
        <w:rPr>
          <w:lang w:val="en-US"/>
        </w:rPr>
        <w:t xml:space="preserve">Monique </w:t>
      </w:r>
      <w:proofErr w:type="spellStart"/>
      <w:r>
        <w:rPr>
          <w:lang w:val="en-US"/>
        </w:rPr>
        <w:t>Hennick</w:t>
      </w:r>
      <w:proofErr w:type="spellEnd"/>
      <w:r>
        <w:rPr>
          <w:lang w:val="en-US"/>
        </w:rPr>
        <w:t xml:space="preserve">, </w:t>
      </w:r>
      <w:proofErr w:type="spellStart"/>
      <w:r>
        <w:rPr>
          <w:lang w:val="en-US"/>
        </w:rPr>
        <w:t>Inge</w:t>
      </w:r>
      <w:proofErr w:type="spellEnd"/>
      <w:r>
        <w:rPr>
          <w:lang w:val="en-US"/>
        </w:rPr>
        <w:t xml:space="preserve"> </w:t>
      </w:r>
      <w:proofErr w:type="spellStart"/>
      <w:r>
        <w:rPr>
          <w:lang w:val="en-US"/>
        </w:rPr>
        <w:t>Hutter</w:t>
      </w:r>
      <w:proofErr w:type="spellEnd"/>
      <w:r>
        <w:rPr>
          <w:lang w:val="en-US"/>
        </w:rPr>
        <w:t xml:space="preserve">, Ajay Bailey, </w:t>
      </w:r>
      <w:r w:rsidRPr="003E2BE7">
        <w:rPr>
          <w:i/>
          <w:lang w:val="en-US"/>
        </w:rPr>
        <w:t>Qualitative Research Methods,</w:t>
      </w:r>
      <w:r>
        <w:rPr>
          <w:lang w:val="en-US"/>
        </w:rPr>
        <w:t xml:space="preserve"> (Sage publishing, 2010) p.130</w:t>
      </w:r>
    </w:p>
  </w:footnote>
  <w:footnote w:id="8">
    <w:p w14:paraId="48BCE55F" w14:textId="14DC6BD3" w:rsidR="00A3262D" w:rsidRPr="00D960F7" w:rsidRDefault="00A3262D">
      <w:pPr>
        <w:pStyle w:val="FootnoteText"/>
        <w:rPr>
          <w:lang w:val="en-US"/>
        </w:rPr>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Bailey, Qualitative </w:t>
      </w:r>
      <w:proofErr w:type="spellStart"/>
      <w:r>
        <w:t>Research</w:t>
      </w:r>
      <w:proofErr w:type="spellEnd"/>
      <w:r>
        <w:t xml:space="preserve"> </w:t>
      </w:r>
      <w:proofErr w:type="spellStart"/>
      <w:r>
        <w:t>Methods</w:t>
      </w:r>
      <w:proofErr w:type="spellEnd"/>
      <w:r>
        <w:t>, p.139</w:t>
      </w:r>
    </w:p>
  </w:footnote>
  <w:footnote w:id="9">
    <w:p w14:paraId="18117008" w14:textId="233A62DE" w:rsidR="00A3262D" w:rsidRPr="00407C2E" w:rsidRDefault="00A3262D">
      <w:pPr>
        <w:pStyle w:val="FootnoteText"/>
        <w:rPr>
          <w:lang w:val="en-US"/>
        </w:rPr>
      </w:pPr>
      <w:r>
        <w:rPr>
          <w:rStyle w:val="FootnoteReference"/>
        </w:rPr>
        <w:footnoteRef/>
      </w:r>
      <w:r>
        <w:t xml:space="preserve"> </w:t>
      </w:r>
      <w:r>
        <w:rPr>
          <w:lang w:val="en-US"/>
        </w:rPr>
        <w:t>Brink, ‘The inconsistency of Belief,’ p.83</w:t>
      </w:r>
    </w:p>
  </w:footnote>
  <w:footnote w:id="10">
    <w:p w14:paraId="773AE447" w14:textId="25A99CBD" w:rsidR="00A3262D" w:rsidRPr="00EC3CB0" w:rsidRDefault="00A3262D">
      <w:pPr>
        <w:pStyle w:val="FootnoteText"/>
        <w:rPr>
          <w:lang w:val="en-US"/>
        </w:rPr>
      </w:pPr>
      <w:r>
        <w:rPr>
          <w:rStyle w:val="FootnoteReference"/>
        </w:rPr>
        <w:footnoteRef/>
      </w:r>
      <w:r>
        <w:t xml:space="preserve"> </w:t>
      </w:r>
      <w:r>
        <w:rPr>
          <w:lang w:val="en-US"/>
        </w:rPr>
        <w:t>Brink, ‘The inconsistency of Belief,’ p.82</w:t>
      </w:r>
    </w:p>
  </w:footnote>
  <w:footnote w:id="11">
    <w:p w14:paraId="541A5524" w14:textId="0107030B" w:rsidR="00A3262D" w:rsidRPr="00787E06" w:rsidRDefault="00A3262D">
      <w:pPr>
        <w:pStyle w:val="FootnoteText"/>
        <w:rPr>
          <w:lang w:val="en-US"/>
        </w:rPr>
      </w:pPr>
      <w:r>
        <w:rPr>
          <w:rStyle w:val="FootnoteReference"/>
        </w:rPr>
        <w:footnoteRef/>
      </w:r>
      <w:r>
        <w:t xml:space="preserve"> </w:t>
      </w:r>
      <w:r>
        <w:rPr>
          <w:lang w:val="en-US"/>
        </w:rPr>
        <w:t>Brink, ‘The inconsistency of Belief,’ p.84</w:t>
      </w:r>
    </w:p>
  </w:footnote>
  <w:footnote w:id="12">
    <w:p w14:paraId="096E1A1F" w14:textId="77777777" w:rsidR="00A3262D" w:rsidRPr="00C216F3" w:rsidRDefault="00A3262D" w:rsidP="001E3607">
      <w:pPr>
        <w:pStyle w:val="FootnoteText"/>
        <w:rPr>
          <w:lang w:val="en-US"/>
        </w:rPr>
      </w:pPr>
      <w:r>
        <w:rPr>
          <w:rStyle w:val="FootnoteReference"/>
        </w:rPr>
        <w:footnoteRef/>
      </w:r>
      <w:r>
        <w:t xml:space="preserve"> </w:t>
      </w:r>
      <w:r>
        <w:rPr>
          <w:lang w:val="en-US"/>
        </w:rPr>
        <w:t>Brink,</w:t>
      </w:r>
      <w:r w:rsidRPr="00C216F3">
        <w:rPr>
          <w:lang w:val="en-US"/>
        </w:rPr>
        <w:t xml:space="preserve"> </w:t>
      </w:r>
      <w:r>
        <w:rPr>
          <w:lang w:val="en-US"/>
        </w:rPr>
        <w:t>‘The inconsistency of Belief,’ p.84</w:t>
      </w:r>
    </w:p>
  </w:footnote>
  <w:footnote w:id="13">
    <w:p w14:paraId="6B3CF736" w14:textId="02BCEFAC" w:rsidR="00A3262D" w:rsidRPr="00905D08" w:rsidRDefault="00A3262D" w:rsidP="00935ABA">
      <w:pPr>
        <w:pStyle w:val="FootnoteText"/>
        <w:rPr>
          <w:lang w:val="en-US"/>
        </w:rPr>
      </w:pPr>
      <w:r>
        <w:rPr>
          <w:rStyle w:val="FootnoteReference"/>
        </w:rPr>
        <w:footnoteRef/>
      </w:r>
      <w:r>
        <w:t xml:space="preserve"> Gillian </w:t>
      </w:r>
      <w:r>
        <w:rPr>
          <w:lang w:val="en-US"/>
        </w:rPr>
        <w:t>Bennett,</w:t>
      </w:r>
      <w:proofErr w:type="gramStart"/>
      <w:r>
        <w:rPr>
          <w:lang w:val="en-US"/>
        </w:rPr>
        <w:t xml:space="preserve"> ‘</w:t>
      </w:r>
      <w:proofErr w:type="gramEnd"/>
      <w:r w:rsidRPr="008F74AD">
        <w:rPr>
          <w:lang w:val="en-US"/>
        </w:rPr>
        <w:t>If I knew you were coming’</w:t>
      </w:r>
      <w:r>
        <w:rPr>
          <w:lang w:val="en-US"/>
        </w:rPr>
        <w:t xml:space="preserve">, in </w:t>
      </w:r>
      <w:r>
        <w:rPr>
          <w:i/>
          <w:lang w:val="en-US"/>
        </w:rPr>
        <w:t xml:space="preserve">Out of the Ordinary, </w:t>
      </w:r>
      <w:r>
        <w:rPr>
          <w:lang w:val="en-US"/>
        </w:rPr>
        <w:t xml:space="preserve">ed. Barbara Walker (Utah University Press, 1995) pp. 122 – 145, (p.124) </w:t>
      </w:r>
    </w:p>
  </w:footnote>
  <w:footnote w:id="14">
    <w:p w14:paraId="1CE4B5E6" w14:textId="53B6DDBA" w:rsidR="00A3262D" w:rsidRPr="00DA1488" w:rsidRDefault="00A3262D" w:rsidP="00935ABA">
      <w:pPr>
        <w:pStyle w:val="FootnoteText"/>
        <w:rPr>
          <w:lang w:val="en-US"/>
        </w:rPr>
      </w:pPr>
      <w:r>
        <w:rPr>
          <w:rStyle w:val="FootnoteReference"/>
        </w:rPr>
        <w:footnoteRef/>
      </w:r>
      <w:r>
        <w:t xml:space="preserve"> </w:t>
      </w:r>
      <w:proofErr w:type="spellStart"/>
      <w:r>
        <w:rPr>
          <w:lang w:val="en-US"/>
        </w:rPr>
        <w:t>Hennick</w:t>
      </w:r>
      <w:proofErr w:type="spellEnd"/>
      <w:r>
        <w:rPr>
          <w:lang w:val="en-US"/>
        </w:rPr>
        <w:t xml:space="preserve">, </w:t>
      </w:r>
      <w:proofErr w:type="spellStart"/>
      <w:r>
        <w:rPr>
          <w:lang w:val="en-US"/>
        </w:rPr>
        <w:t>Hutter</w:t>
      </w:r>
      <w:proofErr w:type="spellEnd"/>
      <w:r>
        <w:rPr>
          <w:lang w:val="en-US"/>
        </w:rPr>
        <w:t xml:space="preserve">, Bailey, </w:t>
      </w:r>
      <w:r w:rsidRPr="00C06701">
        <w:rPr>
          <w:i/>
          <w:lang w:val="en-US"/>
        </w:rPr>
        <w:t>Qualitative Research Methods</w:t>
      </w:r>
      <w:r>
        <w:rPr>
          <w:lang w:val="en-US"/>
        </w:rPr>
        <w:t>, p.397</w:t>
      </w:r>
    </w:p>
  </w:footnote>
  <w:footnote w:id="15">
    <w:p w14:paraId="276BF9CF" w14:textId="77777777" w:rsidR="00A3262D" w:rsidRPr="0079049D" w:rsidRDefault="00A3262D" w:rsidP="008055A4">
      <w:pPr>
        <w:pStyle w:val="FootnoteText"/>
        <w:rPr>
          <w:lang w:val="en-US"/>
        </w:rPr>
      </w:pPr>
      <w:r>
        <w:rPr>
          <w:rStyle w:val="FootnoteReference"/>
        </w:rPr>
        <w:footnoteRef/>
      </w:r>
      <w:r>
        <w:t xml:space="preserve"> </w:t>
      </w:r>
      <w:proofErr w:type="spellStart"/>
      <w:r>
        <w:rPr>
          <w:lang w:val="en-US"/>
        </w:rPr>
        <w:t>Hennick</w:t>
      </w:r>
      <w:proofErr w:type="spellEnd"/>
      <w:r>
        <w:rPr>
          <w:lang w:val="en-US"/>
        </w:rPr>
        <w:t xml:space="preserve">, </w:t>
      </w:r>
      <w:proofErr w:type="spellStart"/>
      <w:r>
        <w:rPr>
          <w:lang w:val="en-US"/>
        </w:rPr>
        <w:t>Hutter</w:t>
      </w:r>
      <w:proofErr w:type="spellEnd"/>
      <w:r>
        <w:rPr>
          <w:lang w:val="en-US"/>
        </w:rPr>
        <w:t xml:space="preserve">, Bailey, </w:t>
      </w:r>
      <w:r w:rsidRPr="00C06701">
        <w:rPr>
          <w:i/>
        </w:rPr>
        <w:t xml:space="preserve">Qualitative </w:t>
      </w:r>
      <w:proofErr w:type="spellStart"/>
      <w:r w:rsidRPr="00C06701">
        <w:rPr>
          <w:i/>
        </w:rPr>
        <w:t>Research</w:t>
      </w:r>
      <w:proofErr w:type="spellEnd"/>
      <w:r w:rsidRPr="00C06701">
        <w:rPr>
          <w:i/>
        </w:rPr>
        <w:t xml:space="preserve"> </w:t>
      </w:r>
      <w:proofErr w:type="spellStart"/>
      <w:r w:rsidRPr="00C06701">
        <w:rPr>
          <w:i/>
        </w:rPr>
        <w:t>Methods</w:t>
      </w:r>
      <w:proofErr w:type="spellEnd"/>
      <w:r>
        <w:t>, p. 398</w:t>
      </w:r>
    </w:p>
  </w:footnote>
  <w:footnote w:id="16">
    <w:p w14:paraId="745B322B" w14:textId="77777777" w:rsidR="00A3262D" w:rsidRPr="00440B84" w:rsidRDefault="00A3262D" w:rsidP="008055A4">
      <w:pPr>
        <w:pStyle w:val="FootnoteText"/>
        <w:rPr>
          <w:lang w:val="en-US"/>
        </w:rPr>
      </w:pPr>
      <w:r>
        <w:rPr>
          <w:rStyle w:val="FootnoteReference"/>
        </w:rPr>
        <w:footnoteRef/>
      </w:r>
      <w:r>
        <w:t xml:space="preserve"> </w:t>
      </w:r>
      <w:proofErr w:type="spellStart"/>
      <w:r>
        <w:rPr>
          <w:lang w:val="en-US"/>
        </w:rPr>
        <w:t>Hennick</w:t>
      </w:r>
      <w:proofErr w:type="spellEnd"/>
      <w:r>
        <w:rPr>
          <w:lang w:val="en-US"/>
        </w:rPr>
        <w:t xml:space="preserve">, </w:t>
      </w:r>
      <w:proofErr w:type="spellStart"/>
      <w:r>
        <w:rPr>
          <w:lang w:val="en-US"/>
        </w:rPr>
        <w:t>Hutter</w:t>
      </w:r>
      <w:proofErr w:type="spellEnd"/>
      <w:r>
        <w:rPr>
          <w:lang w:val="en-US"/>
        </w:rPr>
        <w:t xml:space="preserve">, Bailey, </w:t>
      </w:r>
      <w:r w:rsidRPr="00C06701">
        <w:rPr>
          <w:i/>
        </w:rPr>
        <w:t xml:space="preserve">Qualitative </w:t>
      </w:r>
      <w:proofErr w:type="spellStart"/>
      <w:r w:rsidRPr="00C06701">
        <w:rPr>
          <w:i/>
        </w:rPr>
        <w:t>Research</w:t>
      </w:r>
      <w:proofErr w:type="spellEnd"/>
      <w:r w:rsidRPr="00C06701">
        <w:rPr>
          <w:i/>
        </w:rPr>
        <w:t xml:space="preserve"> </w:t>
      </w:r>
      <w:proofErr w:type="spellStart"/>
      <w:r w:rsidRPr="00C06701">
        <w:rPr>
          <w:i/>
        </w:rPr>
        <w:t>Methods</w:t>
      </w:r>
      <w:proofErr w:type="spellEnd"/>
      <w:r>
        <w:t>, p. 398</w:t>
      </w:r>
    </w:p>
  </w:footnote>
  <w:footnote w:id="17">
    <w:p w14:paraId="0D2305F6" w14:textId="4FD23294" w:rsidR="00A3262D" w:rsidRPr="00134ECE" w:rsidRDefault="00A3262D" w:rsidP="00935ABA">
      <w:pPr>
        <w:pStyle w:val="FootnoteText"/>
        <w:rPr>
          <w:lang w:val="en-US"/>
        </w:rPr>
      </w:pPr>
      <w:r>
        <w:rPr>
          <w:rStyle w:val="FootnoteReference"/>
        </w:rPr>
        <w:footnoteRef/>
      </w:r>
      <w:r>
        <w:t xml:space="preserve"> </w:t>
      </w:r>
      <w:r>
        <w:rPr>
          <w:lang w:val="en-US"/>
        </w:rPr>
        <w:t xml:space="preserve">Bennett, </w:t>
      </w:r>
      <w:r w:rsidRPr="00B3517D">
        <w:rPr>
          <w:i/>
          <w:lang w:val="en-US"/>
        </w:rPr>
        <w:t>If I knew you were coming</w:t>
      </w:r>
      <w:r>
        <w:rPr>
          <w:lang w:val="en-US"/>
        </w:rPr>
        <w:t xml:space="preserve">, p.140 </w:t>
      </w:r>
    </w:p>
  </w:footnote>
  <w:footnote w:id="18">
    <w:p w14:paraId="7BACC609" w14:textId="660ECE02" w:rsidR="00A3262D" w:rsidRPr="00935ABA" w:rsidRDefault="00A3262D">
      <w:pPr>
        <w:pStyle w:val="FootnoteText"/>
        <w:rPr>
          <w:lang w:val="en-US"/>
        </w:rPr>
      </w:pPr>
      <w:r>
        <w:rPr>
          <w:rStyle w:val="FootnoteReference"/>
        </w:rPr>
        <w:footnoteRef/>
      </w:r>
      <w:r>
        <w:t xml:space="preserve"> </w:t>
      </w:r>
      <w:r>
        <w:rPr>
          <w:lang w:val="en-US"/>
        </w:rPr>
        <w:t xml:space="preserve">Bennett, </w:t>
      </w:r>
      <w:r w:rsidRPr="00B3517D">
        <w:rPr>
          <w:i/>
          <w:lang w:val="en-US"/>
        </w:rPr>
        <w:t>If I knew you were coming</w:t>
      </w:r>
      <w:r>
        <w:rPr>
          <w:i/>
          <w:lang w:val="en-US"/>
        </w:rPr>
        <w:t>,</w:t>
      </w:r>
      <w:r>
        <w:rPr>
          <w:lang w:val="en-US"/>
        </w:rPr>
        <w:t xml:space="preserve"> p.127</w:t>
      </w:r>
    </w:p>
  </w:footnote>
  <w:footnote w:id="19">
    <w:p w14:paraId="64D76509" w14:textId="5056AFE0" w:rsidR="00A3262D" w:rsidRPr="004F0F9A" w:rsidRDefault="00A3262D" w:rsidP="005E64D8">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p.127</w:t>
      </w:r>
    </w:p>
  </w:footnote>
  <w:footnote w:id="20">
    <w:p w14:paraId="364C07ED" w14:textId="10CCED2F" w:rsidR="00A3262D" w:rsidRPr="004204F9" w:rsidRDefault="00A3262D" w:rsidP="005E64D8">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p.127</w:t>
      </w:r>
    </w:p>
  </w:footnote>
  <w:footnote w:id="21">
    <w:p w14:paraId="1DD8DA07" w14:textId="6E6A500D" w:rsidR="00A3262D" w:rsidRPr="00990E05" w:rsidRDefault="00A3262D" w:rsidP="005E64D8">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p.127</w:t>
      </w:r>
    </w:p>
  </w:footnote>
  <w:footnote w:id="22">
    <w:p w14:paraId="00913108" w14:textId="518E6B7D" w:rsidR="00A3262D" w:rsidRPr="003E2BE7" w:rsidRDefault="00A3262D">
      <w:pPr>
        <w:pStyle w:val="FootnoteText"/>
        <w:rPr>
          <w:lang w:val="en-US"/>
        </w:rPr>
      </w:pPr>
      <w:r>
        <w:rPr>
          <w:rStyle w:val="FootnoteReference"/>
        </w:rPr>
        <w:footnoteRef/>
      </w:r>
      <w:r>
        <w:t xml:space="preserve"> </w:t>
      </w:r>
      <w:r>
        <w:rPr>
          <w:lang w:val="en-US"/>
        </w:rPr>
        <w:t xml:space="preserve">Monique </w:t>
      </w:r>
      <w:proofErr w:type="spellStart"/>
      <w:r>
        <w:rPr>
          <w:lang w:val="en-US"/>
        </w:rPr>
        <w:t>Hennick</w:t>
      </w:r>
      <w:proofErr w:type="spellEnd"/>
      <w:r>
        <w:rPr>
          <w:lang w:val="en-US"/>
        </w:rPr>
        <w:t xml:space="preserve">, </w:t>
      </w:r>
      <w:proofErr w:type="spellStart"/>
      <w:r>
        <w:rPr>
          <w:lang w:val="en-US"/>
        </w:rPr>
        <w:t>Inge</w:t>
      </w:r>
      <w:proofErr w:type="spellEnd"/>
      <w:r>
        <w:rPr>
          <w:lang w:val="en-US"/>
        </w:rPr>
        <w:t xml:space="preserve"> </w:t>
      </w:r>
      <w:proofErr w:type="spellStart"/>
      <w:r>
        <w:rPr>
          <w:lang w:val="en-US"/>
        </w:rPr>
        <w:t>Hutter</w:t>
      </w:r>
      <w:proofErr w:type="spellEnd"/>
      <w:r>
        <w:rPr>
          <w:lang w:val="en-US"/>
        </w:rPr>
        <w:t xml:space="preserve">, Ajay Bailey, </w:t>
      </w:r>
      <w:r w:rsidRPr="003E2BE7">
        <w:rPr>
          <w:i/>
          <w:lang w:val="en-US"/>
        </w:rPr>
        <w:t>Qualitative Research Methods,</w:t>
      </w:r>
      <w:r>
        <w:rPr>
          <w:lang w:val="en-US"/>
        </w:rPr>
        <w:t xml:space="preserve"> (Sage publishing, 2010) p.72</w:t>
      </w:r>
    </w:p>
  </w:footnote>
  <w:footnote w:id="23">
    <w:p w14:paraId="2C2C5DFD" w14:textId="1CCBECB7" w:rsidR="00A3262D" w:rsidRPr="00B63290" w:rsidRDefault="00A3262D" w:rsidP="00450319">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p.127</w:t>
      </w:r>
    </w:p>
  </w:footnote>
  <w:footnote w:id="24">
    <w:p w14:paraId="0802669D" w14:textId="2E4AEF74" w:rsidR="00A3262D" w:rsidRPr="00C20ABD" w:rsidRDefault="00A3262D" w:rsidP="00C20ABD">
      <w:pPr>
        <w:rPr>
          <w:rFonts w:eastAsia="Times New Roman"/>
        </w:rPr>
      </w:pPr>
      <w:r>
        <w:rPr>
          <w:rStyle w:val="FootnoteReference"/>
        </w:rPr>
        <w:footnoteRef/>
      </w:r>
      <w:r>
        <w:t xml:space="preserve"> </w:t>
      </w:r>
      <w:proofErr w:type="spellStart"/>
      <w:r>
        <w:t>Elemire</w:t>
      </w:r>
      <w:proofErr w:type="spellEnd"/>
      <w:r>
        <w:t xml:space="preserve"> Zolla,</w:t>
      </w:r>
      <w:proofErr w:type="gramStart"/>
      <w:r>
        <w:t xml:space="preserve"> ‘</w:t>
      </w:r>
      <w:proofErr w:type="spellStart"/>
      <w:proofErr w:type="gramEnd"/>
      <w:r>
        <w:t>That</w:t>
      </w:r>
      <w:proofErr w:type="spellEnd"/>
      <w:r>
        <w:t xml:space="preserve"> must </w:t>
      </w:r>
      <w:proofErr w:type="spellStart"/>
      <w:r>
        <w:t>have</w:t>
      </w:r>
      <w:proofErr w:type="spellEnd"/>
      <w:r>
        <w:t xml:space="preserve"> </w:t>
      </w:r>
      <w:proofErr w:type="spellStart"/>
      <w:r>
        <w:t>Been</w:t>
      </w:r>
      <w:proofErr w:type="spellEnd"/>
      <w:r>
        <w:t xml:space="preserve"> ESP!” An </w:t>
      </w:r>
      <w:proofErr w:type="spellStart"/>
      <w:r>
        <w:t>examination</w:t>
      </w:r>
      <w:proofErr w:type="spellEnd"/>
      <w:r>
        <w:t xml:space="preserve"> of </w:t>
      </w:r>
      <w:proofErr w:type="spellStart"/>
      <w:r>
        <w:t>Psychic</w:t>
      </w:r>
      <w:proofErr w:type="spellEnd"/>
      <w:r>
        <w:t xml:space="preserve"> </w:t>
      </w:r>
      <w:proofErr w:type="spellStart"/>
      <w:r>
        <w:t>experiences</w:t>
      </w:r>
      <w:proofErr w:type="spellEnd"/>
      <w:r>
        <w:t xml:space="preserve"> by </w:t>
      </w:r>
      <w:proofErr w:type="spellStart"/>
      <w:r>
        <w:t>Leea</w:t>
      </w:r>
      <w:proofErr w:type="spellEnd"/>
      <w:r>
        <w:t xml:space="preserve"> </w:t>
      </w:r>
      <w:proofErr w:type="spellStart"/>
      <w:r>
        <w:t>Virtanen</w:t>
      </w:r>
      <w:proofErr w:type="spellEnd"/>
      <w:r>
        <w:t xml:space="preserve">, John </w:t>
      </w:r>
      <w:proofErr w:type="spellStart"/>
      <w:r>
        <w:t>Atkinson</w:t>
      </w:r>
      <w:proofErr w:type="spellEnd"/>
      <w:r>
        <w:t xml:space="preserve">, Thomas </w:t>
      </w:r>
      <w:proofErr w:type="spellStart"/>
      <w:r>
        <w:t>Dubois</w:t>
      </w:r>
      <w:proofErr w:type="spellEnd"/>
      <w:r>
        <w:t xml:space="preserve"> and Linda </w:t>
      </w:r>
      <w:proofErr w:type="spellStart"/>
      <w:r>
        <w:t>Dégh</w:t>
      </w:r>
      <w:proofErr w:type="spellEnd"/>
      <w:r>
        <w:t xml:space="preserve">.’ </w:t>
      </w:r>
      <w:r w:rsidRPr="00C20ABD">
        <w:rPr>
          <w:rFonts w:eastAsia="Times New Roman"/>
          <w:i/>
        </w:rPr>
        <w:t xml:space="preserve">Asian Folklore </w:t>
      </w:r>
      <w:proofErr w:type="spellStart"/>
      <w:r w:rsidRPr="00C20ABD">
        <w:rPr>
          <w:rFonts w:eastAsia="Times New Roman"/>
          <w:i/>
        </w:rPr>
        <w:t>Studies</w:t>
      </w:r>
      <w:proofErr w:type="spellEnd"/>
      <w:r>
        <w:rPr>
          <w:rFonts w:eastAsia="Times New Roman"/>
        </w:rPr>
        <w:t>, Vol. 50, No. 2 (1991), pp. 359-360 (p.359)</w:t>
      </w:r>
    </w:p>
  </w:footnote>
  <w:footnote w:id="25">
    <w:p w14:paraId="4C1CF69F" w14:textId="5857B9E2" w:rsidR="00A3262D" w:rsidRPr="00465F04" w:rsidRDefault="00A3262D">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p.125</w:t>
      </w:r>
    </w:p>
  </w:footnote>
  <w:footnote w:id="26">
    <w:p w14:paraId="2CB2104A" w14:textId="48FCE915" w:rsidR="00A3262D" w:rsidRPr="000C0A6D" w:rsidRDefault="00A3262D">
      <w:pPr>
        <w:pStyle w:val="FootnoteText"/>
        <w:rPr>
          <w:lang w:val="en-US"/>
        </w:rPr>
      </w:pPr>
      <w:r>
        <w:rPr>
          <w:rStyle w:val="FootnoteReference"/>
        </w:rPr>
        <w:footnoteRef/>
      </w:r>
      <w:r>
        <w:t xml:space="preserve"> </w:t>
      </w:r>
      <w:r>
        <w:rPr>
          <w:lang w:val="en-US"/>
        </w:rPr>
        <w:t xml:space="preserve">Bennett, </w:t>
      </w:r>
      <w:r w:rsidRPr="00A1257C">
        <w:rPr>
          <w:i/>
          <w:lang w:val="en-US"/>
        </w:rPr>
        <w:t>If I knew you were coming</w:t>
      </w:r>
      <w:r>
        <w:rPr>
          <w:lang w:val="en-US"/>
        </w:rPr>
        <w:t>, p.125</w:t>
      </w:r>
    </w:p>
  </w:footnote>
  <w:footnote w:id="27">
    <w:p w14:paraId="2CF28A40" w14:textId="77777777" w:rsidR="00A3262D" w:rsidRPr="00CB0758" w:rsidRDefault="00A3262D" w:rsidP="00721BE4">
      <w:pPr>
        <w:pStyle w:val="FootnoteText"/>
        <w:rPr>
          <w:lang w:val="en-US"/>
        </w:rPr>
      </w:pPr>
      <w:r>
        <w:rPr>
          <w:rStyle w:val="FootnoteReference"/>
        </w:rPr>
        <w:footnoteRef/>
      </w:r>
      <w:r>
        <w:t xml:space="preserve"> Bennett, </w:t>
      </w:r>
      <w:proofErr w:type="spellStart"/>
      <w:r w:rsidRPr="001E1756">
        <w:rPr>
          <w:i/>
        </w:rPr>
        <w:t>If</w:t>
      </w:r>
      <w:proofErr w:type="spellEnd"/>
      <w:r w:rsidRPr="001E1756">
        <w:rPr>
          <w:i/>
        </w:rPr>
        <w:t xml:space="preserve"> I </w:t>
      </w:r>
      <w:proofErr w:type="spellStart"/>
      <w:r w:rsidRPr="001E1756">
        <w:rPr>
          <w:i/>
        </w:rPr>
        <w:t>knew</w:t>
      </w:r>
      <w:proofErr w:type="spellEnd"/>
      <w:r w:rsidRPr="001E1756">
        <w:rPr>
          <w:i/>
        </w:rPr>
        <w:t xml:space="preserve"> </w:t>
      </w:r>
      <w:proofErr w:type="spellStart"/>
      <w:r w:rsidRPr="001E1756">
        <w:rPr>
          <w:i/>
        </w:rPr>
        <w:t>you</w:t>
      </w:r>
      <w:proofErr w:type="spellEnd"/>
      <w:r w:rsidRPr="001E1756">
        <w:rPr>
          <w:i/>
        </w:rPr>
        <w:t xml:space="preserve"> </w:t>
      </w:r>
      <w:proofErr w:type="spellStart"/>
      <w:r w:rsidRPr="001E1756">
        <w:rPr>
          <w:i/>
        </w:rPr>
        <w:t>were</w:t>
      </w:r>
      <w:proofErr w:type="spellEnd"/>
      <w:r w:rsidRPr="001E1756">
        <w:rPr>
          <w:i/>
        </w:rPr>
        <w:t xml:space="preserve"> </w:t>
      </w:r>
      <w:proofErr w:type="spellStart"/>
      <w:r w:rsidRPr="001E1756">
        <w:rPr>
          <w:i/>
        </w:rPr>
        <w:t>coming</w:t>
      </w:r>
      <w:proofErr w:type="spellEnd"/>
      <w:r>
        <w:t xml:space="preserve">, </w:t>
      </w:r>
      <w:r>
        <w:rPr>
          <w:lang w:val="en-US"/>
        </w:rPr>
        <w:t>p.124</w:t>
      </w:r>
    </w:p>
  </w:footnote>
  <w:footnote w:id="28">
    <w:p w14:paraId="6FAE7E7B" w14:textId="77777777" w:rsidR="00A3262D" w:rsidRPr="00C9584F" w:rsidRDefault="00A3262D" w:rsidP="00721BE4">
      <w:pPr>
        <w:pStyle w:val="FootnoteText"/>
        <w:rPr>
          <w:lang w:val="en-US"/>
        </w:rPr>
      </w:pPr>
      <w:r>
        <w:rPr>
          <w:rStyle w:val="FootnoteReference"/>
        </w:rPr>
        <w:footnoteRef/>
      </w:r>
      <w:r>
        <w:t xml:space="preserve"> </w:t>
      </w:r>
      <w:r>
        <w:rPr>
          <w:lang w:val="en-US"/>
        </w:rPr>
        <w:t xml:space="preserve">Bennett, </w:t>
      </w:r>
      <w:r w:rsidRPr="001E1756">
        <w:rPr>
          <w:i/>
          <w:lang w:val="en-US"/>
        </w:rPr>
        <w:t>If I knew you were coming,</w:t>
      </w:r>
      <w:r>
        <w:rPr>
          <w:lang w:val="en-US"/>
        </w:rPr>
        <w:t xml:space="preserve"> p.126 </w:t>
      </w:r>
    </w:p>
  </w:footnote>
  <w:footnote w:id="29">
    <w:p w14:paraId="4E6A0E11" w14:textId="7955106E" w:rsidR="00A3262D" w:rsidRPr="000F6AF4" w:rsidRDefault="00A3262D" w:rsidP="0042631B">
      <w:pPr>
        <w:pStyle w:val="FootnoteText"/>
        <w:rPr>
          <w:lang w:val="en-US"/>
        </w:rPr>
      </w:pPr>
      <w:r>
        <w:rPr>
          <w:rStyle w:val="FootnoteReference"/>
        </w:rPr>
        <w:footnoteRef/>
      </w:r>
      <w:r>
        <w:t xml:space="preserve"> </w:t>
      </w:r>
      <w:r>
        <w:rPr>
          <w:lang w:val="en-US"/>
        </w:rPr>
        <w:t>Brink, ‘The Inconsistency of Belief,’ p.85</w:t>
      </w:r>
    </w:p>
  </w:footnote>
  <w:footnote w:id="30">
    <w:p w14:paraId="255B19A4" w14:textId="52283F73" w:rsidR="00A3262D" w:rsidRPr="00BA1E7A" w:rsidRDefault="00A3262D">
      <w:pPr>
        <w:pStyle w:val="FootnoteText"/>
        <w:rPr>
          <w:lang w:val="en-US"/>
        </w:rPr>
      </w:pPr>
      <w:r>
        <w:rPr>
          <w:rStyle w:val="FootnoteReference"/>
        </w:rPr>
        <w:footnoteRef/>
      </w:r>
      <w:r>
        <w:t xml:space="preserve"> </w:t>
      </w:r>
      <w:r>
        <w:rPr>
          <w:lang w:val="en-US"/>
        </w:rPr>
        <w:t xml:space="preserve">Brink, ‘The Inconsistency of Belief,’ p.85 </w:t>
      </w:r>
    </w:p>
  </w:footnote>
  <w:footnote w:id="31">
    <w:p w14:paraId="38FBD9BC" w14:textId="78E2331E" w:rsidR="00A3262D" w:rsidRPr="000F5FEA" w:rsidRDefault="00A3262D">
      <w:pPr>
        <w:pStyle w:val="FootnoteText"/>
        <w:rPr>
          <w:lang w:val="en-US"/>
        </w:rPr>
      </w:pPr>
      <w:r>
        <w:rPr>
          <w:rStyle w:val="FootnoteReference"/>
        </w:rPr>
        <w:footnoteRef/>
      </w:r>
      <w:r>
        <w:t xml:space="preserve"> </w:t>
      </w:r>
      <w:r>
        <w:rPr>
          <w:lang w:val="en-US"/>
        </w:rPr>
        <w:t>Brink, ‘The Inconsistency of Belief,’ p.84</w:t>
      </w:r>
    </w:p>
  </w:footnote>
  <w:footnote w:id="32">
    <w:p w14:paraId="15CCC314" w14:textId="2015C469" w:rsidR="00A3262D" w:rsidRPr="007E1F66" w:rsidRDefault="00A3262D" w:rsidP="0016395B">
      <w:pPr>
        <w:pStyle w:val="FootnoteText"/>
        <w:rPr>
          <w:lang w:val="en-US"/>
        </w:rPr>
      </w:pPr>
      <w:r>
        <w:rPr>
          <w:rStyle w:val="FootnoteReference"/>
        </w:rPr>
        <w:footnoteRef/>
      </w:r>
      <w:r>
        <w:t xml:space="preserve"> </w:t>
      </w:r>
      <w:r>
        <w:rPr>
          <w:lang w:val="en-US"/>
        </w:rPr>
        <w:t xml:space="preserve">Bennett. </w:t>
      </w:r>
      <w:r w:rsidRPr="001E1756">
        <w:rPr>
          <w:i/>
          <w:lang w:val="en-US"/>
        </w:rPr>
        <w:t>If I knew you were coming</w:t>
      </w:r>
      <w:r>
        <w:rPr>
          <w:lang w:val="en-US"/>
        </w:rPr>
        <w:t>, p.122</w:t>
      </w:r>
    </w:p>
  </w:footnote>
  <w:footnote w:id="33">
    <w:p w14:paraId="6B6499D9" w14:textId="41187433" w:rsidR="00A3262D" w:rsidRPr="00C91AFD" w:rsidRDefault="00A3262D" w:rsidP="0016395B">
      <w:pPr>
        <w:pStyle w:val="FootnoteText"/>
        <w:rPr>
          <w:lang w:val="en-US"/>
        </w:rPr>
      </w:pPr>
      <w:r>
        <w:rPr>
          <w:rStyle w:val="FootnoteReference"/>
        </w:rPr>
        <w:footnoteRef/>
      </w:r>
      <w:r>
        <w:t xml:space="preserve"> </w:t>
      </w:r>
      <w:r>
        <w:rPr>
          <w:lang w:val="en-US"/>
        </w:rPr>
        <w:t>Brink, ‘The Inconsistency of Belief,’ p.139</w:t>
      </w:r>
    </w:p>
  </w:footnote>
  <w:footnote w:id="34">
    <w:p w14:paraId="224F02D9" w14:textId="542FCFAD" w:rsidR="00A3262D" w:rsidRPr="00653B19" w:rsidRDefault="00A3262D">
      <w:pPr>
        <w:pStyle w:val="FootnoteText"/>
        <w:rPr>
          <w:lang w:val="en-US"/>
        </w:rPr>
      </w:pPr>
      <w:r>
        <w:rPr>
          <w:rStyle w:val="FootnoteReference"/>
        </w:rPr>
        <w:footnoteRef/>
      </w:r>
      <w:r>
        <w:t xml:space="preserve"> </w:t>
      </w:r>
      <w:r>
        <w:rPr>
          <w:lang w:val="en-US"/>
        </w:rPr>
        <w:t xml:space="preserve">Bennett, </w:t>
      </w:r>
      <w:r w:rsidRPr="001E1756">
        <w:rPr>
          <w:i/>
          <w:lang w:val="en-US"/>
        </w:rPr>
        <w:t>If I knew you were coming</w:t>
      </w:r>
      <w:r>
        <w:rPr>
          <w:i/>
          <w:lang w:val="en-US"/>
        </w:rPr>
        <w:t>, p.139</w:t>
      </w:r>
    </w:p>
  </w:footnote>
  <w:footnote w:id="35">
    <w:p w14:paraId="387AE21D" w14:textId="42FF0076" w:rsidR="00A3262D" w:rsidRPr="00900FF8" w:rsidRDefault="00A3262D">
      <w:pPr>
        <w:pStyle w:val="FootnoteText"/>
        <w:rPr>
          <w:lang w:val="en-US"/>
        </w:rPr>
      </w:pPr>
      <w:r>
        <w:rPr>
          <w:rStyle w:val="FootnoteReference"/>
        </w:rPr>
        <w:footnoteRef/>
      </w:r>
      <w:r>
        <w:t xml:space="preserve"> </w:t>
      </w:r>
      <w:r>
        <w:rPr>
          <w:lang w:val="en-US"/>
        </w:rPr>
        <w:t xml:space="preserve">Bennett, </w:t>
      </w:r>
      <w:r w:rsidRPr="001E1756">
        <w:rPr>
          <w:i/>
          <w:lang w:val="en-US"/>
        </w:rPr>
        <w:t>If I knew you were coming</w:t>
      </w:r>
      <w:r>
        <w:rPr>
          <w:lang w:val="en-US"/>
        </w:rPr>
        <w:t>, p.139</w:t>
      </w:r>
    </w:p>
  </w:footnote>
  <w:footnote w:id="36">
    <w:p w14:paraId="424FF482" w14:textId="77777777" w:rsidR="00A3262D" w:rsidRPr="00167723" w:rsidRDefault="00A3262D" w:rsidP="00D63C7B">
      <w:pPr>
        <w:pStyle w:val="FootnoteText"/>
        <w:rPr>
          <w:lang w:val="en-US"/>
        </w:rPr>
      </w:pPr>
      <w:r>
        <w:rPr>
          <w:rStyle w:val="FootnoteReference"/>
        </w:rPr>
        <w:footnoteRef/>
      </w:r>
      <w:r>
        <w:t xml:space="preserve"> </w:t>
      </w:r>
      <w:r>
        <w:rPr>
          <w:lang w:val="en-US"/>
        </w:rPr>
        <w:t xml:space="preserve">Belden C Lane. </w:t>
      </w:r>
      <w:r w:rsidRPr="00167723">
        <w:rPr>
          <w:i/>
          <w:lang w:val="en-US"/>
        </w:rPr>
        <w:t>Landscapes of the Sacred, Geography and Narrative in American Spirituality,</w:t>
      </w:r>
      <w:r>
        <w:rPr>
          <w:i/>
          <w:lang w:val="en-US"/>
        </w:rPr>
        <w:t xml:space="preserve"> </w:t>
      </w:r>
      <w:r>
        <w:rPr>
          <w:lang w:val="en-US"/>
        </w:rPr>
        <w:t>(John Hopkins University Press, 2002) p.11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351210" w14:textId="065F94B3" w:rsidR="00A3262D" w:rsidRDefault="00A3262D">
    <w:pPr>
      <w:pStyle w:val="Header"/>
    </w:pPr>
    <w:r>
      <w:t>Hedy Mowinckel 2015812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23462E"/>
    <w:multiLevelType w:val="hybridMultilevel"/>
    <w:tmpl w:val="D478AD28"/>
    <w:lvl w:ilvl="0" w:tplc="5E22D1E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5CDD"/>
    <w:rsid w:val="00002949"/>
    <w:rsid w:val="00004BB1"/>
    <w:rsid w:val="00004CFB"/>
    <w:rsid w:val="00006503"/>
    <w:rsid w:val="0001293F"/>
    <w:rsid w:val="00012D5A"/>
    <w:rsid w:val="00022A5D"/>
    <w:rsid w:val="00023ADC"/>
    <w:rsid w:val="000260B4"/>
    <w:rsid w:val="000323FD"/>
    <w:rsid w:val="00035B84"/>
    <w:rsid w:val="000639B1"/>
    <w:rsid w:val="000657A7"/>
    <w:rsid w:val="00066363"/>
    <w:rsid w:val="000773B9"/>
    <w:rsid w:val="00081615"/>
    <w:rsid w:val="00095E1E"/>
    <w:rsid w:val="000971A7"/>
    <w:rsid w:val="000A3D25"/>
    <w:rsid w:val="000B7D11"/>
    <w:rsid w:val="000C0A6D"/>
    <w:rsid w:val="000C38AA"/>
    <w:rsid w:val="000D7429"/>
    <w:rsid w:val="000E7FDE"/>
    <w:rsid w:val="000F1F9C"/>
    <w:rsid w:val="000F5FEA"/>
    <w:rsid w:val="000F6AF4"/>
    <w:rsid w:val="00101CD2"/>
    <w:rsid w:val="00113440"/>
    <w:rsid w:val="00114857"/>
    <w:rsid w:val="00117480"/>
    <w:rsid w:val="00134ECE"/>
    <w:rsid w:val="001414AA"/>
    <w:rsid w:val="00152B70"/>
    <w:rsid w:val="00156D1A"/>
    <w:rsid w:val="001572B2"/>
    <w:rsid w:val="0016395B"/>
    <w:rsid w:val="0016641F"/>
    <w:rsid w:val="00167723"/>
    <w:rsid w:val="0017099B"/>
    <w:rsid w:val="00176790"/>
    <w:rsid w:val="00182712"/>
    <w:rsid w:val="001962FB"/>
    <w:rsid w:val="001A184B"/>
    <w:rsid w:val="001D613F"/>
    <w:rsid w:val="001E1756"/>
    <w:rsid w:val="001E2066"/>
    <w:rsid w:val="001E3607"/>
    <w:rsid w:val="001F3934"/>
    <w:rsid w:val="001F45A8"/>
    <w:rsid w:val="0020018F"/>
    <w:rsid w:val="002025B7"/>
    <w:rsid w:val="00203376"/>
    <w:rsid w:val="0022047F"/>
    <w:rsid w:val="00230FBE"/>
    <w:rsid w:val="00245E76"/>
    <w:rsid w:val="002463CD"/>
    <w:rsid w:val="00250FD2"/>
    <w:rsid w:val="002568D8"/>
    <w:rsid w:val="0027666C"/>
    <w:rsid w:val="002777E9"/>
    <w:rsid w:val="0029284A"/>
    <w:rsid w:val="00294409"/>
    <w:rsid w:val="002945D8"/>
    <w:rsid w:val="002B0748"/>
    <w:rsid w:val="002B4B53"/>
    <w:rsid w:val="002C12FC"/>
    <w:rsid w:val="002C5455"/>
    <w:rsid w:val="002D62CE"/>
    <w:rsid w:val="002D6CFD"/>
    <w:rsid w:val="002E2F09"/>
    <w:rsid w:val="002E3AFE"/>
    <w:rsid w:val="002E58A3"/>
    <w:rsid w:val="002E5DE6"/>
    <w:rsid w:val="002E7855"/>
    <w:rsid w:val="002F71B3"/>
    <w:rsid w:val="002F78CF"/>
    <w:rsid w:val="002F7B74"/>
    <w:rsid w:val="0030556A"/>
    <w:rsid w:val="0031169B"/>
    <w:rsid w:val="0033338C"/>
    <w:rsid w:val="00333ECD"/>
    <w:rsid w:val="00342E07"/>
    <w:rsid w:val="00343FBC"/>
    <w:rsid w:val="00344BAB"/>
    <w:rsid w:val="00345E10"/>
    <w:rsid w:val="00350B12"/>
    <w:rsid w:val="003754C3"/>
    <w:rsid w:val="0038642D"/>
    <w:rsid w:val="0039133C"/>
    <w:rsid w:val="003B0171"/>
    <w:rsid w:val="003B300E"/>
    <w:rsid w:val="003B6F89"/>
    <w:rsid w:val="003C0F01"/>
    <w:rsid w:val="003D58A3"/>
    <w:rsid w:val="003E11A2"/>
    <w:rsid w:val="003E2BE7"/>
    <w:rsid w:val="003F55AE"/>
    <w:rsid w:val="003F6147"/>
    <w:rsid w:val="003F7382"/>
    <w:rsid w:val="004056F0"/>
    <w:rsid w:val="00407C2E"/>
    <w:rsid w:val="004204F9"/>
    <w:rsid w:val="004210FB"/>
    <w:rsid w:val="00422F61"/>
    <w:rsid w:val="0042631B"/>
    <w:rsid w:val="004272D3"/>
    <w:rsid w:val="0043626C"/>
    <w:rsid w:val="00440B84"/>
    <w:rsid w:val="004425DB"/>
    <w:rsid w:val="00450319"/>
    <w:rsid w:val="004511F0"/>
    <w:rsid w:val="004515AC"/>
    <w:rsid w:val="0045594B"/>
    <w:rsid w:val="00457C38"/>
    <w:rsid w:val="00465E45"/>
    <w:rsid w:val="00465F04"/>
    <w:rsid w:val="004675B8"/>
    <w:rsid w:val="0047007E"/>
    <w:rsid w:val="004828CF"/>
    <w:rsid w:val="004969F8"/>
    <w:rsid w:val="004A6368"/>
    <w:rsid w:val="004B26C9"/>
    <w:rsid w:val="004B597C"/>
    <w:rsid w:val="004C08BF"/>
    <w:rsid w:val="004D2CA8"/>
    <w:rsid w:val="004D2CF5"/>
    <w:rsid w:val="004D4B46"/>
    <w:rsid w:val="004F0F9A"/>
    <w:rsid w:val="004F1A1C"/>
    <w:rsid w:val="004F2FB5"/>
    <w:rsid w:val="004F7B05"/>
    <w:rsid w:val="00500C5E"/>
    <w:rsid w:val="00500EB7"/>
    <w:rsid w:val="005130EE"/>
    <w:rsid w:val="005242A0"/>
    <w:rsid w:val="00534168"/>
    <w:rsid w:val="005359F2"/>
    <w:rsid w:val="005373DA"/>
    <w:rsid w:val="0054081A"/>
    <w:rsid w:val="00544901"/>
    <w:rsid w:val="00546BA9"/>
    <w:rsid w:val="005506D8"/>
    <w:rsid w:val="005626E7"/>
    <w:rsid w:val="0056359C"/>
    <w:rsid w:val="00565A04"/>
    <w:rsid w:val="00567305"/>
    <w:rsid w:val="00577CDB"/>
    <w:rsid w:val="0059078F"/>
    <w:rsid w:val="005910D3"/>
    <w:rsid w:val="00593140"/>
    <w:rsid w:val="005977A7"/>
    <w:rsid w:val="005A2722"/>
    <w:rsid w:val="005B1F70"/>
    <w:rsid w:val="005C7D61"/>
    <w:rsid w:val="005D101C"/>
    <w:rsid w:val="005D3D04"/>
    <w:rsid w:val="005E64D8"/>
    <w:rsid w:val="005F0601"/>
    <w:rsid w:val="005F5596"/>
    <w:rsid w:val="006000C0"/>
    <w:rsid w:val="00604DF7"/>
    <w:rsid w:val="0060502A"/>
    <w:rsid w:val="006165C6"/>
    <w:rsid w:val="00620237"/>
    <w:rsid w:val="00620F41"/>
    <w:rsid w:val="00622E8F"/>
    <w:rsid w:val="006238E3"/>
    <w:rsid w:val="0062644D"/>
    <w:rsid w:val="00626801"/>
    <w:rsid w:val="00632BE6"/>
    <w:rsid w:val="006354D4"/>
    <w:rsid w:val="00653B19"/>
    <w:rsid w:val="006567D6"/>
    <w:rsid w:val="00681C93"/>
    <w:rsid w:val="00682010"/>
    <w:rsid w:val="00682EA0"/>
    <w:rsid w:val="00682FCF"/>
    <w:rsid w:val="00685FE2"/>
    <w:rsid w:val="006A07B5"/>
    <w:rsid w:val="006A0C49"/>
    <w:rsid w:val="006B0392"/>
    <w:rsid w:val="006B32FF"/>
    <w:rsid w:val="006B4AAC"/>
    <w:rsid w:val="006C125E"/>
    <w:rsid w:val="006D45A0"/>
    <w:rsid w:val="006E1B1D"/>
    <w:rsid w:val="006E5A6C"/>
    <w:rsid w:val="006E640A"/>
    <w:rsid w:val="006F0DA0"/>
    <w:rsid w:val="0071273E"/>
    <w:rsid w:val="00713BB3"/>
    <w:rsid w:val="00714B99"/>
    <w:rsid w:val="00716231"/>
    <w:rsid w:val="00721BE4"/>
    <w:rsid w:val="00721C85"/>
    <w:rsid w:val="0072227F"/>
    <w:rsid w:val="00722612"/>
    <w:rsid w:val="0072525B"/>
    <w:rsid w:val="00726A05"/>
    <w:rsid w:val="00730E31"/>
    <w:rsid w:val="007321A1"/>
    <w:rsid w:val="00732E72"/>
    <w:rsid w:val="00741D17"/>
    <w:rsid w:val="00743E16"/>
    <w:rsid w:val="007467D7"/>
    <w:rsid w:val="00752632"/>
    <w:rsid w:val="0076212B"/>
    <w:rsid w:val="00777253"/>
    <w:rsid w:val="007774EF"/>
    <w:rsid w:val="00777CC3"/>
    <w:rsid w:val="00780557"/>
    <w:rsid w:val="00780747"/>
    <w:rsid w:val="00787E06"/>
    <w:rsid w:val="00787E79"/>
    <w:rsid w:val="0079049D"/>
    <w:rsid w:val="007A0A1B"/>
    <w:rsid w:val="007A0D88"/>
    <w:rsid w:val="007A7193"/>
    <w:rsid w:val="007B5AD1"/>
    <w:rsid w:val="007C1CCA"/>
    <w:rsid w:val="007C25FE"/>
    <w:rsid w:val="007C3EF9"/>
    <w:rsid w:val="007C5C97"/>
    <w:rsid w:val="007D15B6"/>
    <w:rsid w:val="007D19BD"/>
    <w:rsid w:val="007E08C4"/>
    <w:rsid w:val="007E1F66"/>
    <w:rsid w:val="007F614B"/>
    <w:rsid w:val="007F66C1"/>
    <w:rsid w:val="007F773E"/>
    <w:rsid w:val="00801B70"/>
    <w:rsid w:val="00802199"/>
    <w:rsid w:val="00802D81"/>
    <w:rsid w:val="008055A4"/>
    <w:rsid w:val="008075CA"/>
    <w:rsid w:val="00810762"/>
    <w:rsid w:val="00814C73"/>
    <w:rsid w:val="008255F6"/>
    <w:rsid w:val="00825BDF"/>
    <w:rsid w:val="00827C68"/>
    <w:rsid w:val="00835063"/>
    <w:rsid w:val="00836EDE"/>
    <w:rsid w:val="00845CE1"/>
    <w:rsid w:val="00856A73"/>
    <w:rsid w:val="008863D9"/>
    <w:rsid w:val="00892F6B"/>
    <w:rsid w:val="00894216"/>
    <w:rsid w:val="00895551"/>
    <w:rsid w:val="008A16A4"/>
    <w:rsid w:val="008A302F"/>
    <w:rsid w:val="008A3B85"/>
    <w:rsid w:val="008B0220"/>
    <w:rsid w:val="008B107D"/>
    <w:rsid w:val="008C1DD3"/>
    <w:rsid w:val="008C7156"/>
    <w:rsid w:val="008D4736"/>
    <w:rsid w:val="008E41A3"/>
    <w:rsid w:val="008E4C69"/>
    <w:rsid w:val="008F4432"/>
    <w:rsid w:val="008F58AA"/>
    <w:rsid w:val="008F74AD"/>
    <w:rsid w:val="008F78E3"/>
    <w:rsid w:val="008F7BC5"/>
    <w:rsid w:val="008F7CEB"/>
    <w:rsid w:val="008F7EC7"/>
    <w:rsid w:val="00900FF8"/>
    <w:rsid w:val="00904DA2"/>
    <w:rsid w:val="00905D08"/>
    <w:rsid w:val="00906245"/>
    <w:rsid w:val="00912F8B"/>
    <w:rsid w:val="009152D3"/>
    <w:rsid w:val="009217AB"/>
    <w:rsid w:val="00930023"/>
    <w:rsid w:val="00935ABA"/>
    <w:rsid w:val="00975CF8"/>
    <w:rsid w:val="00990E05"/>
    <w:rsid w:val="009917CC"/>
    <w:rsid w:val="00995E76"/>
    <w:rsid w:val="009B4FB7"/>
    <w:rsid w:val="009B680C"/>
    <w:rsid w:val="009C31AE"/>
    <w:rsid w:val="009C5F0D"/>
    <w:rsid w:val="009D38B8"/>
    <w:rsid w:val="009E23FA"/>
    <w:rsid w:val="009E6295"/>
    <w:rsid w:val="009E6FED"/>
    <w:rsid w:val="00A07F4D"/>
    <w:rsid w:val="00A124E8"/>
    <w:rsid w:val="00A1257C"/>
    <w:rsid w:val="00A14FEA"/>
    <w:rsid w:val="00A3262D"/>
    <w:rsid w:val="00A33DEE"/>
    <w:rsid w:val="00A34100"/>
    <w:rsid w:val="00A3483B"/>
    <w:rsid w:val="00A4454C"/>
    <w:rsid w:val="00A6053F"/>
    <w:rsid w:val="00A66A20"/>
    <w:rsid w:val="00A900ED"/>
    <w:rsid w:val="00A93C51"/>
    <w:rsid w:val="00AA5190"/>
    <w:rsid w:val="00AA719C"/>
    <w:rsid w:val="00AC1D5E"/>
    <w:rsid w:val="00AC4A9A"/>
    <w:rsid w:val="00AD34F5"/>
    <w:rsid w:val="00AD42D8"/>
    <w:rsid w:val="00AD4E13"/>
    <w:rsid w:val="00AD57B0"/>
    <w:rsid w:val="00AE6589"/>
    <w:rsid w:val="00AE7846"/>
    <w:rsid w:val="00AF680C"/>
    <w:rsid w:val="00AF6FDD"/>
    <w:rsid w:val="00B01F4D"/>
    <w:rsid w:val="00B06240"/>
    <w:rsid w:val="00B10C69"/>
    <w:rsid w:val="00B1295C"/>
    <w:rsid w:val="00B21DE9"/>
    <w:rsid w:val="00B260CB"/>
    <w:rsid w:val="00B30E46"/>
    <w:rsid w:val="00B3517D"/>
    <w:rsid w:val="00B47632"/>
    <w:rsid w:val="00B47A07"/>
    <w:rsid w:val="00B47EA4"/>
    <w:rsid w:val="00B536C0"/>
    <w:rsid w:val="00B62FE0"/>
    <w:rsid w:val="00B63290"/>
    <w:rsid w:val="00B65140"/>
    <w:rsid w:val="00B66E05"/>
    <w:rsid w:val="00B6781B"/>
    <w:rsid w:val="00B706C7"/>
    <w:rsid w:val="00B71F37"/>
    <w:rsid w:val="00B8288B"/>
    <w:rsid w:val="00B9327D"/>
    <w:rsid w:val="00B954CC"/>
    <w:rsid w:val="00BA1E7A"/>
    <w:rsid w:val="00BA3319"/>
    <w:rsid w:val="00BA66F0"/>
    <w:rsid w:val="00BC1311"/>
    <w:rsid w:val="00BC223C"/>
    <w:rsid w:val="00BC7FAF"/>
    <w:rsid w:val="00BE343D"/>
    <w:rsid w:val="00BF213B"/>
    <w:rsid w:val="00BF25F6"/>
    <w:rsid w:val="00C058A0"/>
    <w:rsid w:val="00C06701"/>
    <w:rsid w:val="00C1290F"/>
    <w:rsid w:val="00C20ABD"/>
    <w:rsid w:val="00C216F3"/>
    <w:rsid w:val="00C21CC4"/>
    <w:rsid w:val="00C23AE8"/>
    <w:rsid w:val="00C24728"/>
    <w:rsid w:val="00C375E5"/>
    <w:rsid w:val="00C37C6E"/>
    <w:rsid w:val="00C45D5E"/>
    <w:rsid w:val="00C5086B"/>
    <w:rsid w:val="00C530FC"/>
    <w:rsid w:val="00C60F18"/>
    <w:rsid w:val="00C62F4E"/>
    <w:rsid w:val="00C65441"/>
    <w:rsid w:val="00C663C2"/>
    <w:rsid w:val="00C72A08"/>
    <w:rsid w:val="00C74B50"/>
    <w:rsid w:val="00C90B71"/>
    <w:rsid w:val="00C91AFD"/>
    <w:rsid w:val="00C92AC0"/>
    <w:rsid w:val="00C94989"/>
    <w:rsid w:val="00C9584F"/>
    <w:rsid w:val="00C95CDD"/>
    <w:rsid w:val="00CA103C"/>
    <w:rsid w:val="00CA330A"/>
    <w:rsid w:val="00CB0758"/>
    <w:rsid w:val="00CB3E6E"/>
    <w:rsid w:val="00CC24B4"/>
    <w:rsid w:val="00CC287E"/>
    <w:rsid w:val="00CC2976"/>
    <w:rsid w:val="00CD002A"/>
    <w:rsid w:val="00CD5EBB"/>
    <w:rsid w:val="00CD7380"/>
    <w:rsid w:val="00CE1A29"/>
    <w:rsid w:val="00CE237C"/>
    <w:rsid w:val="00CF2CA9"/>
    <w:rsid w:val="00D075E5"/>
    <w:rsid w:val="00D16B1B"/>
    <w:rsid w:val="00D3493E"/>
    <w:rsid w:val="00D40BDC"/>
    <w:rsid w:val="00D43138"/>
    <w:rsid w:val="00D56BD8"/>
    <w:rsid w:val="00D63C7B"/>
    <w:rsid w:val="00D82995"/>
    <w:rsid w:val="00D925D6"/>
    <w:rsid w:val="00D960F7"/>
    <w:rsid w:val="00DA1488"/>
    <w:rsid w:val="00DA1A2B"/>
    <w:rsid w:val="00DA67CA"/>
    <w:rsid w:val="00DC021F"/>
    <w:rsid w:val="00DD20C1"/>
    <w:rsid w:val="00DD4B5D"/>
    <w:rsid w:val="00DD6AD2"/>
    <w:rsid w:val="00DE1555"/>
    <w:rsid w:val="00DE2B5A"/>
    <w:rsid w:val="00E12353"/>
    <w:rsid w:val="00E25C96"/>
    <w:rsid w:val="00E3004C"/>
    <w:rsid w:val="00E4333E"/>
    <w:rsid w:val="00E47C5B"/>
    <w:rsid w:val="00E54AF1"/>
    <w:rsid w:val="00E60045"/>
    <w:rsid w:val="00E61F1F"/>
    <w:rsid w:val="00E72F42"/>
    <w:rsid w:val="00EA5E2C"/>
    <w:rsid w:val="00EA68A1"/>
    <w:rsid w:val="00EB3E7A"/>
    <w:rsid w:val="00EB545F"/>
    <w:rsid w:val="00EC3900"/>
    <w:rsid w:val="00EC3CB0"/>
    <w:rsid w:val="00ED0DA5"/>
    <w:rsid w:val="00ED764A"/>
    <w:rsid w:val="00ED7E61"/>
    <w:rsid w:val="00EE2A24"/>
    <w:rsid w:val="00F0137C"/>
    <w:rsid w:val="00F06025"/>
    <w:rsid w:val="00F12F89"/>
    <w:rsid w:val="00F15C7D"/>
    <w:rsid w:val="00F217BC"/>
    <w:rsid w:val="00F2750E"/>
    <w:rsid w:val="00F35E29"/>
    <w:rsid w:val="00F55340"/>
    <w:rsid w:val="00F564BA"/>
    <w:rsid w:val="00F56BDB"/>
    <w:rsid w:val="00F56BEA"/>
    <w:rsid w:val="00F56D4D"/>
    <w:rsid w:val="00F66D67"/>
    <w:rsid w:val="00F854AE"/>
    <w:rsid w:val="00F87D8F"/>
    <w:rsid w:val="00F96A3E"/>
    <w:rsid w:val="00FA0E7C"/>
    <w:rsid w:val="00FA3093"/>
    <w:rsid w:val="00FA55A5"/>
    <w:rsid w:val="00FC26C1"/>
    <w:rsid w:val="00FC7F7D"/>
    <w:rsid w:val="00FD07A1"/>
    <w:rsid w:val="00FD20E5"/>
    <w:rsid w:val="00FE3B3F"/>
    <w:rsid w:val="00FE6800"/>
    <w:rsid w:val="00FF0D57"/>
    <w:rsid w:val="00FF26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11552D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F7B74"/>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FD2"/>
    <w:pPr>
      <w:ind w:left="720"/>
      <w:contextualSpacing/>
    </w:pPr>
  </w:style>
  <w:style w:type="character" w:styleId="Hyperlink">
    <w:name w:val="Hyperlink"/>
    <w:basedOn w:val="DefaultParagraphFont"/>
    <w:uiPriority w:val="99"/>
    <w:unhideWhenUsed/>
    <w:rsid w:val="00A07F4D"/>
    <w:rPr>
      <w:color w:val="0000FF"/>
      <w:u w:val="single"/>
    </w:rPr>
  </w:style>
  <w:style w:type="paragraph" w:styleId="FootnoteText">
    <w:name w:val="footnote text"/>
    <w:basedOn w:val="Normal"/>
    <w:link w:val="FootnoteTextChar"/>
    <w:uiPriority w:val="99"/>
    <w:unhideWhenUsed/>
    <w:rsid w:val="00CA103C"/>
  </w:style>
  <w:style w:type="character" w:customStyle="1" w:styleId="FootnoteTextChar">
    <w:name w:val="Footnote Text Char"/>
    <w:basedOn w:val="DefaultParagraphFont"/>
    <w:link w:val="FootnoteText"/>
    <w:uiPriority w:val="99"/>
    <w:rsid w:val="00CA103C"/>
    <w:rPr>
      <w:lang w:val="it-IT"/>
    </w:rPr>
  </w:style>
  <w:style w:type="character" w:styleId="FootnoteReference">
    <w:name w:val="footnote reference"/>
    <w:basedOn w:val="DefaultParagraphFont"/>
    <w:uiPriority w:val="99"/>
    <w:unhideWhenUsed/>
    <w:rsid w:val="00CA103C"/>
    <w:rPr>
      <w:vertAlign w:val="superscript"/>
    </w:rPr>
  </w:style>
  <w:style w:type="character" w:styleId="CommentReference">
    <w:name w:val="annotation reference"/>
    <w:basedOn w:val="DefaultParagraphFont"/>
    <w:uiPriority w:val="99"/>
    <w:semiHidden/>
    <w:unhideWhenUsed/>
    <w:rsid w:val="004204F9"/>
    <w:rPr>
      <w:sz w:val="18"/>
      <w:szCs w:val="18"/>
    </w:rPr>
  </w:style>
  <w:style w:type="paragraph" w:styleId="CommentText">
    <w:name w:val="annotation text"/>
    <w:basedOn w:val="Normal"/>
    <w:link w:val="CommentTextChar"/>
    <w:uiPriority w:val="99"/>
    <w:semiHidden/>
    <w:unhideWhenUsed/>
    <w:rsid w:val="004204F9"/>
  </w:style>
  <w:style w:type="character" w:customStyle="1" w:styleId="CommentTextChar">
    <w:name w:val="Comment Text Char"/>
    <w:basedOn w:val="DefaultParagraphFont"/>
    <w:link w:val="CommentText"/>
    <w:uiPriority w:val="99"/>
    <w:semiHidden/>
    <w:rsid w:val="004204F9"/>
    <w:rPr>
      <w:lang w:val="it-IT"/>
    </w:rPr>
  </w:style>
  <w:style w:type="paragraph" w:styleId="CommentSubject">
    <w:name w:val="annotation subject"/>
    <w:basedOn w:val="CommentText"/>
    <w:next w:val="CommentText"/>
    <w:link w:val="CommentSubjectChar"/>
    <w:uiPriority w:val="99"/>
    <w:semiHidden/>
    <w:unhideWhenUsed/>
    <w:rsid w:val="004204F9"/>
    <w:rPr>
      <w:b/>
      <w:bCs/>
      <w:sz w:val="20"/>
      <w:szCs w:val="20"/>
    </w:rPr>
  </w:style>
  <w:style w:type="character" w:customStyle="1" w:styleId="CommentSubjectChar">
    <w:name w:val="Comment Subject Char"/>
    <w:basedOn w:val="CommentTextChar"/>
    <w:link w:val="CommentSubject"/>
    <w:uiPriority w:val="99"/>
    <w:semiHidden/>
    <w:rsid w:val="004204F9"/>
    <w:rPr>
      <w:b/>
      <w:bCs/>
      <w:sz w:val="20"/>
      <w:szCs w:val="20"/>
      <w:lang w:val="it-IT"/>
    </w:rPr>
  </w:style>
  <w:style w:type="paragraph" w:styleId="BalloonText">
    <w:name w:val="Balloon Text"/>
    <w:basedOn w:val="Normal"/>
    <w:link w:val="BalloonTextChar"/>
    <w:uiPriority w:val="99"/>
    <w:semiHidden/>
    <w:unhideWhenUsed/>
    <w:rsid w:val="004204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04F9"/>
    <w:rPr>
      <w:rFonts w:ascii="Lucida Grande" w:hAnsi="Lucida Grande" w:cs="Lucida Grande"/>
      <w:sz w:val="18"/>
      <w:szCs w:val="18"/>
      <w:lang w:val="it-IT"/>
    </w:rPr>
  </w:style>
  <w:style w:type="character" w:styleId="FollowedHyperlink">
    <w:name w:val="FollowedHyperlink"/>
    <w:basedOn w:val="DefaultParagraphFont"/>
    <w:uiPriority w:val="99"/>
    <w:semiHidden/>
    <w:unhideWhenUsed/>
    <w:rsid w:val="00726A05"/>
    <w:rPr>
      <w:color w:val="800080" w:themeColor="followedHyperlink"/>
      <w:u w:val="single"/>
    </w:rPr>
  </w:style>
  <w:style w:type="paragraph" w:styleId="Header">
    <w:name w:val="header"/>
    <w:basedOn w:val="Normal"/>
    <w:link w:val="HeaderChar"/>
    <w:uiPriority w:val="99"/>
    <w:unhideWhenUsed/>
    <w:rsid w:val="009B680C"/>
    <w:pPr>
      <w:tabs>
        <w:tab w:val="center" w:pos="4320"/>
        <w:tab w:val="right" w:pos="8640"/>
      </w:tabs>
    </w:pPr>
  </w:style>
  <w:style w:type="character" w:customStyle="1" w:styleId="HeaderChar">
    <w:name w:val="Header Char"/>
    <w:basedOn w:val="DefaultParagraphFont"/>
    <w:link w:val="Header"/>
    <w:uiPriority w:val="99"/>
    <w:rsid w:val="009B680C"/>
    <w:rPr>
      <w:lang w:val="it-IT"/>
    </w:rPr>
  </w:style>
  <w:style w:type="paragraph" w:styleId="Footer">
    <w:name w:val="footer"/>
    <w:basedOn w:val="Normal"/>
    <w:link w:val="FooterChar"/>
    <w:uiPriority w:val="99"/>
    <w:unhideWhenUsed/>
    <w:rsid w:val="009B680C"/>
    <w:pPr>
      <w:tabs>
        <w:tab w:val="center" w:pos="4320"/>
        <w:tab w:val="right" w:pos="8640"/>
      </w:tabs>
    </w:pPr>
  </w:style>
  <w:style w:type="character" w:customStyle="1" w:styleId="FooterChar">
    <w:name w:val="Footer Char"/>
    <w:basedOn w:val="DefaultParagraphFont"/>
    <w:link w:val="Footer"/>
    <w:uiPriority w:val="99"/>
    <w:rsid w:val="009B680C"/>
    <w:rPr>
      <w:lang w:val="it-IT"/>
    </w:rPr>
  </w:style>
  <w:style w:type="character" w:customStyle="1" w:styleId="Heading3Char">
    <w:name w:val="Heading 3 Char"/>
    <w:basedOn w:val="DefaultParagraphFont"/>
    <w:link w:val="Heading3"/>
    <w:rsid w:val="002F7B74"/>
    <w:rPr>
      <w:rFonts w:ascii="Tahoma" w:eastAsia="SimSun" w:hAnsi="Tahoma" w:cs="Tahoma"/>
      <w:b/>
      <w:bCs/>
      <w:sz w:val="20"/>
      <w:szCs w:val="20"/>
      <w:lang w:val="en-GB" w:eastAsia="zh-CN"/>
    </w:rPr>
  </w:style>
  <w:style w:type="paragraph" w:styleId="NormalWeb">
    <w:name w:val="Normal (Web)"/>
    <w:basedOn w:val="Normal"/>
    <w:rsid w:val="002F7B74"/>
    <w:pPr>
      <w:spacing w:before="100" w:beforeAutospacing="1" w:after="100" w:afterAutospacing="1"/>
    </w:pPr>
    <w:rPr>
      <w:rFonts w:ascii="Georgia" w:eastAsia="SimSun" w:hAnsi="Georgia" w:cs="Times New Roman"/>
      <w:color w:val="000000"/>
      <w:sz w:val="21"/>
      <w:szCs w:val="21"/>
      <w:lang w:val="en-GB" w:eastAsia="zh-C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it-IT"/>
    </w:rPr>
  </w:style>
  <w:style w:type="paragraph" w:styleId="Heading3">
    <w:name w:val="heading 3"/>
    <w:basedOn w:val="Normal"/>
    <w:link w:val="Heading3Char"/>
    <w:qFormat/>
    <w:rsid w:val="002F7B74"/>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FD2"/>
    <w:pPr>
      <w:ind w:left="720"/>
      <w:contextualSpacing/>
    </w:pPr>
  </w:style>
  <w:style w:type="character" w:styleId="Hyperlink">
    <w:name w:val="Hyperlink"/>
    <w:basedOn w:val="DefaultParagraphFont"/>
    <w:uiPriority w:val="99"/>
    <w:unhideWhenUsed/>
    <w:rsid w:val="00A07F4D"/>
    <w:rPr>
      <w:color w:val="0000FF"/>
      <w:u w:val="single"/>
    </w:rPr>
  </w:style>
  <w:style w:type="paragraph" w:styleId="FootnoteText">
    <w:name w:val="footnote text"/>
    <w:basedOn w:val="Normal"/>
    <w:link w:val="FootnoteTextChar"/>
    <w:uiPriority w:val="99"/>
    <w:unhideWhenUsed/>
    <w:rsid w:val="00CA103C"/>
  </w:style>
  <w:style w:type="character" w:customStyle="1" w:styleId="FootnoteTextChar">
    <w:name w:val="Footnote Text Char"/>
    <w:basedOn w:val="DefaultParagraphFont"/>
    <w:link w:val="FootnoteText"/>
    <w:uiPriority w:val="99"/>
    <w:rsid w:val="00CA103C"/>
    <w:rPr>
      <w:lang w:val="it-IT"/>
    </w:rPr>
  </w:style>
  <w:style w:type="character" w:styleId="FootnoteReference">
    <w:name w:val="footnote reference"/>
    <w:basedOn w:val="DefaultParagraphFont"/>
    <w:uiPriority w:val="99"/>
    <w:unhideWhenUsed/>
    <w:rsid w:val="00CA103C"/>
    <w:rPr>
      <w:vertAlign w:val="superscript"/>
    </w:rPr>
  </w:style>
  <w:style w:type="character" w:styleId="CommentReference">
    <w:name w:val="annotation reference"/>
    <w:basedOn w:val="DefaultParagraphFont"/>
    <w:uiPriority w:val="99"/>
    <w:semiHidden/>
    <w:unhideWhenUsed/>
    <w:rsid w:val="004204F9"/>
    <w:rPr>
      <w:sz w:val="18"/>
      <w:szCs w:val="18"/>
    </w:rPr>
  </w:style>
  <w:style w:type="paragraph" w:styleId="CommentText">
    <w:name w:val="annotation text"/>
    <w:basedOn w:val="Normal"/>
    <w:link w:val="CommentTextChar"/>
    <w:uiPriority w:val="99"/>
    <w:semiHidden/>
    <w:unhideWhenUsed/>
    <w:rsid w:val="004204F9"/>
  </w:style>
  <w:style w:type="character" w:customStyle="1" w:styleId="CommentTextChar">
    <w:name w:val="Comment Text Char"/>
    <w:basedOn w:val="DefaultParagraphFont"/>
    <w:link w:val="CommentText"/>
    <w:uiPriority w:val="99"/>
    <w:semiHidden/>
    <w:rsid w:val="004204F9"/>
    <w:rPr>
      <w:lang w:val="it-IT"/>
    </w:rPr>
  </w:style>
  <w:style w:type="paragraph" w:styleId="CommentSubject">
    <w:name w:val="annotation subject"/>
    <w:basedOn w:val="CommentText"/>
    <w:next w:val="CommentText"/>
    <w:link w:val="CommentSubjectChar"/>
    <w:uiPriority w:val="99"/>
    <w:semiHidden/>
    <w:unhideWhenUsed/>
    <w:rsid w:val="004204F9"/>
    <w:rPr>
      <w:b/>
      <w:bCs/>
      <w:sz w:val="20"/>
      <w:szCs w:val="20"/>
    </w:rPr>
  </w:style>
  <w:style w:type="character" w:customStyle="1" w:styleId="CommentSubjectChar">
    <w:name w:val="Comment Subject Char"/>
    <w:basedOn w:val="CommentTextChar"/>
    <w:link w:val="CommentSubject"/>
    <w:uiPriority w:val="99"/>
    <w:semiHidden/>
    <w:rsid w:val="004204F9"/>
    <w:rPr>
      <w:b/>
      <w:bCs/>
      <w:sz w:val="20"/>
      <w:szCs w:val="20"/>
      <w:lang w:val="it-IT"/>
    </w:rPr>
  </w:style>
  <w:style w:type="paragraph" w:styleId="BalloonText">
    <w:name w:val="Balloon Text"/>
    <w:basedOn w:val="Normal"/>
    <w:link w:val="BalloonTextChar"/>
    <w:uiPriority w:val="99"/>
    <w:semiHidden/>
    <w:unhideWhenUsed/>
    <w:rsid w:val="004204F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04F9"/>
    <w:rPr>
      <w:rFonts w:ascii="Lucida Grande" w:hAnsi="Lucida Grande" w:cs="Lucida Grande"/>
      <w:sz w:val="18"/>
      <w:szCs w:val="18"/>
      <w:lang w:val="it-IT"/>
    </w:rPr>
  </w:style>
  <w:style w:type="character" w:styleId="FollowedHyperlink">
    <w:name w:val="FollowedHyperlink"/>
    <w:basedOn w:val="DefaultParagraphFont"/>
    <w:uiPriority w:val="99"/>
    <w:semiHidden/>
    <w:unhideWhenUsed/>
    <w:rsid w:val="00726A05"/>
    <w:rPr>
      <w:color w:val="800080" w:themeColor="followedHyperlink"/>
      <w:u w:val="single"/>
    </w:rPr>
  </w:style>
  <w:style w:type="paragraph" w:styleId="Header">
    <w:name w:val="header"/>
    <w:basedOn w:val="Normal"/>
    <w:link w:val="HeaderChar"/>
    <w:uiPriority w:val="99"/>
    <w:unhideWhenUsed/>
    <w:rsid w:val="009B680C"/>
    <w:pPr>
      <w:tabs>
        <w:tab w:val="center" w:pos="4320"/>
        <w:tab w:val="right" w:pos="8640"/>
      </w:tabs>
    </w:pPr>
  </w:style>
  <w:style w:type="character" w:customStyle="1" w:styleId="HeaderChar">
    <w:name w:val="Header Char"/>
    <w:basedOn w:val="DefaultParagraphFont"/>
    <w:link w:val="Header"/>
    <w:uiPriority w:val="99"/>
    <w:rsid w:val="009B680C"/>
    <w:rPr>
      <w:lang w:val="it-IT"/>
    </w:rPr>
  </w:style>
  <w:style w:type="paragraph" w:styleId="Footer">
    <w:name w:val="footer"/>
    <w:basedOn w:val="Normal"/>
    <w:link w:val="FooterChar"/>
    <w:uiPriority w:val="99"/>
    <w:unhideWhenUsed/>
    <w:rsid w:val="009B680C"/>
    <w:pPr>
      <w:tabs>
        <w:tab w:val="center" w:pos="4320"/>
        <w:tab w:val="right" w:pos="8640"/>
      </w:tabs>
    </w:pPr>
  </w:style>
  <w:style w:type="character" w:customStyle="1" w:styleId="FooterChar">
    <w:name w:val="Footer Char"/>
    <w:basedOn w:val="DefaultParagraphFont"/>
    <w:link w:val="Footer"/>
    <w:uiPriority w:val="99"/>
    <w:rsid w:val="009B680C"/>
    <w:rPr>
      <w:lang w:val="it-IT"/>
    </w:rPr>
  </w:style>
  <w:style w:type="character" w:customStyle="1" w:styleId="Heading3Char">
    <w:name w:val="Heading 3 Char"/>
    <w:basedOn w:val="DefaultParagraphFont"/>
    <w:link w:val="Heading3"/>
    <w:rsid w:val="002F7B74"/>
    <w:rPr>
      <w:rFonts w:ascii="Tahoma" w:eastAsia="SimSun" w:hAnsi="Tahoma" w:cs="Tahoma"/>
      <w:b/>
      <w:bCs/>
      <w:sz w:val="20"/>
      <w:szCs w:val="20"/>
      <w:lang w:val="en-GB" w:eastAsia="zh-CN"/>
    </w:rPr>
  </w:style>
  <w:style w:type="paragraph" w:styleId="NormalWeb">
    <w:name w:val="Normal (Web)"/>
    <w:basedOn w:val="Normal"/>
    <w:rsid w:val="002F7B74"/>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819187">
      <w:bodyDiv w:val="1"/>
      <w:marLeft w:val="0"/>
      <w:marRight w:val="0"/>
      <w:marTop w:val="0"/>
      <w:marBottom w:val="0"/>
      <w:divBdr>
        <w:top w:val="none" w:sz="0" w:space="0" w:color="auto"/>
        <w:left w:val="none" w:sz="0" w:space="0" w:color="auto"/>
        <w:bottom w:val="none" w:sz="0" w:space="0" w:color="auto"/>
        <w:right w:val="none" w:sz="0" w:space="0" w:color="auto"/>
      </w:divBdr>
    </w:div>
    <w:div w:id="245723983">
      <w:bodyDiv w:val="1"/>
      <w:marLeft w:val="0"/>
      <w:marRight w:val="0"/>
      <w:marTop w:val="0"/>
      <w:marBottom w:val="0"/>
      <w:divBdr>
        <w:top w:val="none" w:sz="0" w:space="0" w:color="auto"/>
        <w:left w:val="none" w:sz="0" w:space="0" w:color="auto"/>
        <w:bottom w:val="none" w:sz="0" w:space="0" w:color="auto"/>
        <w:right w:val="none" w:sz="0" w:space="0" w:color="auto"/>
      </w:divBdr>
    </w:div>
    <w:div w:id="325010945">
      <w:bodyDiv w:val="1"/>
      <w:marLeft w:val="0"/>
      <w:marRight w:val="0"/>
      <w:marTop w:val="0"/>
      <w:marBottom w:val="0"/>
      <w:divBdr>
        <w:top w:val="none" w:sz="0" w:space="0" w:color="auto"/>
        <w:left w:val="none" w:sz="0" w:space="0" w:color="auto"/>
        <w:bottom w:val="none" w:sz="0" w:space="0" w:color="auto"/>
        <w:right w:val="none" w:sz="0" w:space="0" w:color="auto"/>
      </w:divBdr>
      <w:divsChild>
        <w:div w:id="717362952">
          <w:marLeft w:val="0"/>
          <w:marRight w:val="0"/>
          <w:marTop w:val="0"/>
          <w:marBottom w:val="0"/>
          <w:divBdr>
            <w:top w:val="none" w:sz="0" w:space="0" w:color="auto"/>
            <w:left w:val="none" w:sz="0" w:space="0" w:color="auto"/>
            <w:bottom w:val="none" w:sz="0" w:space="0" w:color="auto"/>
            <w:right w:val="none" w:sz="0" w:space="0" w:color="auto"/>
          </w:divBdr>
        </w:div>
        <w:div w:id="788161468">
          <w:marLeft w:val="0"/>
          <w:marRight w:val="0"/>
          <w:marTop w:val="0"/>
          <w:marBottom w:val="0"/>
          <w:divBdr>
            <w:top w:val="none" w:sz="0" w:space="0" w:color="auto"/>
            <w:left w:val="none" w:sz="0" w:space="0" w:color="auto"/>
            <w:bottom w:val="none" w:sz="0" w:space="0" w:color="auto"/>
            <w:right w:val="none" w:sz="0" w:space="0" w:color="auto"/>
          </w:divBdr>
        </w:div>
        <w:div w:id="1110663544">
          <w:marLeft w:val="0"/>
          <w:marRight w:val="0"/>
          <w:marTop w:val="0"/>
          <w:marBottom w:val="0"/>
          <w:divBdr>
            <w:top w:val="none" w:sz="0" w:space="0" w:color="auto"/>
            <w:left w:val="none" w:sz="0" w:space="0" w:color="auto"/>
            <w:bottom w:val="none" w:sz="0" w:space="0" w:color="auto"/>
            <w:right w:val="none" w:sz="0" w:space="0" w:color="auto"/>
          </w:divBdr>
        </w:div>
        <w:div w:id="1555656415">
          <w:marLeft w:val="0"/>
          <w:marRight w:val="0"/>
          <w:marTop w:val="0"/>
          <w:marBottom w:val="0"/>
          <w:divBdr>
            <w:top w:val="none" w:sz="0" w:space="0" w:color="auto"/>
            <w:left w:val="none" w:sz="0" w:space="0" w:color="auto"/>
            <w:bottom w:val="none" w:sz="0" w:space="0" w:color="auto"/>
            <w:right w:val="none" w:sz="0" w:space="0" w:color="auto"/>
          </w:divBdr>
        </w:div>
        <w:div w:id="128669194">
          <w:marLeft w:val="0"/>
          <w:marRight w:val="0"/>
          <w:marTop w:val="0"/>
          <w:marBottom w:val="0"/>
          <w:divBdr>
            <w:top w:val="none" w:sz="0" w:space="0" w:color="auto"/>
            <w:left w:val="none" w:sz="0" w:space="0" w:color="auto"/>
            <w:bottom w:val="none" w:sz="0" w:space="0" w:color="auto"/>
            <w:right w:val="none" w:sz="0" w:space="0" w:color="auto"/>
          </w:divBdr>
        </w:div>
        <w:div w:id="1305817990">
          <w:marLeft w:val="0"/>
          <w:marRight w:val="0"/>
          <w:marTop w:val="0"/>
          <w:marBottom w:val="0"/>
          <w:divBdr>
            <w:top w:val="none" w:sz="0" w:space="0" w:color="auto"/>
            <w:left w:val="none" w:sz="0" w:space="0" w:color="auto"/>
            <w:bottom w:val="none" w:sz="0" w:space="0" w:color="auto"/>
            <w:right w:val="none" w:sz="0" w:space="0" w:color="auto"/>
          </w:divBdr>
        </w:div>
        <w:div w:id="891887620">
          <w:marLeft w:val="0"/>
          <w:marRight w:val="0"/>
          <w:marTop w:val="0"/>
          <w:marBottom w:val="0"/>
          <w:divBdr>
            <w:top w:val="none" w:sz="0" w:space="0" w:color="auto"/>
            <w:left w:val="none" w:sz="0" w:space="0" w:color="auto"/>
            <w:bottom w:val="none" w:sz="0" w:space="0" w:color="auto"/>
            <w:right w:val="none" w:sz="0" w:space="0" w:color="auto"/>
          </w:divBdr>
        </w:div>
        <w:div w:id="1218280740">
          <w:marLeft w:val="0"/>
          <w:marRight w:val="0"/>
          <w:marTop w:val="0"/>
          <w:marBottom w:val="0"/>
          <w:divBdr>
            <w:top w:val="none" w:sz="0" w:space="0" w:color="auto"/>
            <w:left w:val="none" w:sz="0" w:space="0" w:color="auto"/>
            <w:bottom w:val="none" w:sz="0" w:space="0" w:color="auto"/>
            <w:right w:val="none" w:sz="0" w:space="0" w:color="auto"/>
          </w:divBdr>
        </w:div>
        <w:div w:id="15693500">
          <w:marLeft w:val="0"/>
          <w:marRight w:val="0"/>
          <w:marTop w:val="0"/>
          <w:marBottom w:val="0"/>
          <w:divBdr>
            <w:top w:val="none" w:sz="0" w:space="0" w:color="auto"/>
            <w:left w:val="none" w:sz="0" w:space="0" w:color="auto"/>
            <w:bottom w:val="none" w:sz="0" w:space="0" w:color="auto"/>
            <w:right w:val="none" w:sz="0" w:space="0" w:color="auto"/>
          </w:divBdr>
        </w:div>
        <w:div w:id="648680490">
          <w:marLeft w:val="0"/>
          <w:marRight w:val="0"/>
          <w:marTop w:val="0"/>
          <w:marBottom w:val="0"/>
          <w:divBdr>
            <w:top w:val="none" w:sz="0" w:space="0" w:color="auto"/>
            <w:left w:val="none" w:sz="0" w:space="0" w:color="auto"/>
            <w:bottom w:val="none" w:sz="0" w:space="0" w:color="auto"/>
            <w:right w:val="none" w:sz="0" w:space="0" w:color="auto"/>
          </w:divBdr>
        </w:div>
      </w:divsChild>
    </w:div>
    <w:div w:id="750784070">
      <w:bodyDiv w:val="1"/>
      <w:marLeft w:val="0"/>
      <w:marRight w:val="0"/>
      <w:marTop w:val="0"/>
      <w:marBottom w:val="0"/>
      <w:divBdr>
        <w:top w:val="none" w:sz="0" w:space="0" w:color="auto"/>
        <w:left w:val="none" w:sz="0" w:space="0" w:color="auto"/>
        <w:bottom w:val="none" w:sz="0" w:space="0" w:color="auto"/>
        <w:right w:val="none" w:sz="0" w:space="0" w:color="auto"/>
      </w:divBdr>
    </w:div>
    <w:div w:id="821459142">
      <w:bodyDiv w:val="1"/>
      <w:marLeft w:val="0"/>
      <w:marRight w:val="0"/>
      <w:marTop w:val="0"/>
      <w:marBottom w:val="0"/>
      <w:divBdr>
        <w:top w:val="none" w:sz="0" w:space="0" w:color="auto"/>
        <w:left w:val="none" w:sz="0" w:space="0" w:color="auto"/>
        <w:bottom w:val="none" w:sz="0" w:space="0" w:color="auto"/>
        <w:right w:val="none" w:sz="0" w:space="0" w:color="auto"/>
      </w:divBdr>
    </w:div>
    <w:div w:id="1048726950">
      <w:bodyDiv w:val="1"/>
      <w:marLeft w:val="0"/>
      <w:marRight w:val="0"/>
      <w:marTop w:val="0"/>
      <w:marBottom w:val="0"/>
      <w:divBdr>
        <w:top w:val="none" w:sz="0" w:space="0" w:color="auto"/>
        <w:left w:val="none" w:sz="0" w:space="0" w:color="auto"/>
        <w:bottom w:val="none" w:sz="0" w:space="0" w:color="auto"/>
        <w:right w:val="none" w:sz="0" w:space="0" w:color="auto"/>
      </w:divBdr>
    </w:div>
    <w:div w:id="1399480941">
      <w:bodyDiv w:val="1"/>
      <w:marLeft w:val="0"/>
      <w:marRight w:val="0"/>
      <w:marTop w:val="0"/>
      <w:marBottom w:val="0"/>
      <w:divBdr>
        <w:top w:val="none" w:sz="0" w:space="0" w:color="auto"/>
        <w:left w:val="none" w:sz="0" w:space="0" w:color="auto"/>
        <w:bottom w:val="none" w:sz="0" w:space="0" w:color="auto"/>
        <w:right w:val="none" w:sz="0" w:space="0" w:color="auto"/>
      </w:divBdr>
    </w:div>
    <w:div w:id="1687251173">
      <w:bodyDiv w:val="1"/>
      <w:marLeft w:val="0"/>
      <w:marRight w:val="0"/>
      <w:marTop w:val="0"/>
      <w:marBottom w:val="0"/>
      <w:divBdr>
        <w:top w:val="none" w:sz="0" w:space="0" w:color="auto"/>
        <w:left w:val="none" w:sz="0" w:space="0" w:color="auto"/>
        <w:bottom w:val="none" w:sz="0" w:space="0" w:color="auto"/>
        <w:right w:val="none" w:sz="0" w:space="0" w:color="auto"/>
      </w:divBdr>
    </w:div>
    <w:div w:id="18103198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researchgate.net/profile/Tl-Brink/2"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amberley-books.com/author-community-main-page/b/gillian-bennett.html" TargetMode="External"/><Relationship Id="rId10" Type="http://schemas.openxmlformats.org/officeDocument/2006/relationships/hyperlink" Target="https://www.craftonhills.edu/about-chc/index.ph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craftonhills.edu/about-chc/index.php" TargetMode="External"/><Relationship Id="rId4" Type="http://schemas.openxmlformats.org/officeDocument/2006/relationships/hyperlink" Target="https://www.researchgate.net/profile/Tl-Brink/2" TargetMode="External"/><Relationship Id="rId1" Type="http://schemas.openxmlformats.org/officeDocument/2006/relationships/hyperlink" Target="https://www.amberley-books.com/author-community-main-page/b/gillian-bennett.html" TargetMode="External"/><Relationship Id="rId2" Type="http://schemas.openxmlformats.org/officeDocument/2006/relationships/hyperlink" Target="https://www.amberley-books.com/author-community-main-page/b/gillian-bennet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2540</Words>
  <Characters>14483</Characters>
  <Application>Microsoft Macintosh Word</Application>
  <DocSecurity>0</DocSecurity>
  <Lines>120</Lines>
  <Paragraphs>33</Paragraphs>
  <ScaleCrop>false</ScaleCrop>
  <Company>investindustrial</Company>
  <LinksUpToDate>false</LinksUpToDate>
  <CharactersWithSpaces>16990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Hedy Mowinckel</dc:creator>
  <cp:keywords/>
  <dc:description/>
  <cp:lastModifiedBy>Hedy Mowinckel</cp:lastModifiedBy>
  <cp:revision>4</cp:revision>
  <dcterms:created xsi:type="dcterms:W3CDTF">2023-05-13T21:42:00Z</dcterms:created>
  <dcterms:modified xsi:type="dcterms:W3CDTF">2023-05-13T21:48:00Z</dcterms:modified>
</cp:coreProperties>
</file>