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59A91" w14:textId="77777777" w:rsidR="00EC49FC" w:rsidRDefault="00EC49FC" w:rsidP="00EC49FC">
      <w:pPr>
        <w:spacing w:line="360" w:lineRule="auto"/>
        <w:jc w:val="center"/>
        <w:rPr>
          <w:rFonts w:ascii="Arial" w:hAnsi="Arial" w:cs="Arial"/>
          <w:b/>
          <w:bCs/>
          <w:sz w:val="32"/>
          <w:szCs w:val="32"/>
        </w:rPr>
      </w:pPr>
      <w:r>
        <w:rPr>
          <w:rFonts w:ascii="Arial" w:hAnsi="Arial" w:cs="Arial"/>
          <w:b/>
          <w:bCs/>
          <w:sz w:val="32"/>
          <w:szCs w:val="32"/>
        </w:rPr>
        <w:t>Assessment Component 1</w:t>
      </w:r>
    </w:p>
    <w:p w14:paraId="6D279E1E" w14:textId="77777777" w:rsidR="00EC49FC" w:rsidRDefault="00EC49FC" w:rsidP="00EC49FC">
      <w:pPr>
        <w:spacing w:line="360" w:lineRule="auto"/>
        <w:jc w:val="center"/>
        <w:rPr>
          <w:rFonts w:ascii="Arial" w:hAnsi="Arial" w:cs="Arial"/>
          <w:b/>
          <w:bCs/>
          <w:sz w:val="32"/>
          <w:szCs w:val="32"/>
        </w:rPr>
      </w:pPr>
      <w:r>
        <w:rPr>
          <w:rFonts w:ascii="Arial" w:hAnsi="Arial" w:cs="Arial"/>
          <w:b/>
          <w:bCs/>
          <w:sz w:val="32"/>
          <w:szCs w:val="32"/>
        </w:rPr>
        <w:t xml:space="preserve">Individual report </w:t>
      </w:r>
    </w:p>
    <w:p w14:paraId="23E9CA6E" w14:textId="77777777" w:rsidR="00EC49FC" w:rsidRDefault="00EC49FC" w:rsidP="00EC49FC">
      <w:pPr>
        <w:spacing w:line="360" w:lineRule="auto"/>
        <w:jc w:val="center"/>
        <w:rPr>
          <w:rFonts w:ascii="Arial" w:hAnsi="Arial" w:cs="Arial"/>
          <w:b/>
          <w:bCs/>
          <w:sz w:val="32"/>
          <w:szCs w:val="32"/>
        </w:rPr>
      </w:pPr>
      <w:r>
        <w:rPr>
          <w:rFonts w:ascii="Arial" w:hAnsi="Arial" w:cs="Arial"/>
          <w:b/>
          <w:bCs/>
          <w:sz w:val="32"/>
          <w:szCs w:val="32"/>
        </w:rPr>
        <w:t>Student Name: Mariana Acris</w:t>
      </w:r>
    </w:p>
    <w:p w14:paraId="5B07963B" w14:textId="77777777" w:rsidR="00EC49FC" w:rsidRDefault="00EC49FC" w:rsidP="00EC49FC">
      <w:pPr>
        <w:spacing w:line="360" w:lineRule="auto"/>
        <w:jc w:val="center"/>
        <w:rPr>
          <w:rFonts w:ascii="Arial" w:hAnsi="Arial" w:cs="Arial"/>
          <w:b/>
          <w:bCs/>
          <w:sz w:val="32"/>
          <w:szCs w:val="32"/>
        </w:rPr>
      </w:pPr>
      <w:r>
        <w:rPr>
          <w:rFonts w:ascii="Arial" w:hAnsi="Arial" w:cs="Arial"/>
          <w:b/>
          <w:bCs/>
          <w:sz w:val="32"/>
          <w:szCs w:val="32"/>
        </w:rPr>
        <w:t>Student Number: 2239619</w:t>
      </w:r>
    </w:p>
    <w:p w14:paraId="4D1B3F15" w14:textId="2CEA9BD0" w:rsidR="00EC49FC" w:rsidRDefault="00EC49FC" w:rsidP="00EC49FC">
      <w:pPr>
        <w:spacing w:line="360" w:lineRule="auto"/>
        <w:jc w:val="center"/>
        <w:rPr>
          <w:rFonts w:ascii="Arial" w:hAnsi="Arial" w:cs="Arial"/>
          <w:b/>
          <w:bCs/>
          <w:sz w:val="32"/>
          <w:szCs w:val="32"/>
        </w:rPr>
      </w:pPr>
      <w:r>
        <w:rPr>
          <w:rFonts w:ascii="Arial" w:hAnsi="Arial" w:cs="Arial"/>
          <w:b/>
          <w:bCs/>
          <w:sz w:val="32"/>
          <w:szCs w:val="32"/>
        </w:rPr>
        <w:t xml:space="preserve">Lecturer Name: </w:t>
      </w:r>
      <w:proofErr w:type="spellStart"/>
      <w:r>
        <w:rPr>
          <w:rFonts w:ascii="Arial" w:hAnsi="Arial" w:cs="Arial"/>
          <w:b/>
          <w:bCs/>
          <w:sz w:val="32"/>
          <w:szCs w:val="32"/>
        </w:rPr>
        <w:t>Masud</w:t>
      </w:r>
      <w:proofErr w:type="spellEnd"/>
      <w:r>
        <w:rPr>
          <w:rFonts w:ascii="Arial" w:hAnsi="Arial" w:cs="Arial"/>
          <w:b/>
          <w:bCs/>
          <w:sz w:val="32"/>
          <w:szCs w:val="32"/>
        </w:rPr>
        <w:t xml:space="preserve"> Ibrahim</w:t>
      </w:r>
    </w:p>
    <w:p w14:paraId="294FE6D1" w14:textId="5C3E50AE" w:rsidR="00EC49FC" w:rsidRDefault="00EC49FC" w:rsidP="00EC49FC">
      <w:pPr>
        <w:spacing w:line="360" w:lineRule="auto"/>
        <w:jc w:val="center"/>
        <w:rPr>
          <w:rFonts w:ascii="Arial" w:hAnsi="Arial" w:cs="Arial"/>
          <w:b/>
          <w:bCs/>
          <w:sz w:val="32"/>
          <w:szCs w:val="32"/>
        </w:rPr>
      </w:pPr>
      <w:r>
        <w:rPr>
          <w:rFonts w:ascii="Arial" w:hAnsi="Arial" w:cs="Arial"/>
          <w:b/>
          <w:bCs/>
          <w:sz w:val="32"/>
          <w:szCs w:val="32"/>
        </w:rPr>
        <w:t xml:space="preserve"> Module Name: </w:t>
      </w:r>
      <w:r w:rsidRPr="00EC49FC">
        <w:rPr>
          <w:rFonts w:ascii="Arial" w:hAnsi="Arial" w:cs="Arial"/>
          <w:b/>
          <w:bCs/>
          <w:sz w:val="28"/>
          <w:szCs w:val="28"/>
        </w:rPr>
        <w:t>(LCBB6004_BIRM)</w:t>
      </w:r>
    </w:p>
    <w:p w14:paraId="2594F866" w14:textId="3F684A23" w:rsidR="00153503" w:rsidRDefault="00EC49FC" w:rsidP="00EC49FC">
      <w:pPr>
        <w:jc w:val="center"/>
        <w:rPr>
          <w:rFonts w:ascii="Arial" w:hAnsi="Arial" w:cs="Arial"/>
          <w:b/>
          <w:bCs/>
          <w:sz w:val="32"/>
          <w:szCs w:val="32"/>
        </w:rPr>
      </w:pPr>
      <w:r w:rsidRPr="00EC49FC">
        <w:rPr>
          <w:rFonts w:ascii="Arial" w:hAnsi="Arial" w:cs="Arial"/>
          <w:b/>
          <w:bCs/>
          <w:sz w:val="32"/>
          <w:szCs w:val="32"/>
        </w:rPr>
        <w:t>Strategic Management and Sustainability</w:t>
      </w:r>
    </w:p>
    <w:p w14:paraId="1EF0F6CF" w14:textId="78805720" w:rsidR="00EC49FC" w:rsidRPr="00762E21" w:rsidRDefault="00762E21" w:rsidP="00762E21">
      <w:pPr>
        <w:spacing w:line="360" w:lineRule="auto"/>
        <w:jc w:val="center"/>
        <w:rPr>
          <w:rFonts w:ascii="Arial" w:hAnsi="Arial" w:cs="Arial"/>
          <w:b/>
          <w:bCs/>
          <w:sz w:val="28"/>
          <w:szCs w:val="28"/>
        </w:rPr>
      </w:pPr>
      <w:r>
        <w:rPr>
          <w:rFonts w:ascii="Arial" w:hAnsi="Arial" w:cs="Arial"/>
          <w:b/>
          <w:bCs/>
          <w:sz w:val="28"/>
          <w:szCs w:val="28"/>
        </w:rPr>
        <w:t>“</w:t>
      </w:r>
      <w:r w:rsidRPr="00762E21">
        <w:rPr>
          <w:rFonts w:ascii="Arial" w:hAnsi="Arial" w:cs="Arial"/>
          <w:b/>
          <w:bCs/>
          <w:sz w:val="28"/>
          <w:szCs w:val="28"/>
        </w:rPr>
        <w:t>Strategic Management Analysis and Recommendations for Nissan UK</w:t>
      </w:r>
      <w:r>
        <w:rPr>
          <w:rFonts w:ascii="Arial" w:hAnsi="Arial" w:cs="Arial"/>
          <w:b/>
          <w:bCs/>
          <w:sz w:val="28"/>
          <w:szCs w:val="28"/>
        </w:rPr>
        <w:t>”</w:t>
      </w:r>
    </w:p>
    <w:p w14:paraId="36356DD5" w14:textId="3AC3663C" w:rsidR="00EC49FC" w:rsidRDefault="00EC49FC" w:rsidP="00EC49FC">
      <w:pPr>
        <w:jc w:val="center"/>
        <w:rPr>
          <w:rFonts w:ascii="Arial" w:hAnsi="Arial" w:cs="Arial"/>
          <w:b/>
          <w:bCs/>
          <w:sz w:val="32"/>
          <w:szCs w:val="32"/>
        </w:rPr>
      </w:pPr>
    </w:p>
    <w:p w14:paraId="7535EE2D" w14:textId="30FF2125" w:rsidR="00EC49FC" w:rsidRDefault="00EC49FC" w:rsidP="00EC49FC">
      <w:pPr>
        <w:jc w:val="center"/>
        <w:rPr>
          <w:rFonts w:ascii="Arial" w:hAnsi="Arial" w:cs="Arial"/>
          <w:b/>
          <w:bCs/>
          <w:sz w:val="32"/>
          <w:szCs w:val="32"/>
        </w:rPr>
      </w:pPr>
    </w:p>
    <w:p w14:paraId="46A75864" w14:textId="1CF6C6E7" w:rsidR="00EC49FC" w:rsidRDefault="00EC49FC" w:rsidP="00EC49FC">
      <w:pPr>
        <w:jc w:val="center"/>
        <w:rPr>
          <w:rFonts w:ascii="Arial" w:hAnsi="Arial" w:cs="Arial"/>
          <w:b/>
          <w:bCs/>
          <w:sz w:val="32"/>
          <w:szCs w:val="32"/>
        </w:rPr>
      </w:pPr>
    </w:p>
    <w:p w14:paraId="423945D6" w14:textId="2A390C3E" w:rsidR="00EC49FC" w:rsidRDefault="00EC49FC" w:rsidP="00EC49FC">
      <w:pPr>
        <w:jc w:val="center"/>
        <w:rPr>
          <w:rFonts w:ascii="Arial" w:hAnsi="Arial" w:cs="Arial"/>
          <w:b/>
          <w:bCs/>
          <w:sz w:val="32"/>
          <w:szCs w:val="32"/>
        </w:rPr>
      </w:pPr>
    </w:p>
    <w:p w14:paraId="699776C5" w14:textId="72B45202" w:rsidR="00EC49FC" w:rsidRDefault="00EC49FC" w:rsidP="00EC49FC">
      <w:pPr>
        <w:jc w:val="center"/>
        <w:rPr>
          <w:rFonts w:ascii="Arial" w:hAnsi="Arial" w:cs="Arial"/>
          <w:b/>
          <w:bCs/>
          <w:sz w:val="32"/>
          <w:szCs w:val="32"/>
        </w:rPr>
      </w:pPr>
    </w:p>
    <w:p w14:paraId="0ABB0CE4" w14:textId="44EA4B8A" w:rsidR="00EC49FC" w:rsidRDefault="00EC49FC" w:rsidP="00EC49FC">
      <w:pPr>
        <w:jc w:val="center"/>
        <w:rPr>
          <w:rFonts w:ascii="Arial" w:hAnsi="Arial" w:cs="Arial"/>
          <w:b/>
          <w:bCs/>
          <w:sz w:val="32"/>
          <w:szCs w:val="32"/>
        </w:rPr>
      </w:pPr>
    </w:p>
    <w:p w14:paraId="6B60B643" w14:textId="783D0CF7" w:rsidR="00EC49FC" w:rsidRDefault="00EC49FC" w:rsidP="00EC49FC">
      <w:pPr>
        <w:jc w:val="center"/>
        <w:rPr>
          <w:rFonts w:ascii="Arial" w:hAnsi="Arial" w:cs="Arial"/>
          <w:b/>
          <w:bCs/>
          <w:sz w:val="32"/>
          <w:szCs w:val="32"/>
        </w:rPr>
      </w:pPr>
    </w:p>
    <w:p w14:paraId="59275DD5" w14:textId="5647A931" w:rsidR="00EC49FC" w:rsidRDefault="00EC49FC" w:rsidP="00EC49FC">
      <w:pPr>
        <w:jc w:val="center"/>
        <w:rPr>
          <w:rFonts w:ascii="Arial" w:hAnsi="Arial" w:cs="Arial"/>
          <w:b/>
          <w:bCs/>
          <w:sz w:val="32"/>
          <w:szCs w:val="32"/>
        </w:rPr>
      </w:pPr>
    </w:p>
    <w:p w14:paraId="16329D76" w14:textId="2ECF777C" w:rsidR="00EC49FC" w:rsidRDefault="00EC49FC" w:rsidP="00EC49FC">
      <w:pPr>
        <w:jc w:val="center"/>
        <w:rPr>
          <w:rFonts w:ascii="Arial" w:hAnsi="Arial" w:cs="Arial"/>
          <w:b/>
          <w:bCs/>
          <w:sz w:val="32"/>
          <w:szCs w:val="32"/>
        </w:rPr>
      </w:pPr>
    </w:p>
    <w:p w14:paraId="68278BB0" w14:textId="5026CF41" w:rsidR="00EC49FC" w:rsidRDefault="00EC49FC" w:rsidP="00EC49FC">
      <w:pPr>
        <w:jc w:val="center"/>
        <w:rPr>
          <w:rFonts w:ascii="Arial" w:hAnsi="Arial" w:cs="Arial"/>
          <w:b/>
          <w:bCs/>
          <w:sz w:val="32"/>
          <w:szCs w:val="32"/>
        </w:rPr>
      </w:pPr>
    </w:p>
    <w:p w14:paraId="7BE9D52A" w14:textId="54A3A351" w:rsidR="00EC49FC" w:rsidRDefault="00EC49FC" w:rsidP="00EC49FC">
      <w:pPr>
        <w:jc w:val="center"/>
        <w:rPr>
          <w:rFonts w:ascii="Arial" w:hAnsi="Arial" w:cs="Arial"/>
          <w:b/>
          <w:bCs/>
          <w:sz w:val="32"/>
          <w:szCs w:val="32"/>
        </w:rPr>
      </w:pPr>
    </w:p>
    <w:p w14:paraId="24BD4C65" w14:textId="0D287CBC" w:rsidR="00EC49FC" w:rsidRDefault="00EC49FC" w:rsidP="00EC49FC">
      <w:pPr>
        <w:jc w:val="center"/>
        <w:rPr>
          <w:rFonts w:ascii="Arial" w:hAnsi="Arial" w:cs="Arial"/>
          <w:b/>
          <w:bCs/>
          <w:sz w:val="32"/>
          <w:szCs w:val="32"/>
        </w:rPr>
      </w:pPr>
    </w:p>
    <w:p w14:paraId="6545FB0E" w14:textId="48BD4238" w:rsidR="00EC49FC" w:rsidRDefault="00EC49FC" w:rsidP="00EC49FC">
      <w:pPr>
        <w:jc w:val="center"/>
        <w:rPr>
          <w:rFonts w:ascii="Arial" w:hAnsi="Arial" w:cs="Arial"/>
          <w:b/>
          <w:bCs/>
          <w:sz w:val="32"/>
          <w:szCs w:val="32"/>
        </w:rPr>
      </w:pPr>
    </w:p>
    <w:p w14:paraId="1FA23B08" w14:textId="2DBF6FD5" w:rsidR="00EC49FC" w:rsidRDefault="00EC49FC" w:rsidP="00EC49FC">
      <w:pPr>
        <w:jc w:val="center"/>
        <w:rPr>
          <w:rFonts w:ascii="Arial" w:hAnsi="Arial" w:cs="Arial"/>
          <w:b/>
          <w:bCs/>
          <w:sz w:val="32"/>
          <w:szCs w:val="32"/>
        </w:rPr>
      </w:pPr>
    </w:p>
    <w:p w14:paraId="243214A0" w14:textId="304DF439" w:rsidR="00EC49FC" w:rsidRDefault="00EC49FC" w:rsidP="00EC49FC">
      <w:pPr>
        <w:jc w:val="center"/>
        <w:rPr>
          <w:rFonts w:ascii="Arial" w:hAnsi="Arial" w:cs="Arial"/>
          <w:b/>
          <w:bCs/>
          <w:sz w:val="32"/>
          <w:szCs w:val="32"/>
        </w:rPr>
      </w:pPr>
    </w:p>
    <w:sdt>
      <w:sdtPr>
        <w:rPr>
          <w:rFonts w:asciiTheme="minorHAnsi" w:eastAsiaTheme="minorHAnsi" w:hAnsiTheme="minorHAnsi" w:cstheme="minorBidi"/>
          <w:color w:val="auto"/>
          <w:sz w:val="22"/>
          <w:szCs w:val="22"/>
          <w:lang w:val="en-GB"/>
        </w:rPr>
        <w:id w:val="1575945194"/>
        <w:docPartObj>
          <w:docPartGallery w:val="Table of Contents"/>
          <w:docPartUnique/>
        </w:docPartObj>
      </w:sdtPr>
      <w:sdtEndPr>
        <w:rPr>
          <w:b/>
          <w:bCs/>
          <w:noProof/>
        </w:rPr>
      </w:sdtEndPr>
      <w:sdtContent>
        <w:p w14:paraId="4DE56D1B" w14:textId="4F273A66" w:rsidR="00EC49FC" w:rsidRDefault="00EC49FC">
          <w:pPr>
            <w:pStyle w:val="TOCHeading"/>
          </w:pPr>
          <w:r>
            <w:t>Table of Contents</w:t>
          </w:r>
        </w:p>
        <w:p w14:paraId="6C4375DF" w14:textId="7F95DECD" w:rsidR="00762E21" w:rsidRDefault="00EC49FC">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848544" w:history="1">
            <w:r w:rsidR="00762E21" w:rsidRPr="00F9055F">
              <w:rPr>
                <w:rStyle w:val="Hyperlink"/>
                <w:rFonts w:ascii="Arial" w:hAnsi="Arial" w:cs="Arial"/>
                <w:b/>
                <w:bCs/>
                <w:noProof/>
              </w:rPr>
              <w:t>Executive Summary</w:t>
            </w:r>
            <w:r w:rsidR="00762E21">
              <w:rPr>
                <w:noProof/>
                <w:webHidden/>
              </w:rPr>
              <w:tab/>
            </w:r>
            <w:r w:rsidR="00762E21">
              <w:rPr>
                <w:noProof/>
                <w:webHidden/>
              </w:rPr>
              <w:fldChar w:fldCharType="begin"/>
            </w:r>
            <w:r w:rsidR="00762E21">
              <w:rPr>
                <w:noProof/>
                <w:webHidden/>
              </w:rPr>
              <w:instrText xml:space="preserve"> PAGEREF _Toc211848544 \h </w:instrText>
            </w:r>
            <w:r w:rsidR="00762E21">
              <w:rPr>
                <w:noProof/>
                <w:webHidden/>
              </w:rPr>
            </w:r>
            <w:r w:rsidR="00762E21">
              <w:rPr>
                <w:noProof/>
                <w:webHidden/>
              </w:rPr>
              <w:fldChar w:fldCharType="separate"/>
            </w:r>
            <w:r w:rsidR="00762E21">
              <w:rPr>
                <w:noProof/>
                <w:webHidden/>
              </w:rPr>
              <w:t>3</w:t>
            </w:r>
            <w:r w:rsidR="00762E21">
              <w:rPr>
                <w:noProof/>
                <w:webHidden/>
              </w:rPr>
              <w:fldChar w:fldCharType="end"/>
            </w:r>
          </w:hyperlink>
        </w:p>
        <w:p w14:paraId="730DE76A" w14:textId="4C8F3C17" w:rsidR="00762E21" w:rsidRDefault="00BB2FAE">
          <w:pPr>
            <w:pStyle w:val="TOC1"/>
            <w:tabs>
              <w:tab w:val="left" w:pos="440"/>
              <w:tab w:val="right" w:leader="dot" w:pos="9016"/>
            </w:tabs>
            <w:rPr>
              <w:rFonts w:eastAsiaTheme="minorEastAsia"/>
              <w:noProof/>
              <w:lang w:eastAsia="en-GB"/>
            </w:rPr>
          </w:pPr>
          <w:hyperlink w:anchor="_Toc211848545" w:history="1">
            <w:r w:rsidR="00762E21" w:rsidRPr="00F9055F">
              <w:rPr>
                <w:rStyle w:val="Hyperlink"/>
                <w:rFonts w:ascii="Arial" w:hAnsi="Arial" w:cs="Arial"/>
                <w:b/>
                <w:bCs/>
                <w:noProof/>
              </w:rPr>
              <w:t>1.</w:t>
            </w:r>
            <w:r w:rsidR="00762E21">
              <w:rPr>
                <w:rFonts w:eastAsiaTheme="minorEastAsia"/>
                <w:noProof/>
                <w:lang w:eastAsia="en-GB"/>
              </w:rPr>
              <w:tab/>
            </w:r>
            <w:r w:rsidR="00762E21" w:rsidRPr="00F9055F">
              <w:rPr>
                <w:rStyle w:val="Hyperlink"/>
                <w:rFonts w:ascii="Arial" w:hAnsi="Arial" w:cs="Arial"/>
                <w:b/>
                <w:bCs/>
                <w:noProof/>
              </w:rPr>
              <w:t>Introduction</w:t>
            </w:r>
            <w:r w:rsidR="00762E21">
              <w:rPr>
                <w:noProof/>
                <w:webHidden/>
              </w:rPr>
              <w:tab/>
            </w:r>
            <w:r w:rsidR="00762E21">
              <w:rPr>
                <w:noProof/>
                <w:webHidden/>
              </w:rPr>
              <w:fldChar w:fldCharType="begin"/>
            </w:r>
            <w:r w:rsidR="00762E21">
              <w:rPr>
                <w:noProof/>
                <w:webHidden/>
              </w:rPr>
              <w:instrText xml:space="preserve"> PAGEREF _Toc211848545 \h </w:instrText>
            </w:r>
            <w:r w:rsidR="00762E21">
              <w:rPr>
                <w:noProof/>
                <w:webHidden/>
              </w:rPr>
            </w:r>
            <w:r w:rsidR="00762E21">
              <w:rPr>
                <w:noProof/>
                <w:webHidden/>
              </w:rPr>
              <w:fldChar w:fldCharType="separate"/>
            </w:r>
            <w:r w:rsidR="00762E21">
              <w:rPr>
                <w:noProof/>
                <w:webHidden/>
              </w:rPr>
              <w:t>3</w:t>
            </w:r>
            <w:r w:rsidR="00762E21">
              <w:rPr>
                <w:noProof/>
                <w:webHidden/>
              </w:rPr>
              <w:fldChar w:fldCharType="end"/>
            </w:r>
          </w:hyperlink>
        </w:p>
        <w:p w14:paraId="7773D400" w14:textId="58D4B7E4" w:rsidR="00762E21" w:rsidRDefault="00BB2FAE">
          <w:pPr>
            <w:pStyle w:val="TOC1"/>
            <w:tabs>
              <w:tab w:val="right" w:leader="dot" w:pos="9016"/>
            </w:tabs>
            <w:rPr>
              <w:rFonts w:eastAsiaTheme="minorEastAsia"/>
              <w:noProof/>
              <w:lang w:eastAsia="en-GB"/>
            </w:rPr>
          </w:pPr>
          <w:hyperlink w:anchor="_Toc211848546" w:history="1">
            <w:r w:rsidR="00762E21" w:rsidRPr="00F9055F">
              <w:rPr>
                <w:rStyle w:val="Hyperlink"/>
                <w:rFonts w:ascii="Arial" w:hAnsi="Arial" w:cs="Arial"/>
                <w:b/>
                <w:bCs/>
                <w:noProof/>
              </w:rPr>
              <w:t>2. Strategy Analysis</w:t>
            </w:r>
            <w:r w:rsidR="00762E21">
              <w:rPr>
                <w:noProof/>
                <w:webHidden/>
              </w:rPr>
              <w:tab/>
            </w:r>
            <w:r w:rsidR="00762E21">
              <w:rPr>
                <w:noProof/>
                <w:webHidden/>
              </w:rPr>
              <w:fldChar w:fldCharType="begin"/>
            </w:r>
            <w:r w:rsidR="00762E21">
              <w:rPr>
                <w:noProof/>
                <w:webHidden/>
              </w:rPr>
              <w:instrText xml:space="preserve"> PAGEREF _Toc211848546 \h </w:instrText>
            </w:r>
            <w:r w:rsidR="00762E21">
              <w:rPr>
                <w:noProof/>
                <w:webHidden/>
              </w:rPr>
            </w:r>
            <w:r w:rsidR="00762E21">
              <w:rPr>
                <w:noProof/>
                <w:webHidden/>
              </w:rPr>
              <w:fldChar w:fldCharType="separate"/>
            </w:r>
            <w:r w:rsidR="00762E21">
              <w:rPr>
                <w:noProof/>
                <w:webHidden/>
              </w:rPr>
              <w:t>4</w:t>
            </w:r>
            <w:r w:rsidR="00762E21">
              <w:rPr>
                <w:noProof/>
                <w:webHidden/>
              </w:rPr>
              <w:fldChar w:fldCharType="end"/>
            </w:r>
          </w:hyperlink>
        </w:p>
        <w:p w14:paraId="31990600" w14:textId="35B00947" w:rsidR="00762E21" w:rsidRDefault="00BB2FAE">
          <w:pPr>
            <w:pStyle w:val="TOC2"/>
            <w:tabs>
              <w:tab w:val="right" w:leader="dot" w:pos="9016"/>
            </w:tabs>
            <w:rPr>
              <w:rFonts w:eastAsiaTheme="minorEastAsia"/>
              <w:noProof/>
              <w:lang w:eastAsia="en-GB"/>
            </w:rPr>
          </w:pPr>
          <w:hyperlink w:anchor="_Toc211848547" w:history="1">
            <w:r w:rsidR="00762E21" w:rsidRPr="00F9055F">
              <w:rPr>
                <w:rStyle w:val="Hyperlink"/>
                <w:rFonts w:ascii="Arial" w:hAnsi="Arial" w:cs="Arial"/>
                <w:b/>
                <w:bCs/>
                <w:noProof/>
              </w:rPr>
              <w:t>2.1 External Environment Audit</w:t>
            </w:r>
            <w:r w:rsidR="00762E21">
              <w:rPr>
                <w:noProof/>
                <w:webHidden/>
              </w:rPr>
              <w:tab/>
            </w:r>
            <w:r w:rsidR="00762E21">
              <w:rPr>
                <w:noProof/>
                <w:webHidden/>
              </w:rPr>
              <w:fldChar w:fldCharType="begin"/>
            </w:r>
            <w:r w:rsidR="00762E21">
              <w:rPr>
                <w:noProof/>
                <w:webHidden/>
              </w:rPr>
              <w:instrText xml:space="preserve"> PAGEREF _Toc211848547 \h </w:instrText>
            </w:r>
            <w:r w:rsidR="00762E21">
              <w:rPr>
                <w:noProof/>
                <w:webHidden/>
              </w:rPr>
            </w:r>
            <w:r w:rsidR="00762E21">
              <w:rPr>
                <w:noProof/>
                <w:webHidden/>
              </w:rPr>
              <w:fldChar w:fldCharType="separate"/>
            </w:r>
            <w:r w:rsidR="00762E21">
              <w:rPr>
                <w:noProof/>
                <w:webHidden/>
              </w:rPr>
              <w:t>4</w:t>
            </w:r>
            <w:r w:rsidR="00762E21">
              <w:rPr>
                <w:noProof/>
                <w:webHidden/>
              </w:rPr>
              <w:fldChar w:fldCharType="end"/>
            </w:r>
          </w:hyperlink>
        </w:p>
        <w:p w14:paraId="56880D88" w14:textId="17E4F10B" w:rsidR="00762E21" w:rsidRDefault="00BB2FAE">
          <w:pPr>
            <w:pStyle w:val="TOC3"/>
            <w:tabs>
              <w:tab w:val="right" w:leader="dot" w:pos="9016"/>
            </w:tabs>
            <w:rPr>
              <w:rFonts w:eastAsiaTheme="minorEastAsia"/>
              <w:noProof/>
              <w:lang w:eastAsia="en-GB"/>
            </w:rPr>
          </w:pPr>
          <w:hyperlink w:anchor="_Toc211848548" w:history="1">
            <w:r w:rsidR="00762E21" w:rsidRPr="00F9055F">
              <w:rPr>
                <w:rStyle w:val="Hyperlink"/>
                <w:rFonts w:ascii="Arial" w:hAnsi="Arial" w:cs="Arial"/>
                <w:b/>
                <w:bCs/>
                <w:noProof/>
              </w:rPr>
              <w:t>2.1.1 PESTLE Analysis</w:t>
            </w:r>
            <w:r w:rsidR="00762E21">
              <w:rPr>
                <w:noProof/>
                <w:webHidden/>
              </w:rPr>
              <w:tab/>
            </w:r>
            <w:r w:rsidR="00762E21">
              <w:rPr>
                <w:noProof/>
                <w:webHidden/>
              </w:rPr>
              <w:fldChar w:fldCharType="begin"/>
            </w:r>
            <w:r w:rsidR="00762E21">
              <w:rPr>
                <w:noProof/>
                <w:webHidden/>
              </w:rPr>
              <w:instrText xml:space="preserve"> PAGEREF _Toc211848548 \h </w:instrText>
            </w:r>
            <w:r w:rsidR="00762E21">
              <w:rPr>
                <w:noProof/>
                <w:webHidden/>
              </w:rPr>
            </w:r>
            <w:r w:rsidR="00762E21">
              <w:rPr>
                <w:noProof/>
                <w:webHidden/>
              </w:rPr>
              <w:fldChar w:fldCharType="separate"/>
            </w:r>
            <w:r w:rsidR="00762E21">
              <w:rPr>
                <w:noProof/>
                <w:webHidden/>
              </w:rPr>
              <w:t>4</w:t>
            </w:r>
            <w:r w:rsidR="00762E21">
              <w:rPr>
                <w:noProof/>
                <w:webHidden/>
              </w:rPr>
              <w:fldChar w:fldCharType="end"/>
            </w:r>
          </w:hyperlink>
        </w:p>
        <w:p w14:paraId="3C7C0AF3" w14:textId="1B569924" w:rsidR="00762E21" w:rsidRDefault="00BB2FAE">
          <w:pPr>
            <w:pStyle w:val="TOC3"/>
            <w:tabs>
              <w:tab w:val="right" w:leader="dot" w:pos="9016"/>
            </w:tabs>
            <w:rPr>
              <w:rFonts w:eastAsiaTheme="minorEastAsia"/>
              <w:noProof/>
              <w:lang w:eastAsia="en-GB"/>
            </w:rPr>
          </w:pPr>
          <w:hyperlink w:anchor="_Toc211848549" w:history="1">
            <w:r w:rsidR="00762E21" w:rsidRPr="00F9055F">
              <w:rPr>
                <w:rStyle w:val="Hyperlink"/>
                <w:rFonts w:ascii="Arial" w:hAnsi="Arial" w:cs="Arial"/>
                <w:b/>
                <w:bCs/>
                <w:noProof/>
              </w:rPr>
              <w:t>2.1.2. Porter’s Five Forces Analysis</w:t>
            </w:r>
            <w:r w:rsidR="00762E21">
              <w:rPr>
                <w:noProof/>
                <w:webHidden/>
              </w:rPr>
              <w:tab/>
            </w:r>
            <w:r w:rsidR="00762E21">
              <w:rPr>
                <w:noProof/>
                <w:webHidden/>
              </w:rPr>
              <w:fldChar w:fldCharType="begin"/>
            </w:r>
            <w:r w:rsidR="00762E21">
              <w:rPr>
                <w:noProof/>
                <w:webHidden/>
              </w:rPr>
              <w:instrText xml:space="preserve"> PAGEREF _Toc211848549 \h </w:instrText>
            </w:r>
            <w:r w:rsidR="00762E21">
              <w:rPr>
                <w:noProof/>
                <w:webHidden/>
              </w:rPr>
            </w:r>
            <w:r w:rsidR="00762E21">
              <w:rPr>
                <w:noProof/>
                <w:webHidden/>
              </w:rPr>
              <w:fldChar w:fldCharType="separate"/>
            </w:r>
            <w:r w:rsidR="00762E21">
              <w:rPr>
                <w:noProof/>
                <w:webHidden/>
              </w:rPr>
              <w:t>5</w:t>
            </w:r>
            <w:r w:rsidR="00762E21">
              <w:rPr>
                <w:noProof/>
                <w:webHidden/>
              </w:rPr>
              <w:fldChar w:fldCharType="end"/>
            </w:r>
          </w:hyperlink>
        </w:p>
        <w:p w14:paraId="7DBCDF5F" w14:textId="632FA03F" w:rsidR="00762E21" w:rsidRDefault="00BB2FAE">
          <w:pPr>
            <w:pStyle w:val="TOC2"/>
            <w:tabs>
              <w:tab w:val="right" w:leader="dot" w:pos="9016"/>
            </w:tabs>
            <w:rPr>
              <w:rFonts w:eastAsiaTheme="minorEastAsia"/>
              <w:noProof/>
              <w:lang w:eastAsia="en-GB"/>
            </w:rPr>
          </w:pPr>
          <w:hyperlink w:anchor="_Toc211848550" w:history="1">
            <w:r w:rsidR="00762E21" w:rsidRPr="00F9055F">
              <w:rPr>
                <w:rStyle w:val="Hyperlink"/>
                <w:rFonts w:ascii="Arial" w:hAnsi="Arial" w:cs="Arial"/>
                <w:b/>
                <w:bCs/>
                <w:noProof/>
              </w:rPr>
              <w:t>2.2 Internal Environment Audit</w:t>
            </w:r>
            <w:r w:rsidR="00762E21">
              <w:rPr>
                <w:noProof/>
                <w:webHidden/>
              </w:rPr>
              <w:tab/>
            </w:r>
            <w:r w:rsidR="00762E21">
              <w:rPr>
                <w:noProof/>
                <w:webHidden/>
              </w:rPr>
              <w:fldChar w:fldCharType="begin"/>
            </w:r>
            <w:r w:rsidR="00762E21">
              <w:rPr>
                <w:noProof/>
                <w:webHidden/>
              </w:rPr>
              <w:instrText xml:space="preserve"> PAGEREF _Toc211848550 \h </w:instrText>
            </w:r>
            <w:r w:rsidR="00762E21">
              <w:rPr>
                <w:noProof/>
                <w:webHidden/>
              </w:rPr>
            </w:r>
            <w:r w:rsidR="00762E21">
              <w:rPr>
                <w:noProof/>
                <w:webHidden/>
              </w:rPr>
              <w:fldChar w:fldCharType="separate"/>
            </w:r>
            <w:r w:rsidR="00762E21">
              <w:rPr>
                <w:noProof/>
                <w:webHidden/>
              </w:rPr>
              <w:t>6</w:t>
            </w:r>
            <w:r w:rsidR="00762E21">
              <w:rPr>
                <w:noProof/>
                <w:webHidden/>
              </w:rPr>
              <w:fldChar w:fldCharType="end"/>
            </w:r>
          </w:hyperlink>
        </w:p>
        <w:p w14:paraId="51D22A35" w14:textId="6144C667" w:rsidR="00762E21" w:rsidRDefault="00BB2FAE">
          <w:pPr>
            <w:pStyle w:val="TOC3"/>
            <w:tabs>
              <w:tab w:val="right" w:leader="dot" w:pos="9016"/>
            </w:tabs>
            <w:rPr>
              <w:rFonts w:eastAsiaTheme="minorEastAsia"/>
              <w:noProof/>
              <w:lang w:eastAsia="en-GB"/>
            </w:rPr>
          </w:pPr>
          <w:hyperlink w:anchor="_Toc211848551" w:history="1">
            <w:r w:rsidR="00762E21" w:rsidRPr="00F9055F">
              <w:rPr>
                <w:rStyle w:val="Hyperlink"/>
                <w:rFonts w:ascii="Arial" w:hAnsi="Arial" w:cs="Arial"/>
                <w:b/>
                <w:bCs/>
                <w:noProof/>
              </w:rPr>
              <w:t>2.2.1 Value Chain Analysis (Porter, 1985)</w:t>
            </w:r>
            <w:r w:rsidR="00762E21">
              <w:rPr>
                <w:noProof/>
                <w:webHidden/>
              </w:rPr>
              <w:tab/>
            </w:r>
            <w:r w:rsidR="00762E21">
              <w:rPr>
                <w:noProof/>
                <w:webHidden/>
              </w:rPr>
              <w:fldChar w:fldCharType="begin"/>
            </w:r>
            <w:r w:rsidR="00762E21">
              <w:rPr>
                <w:noProof/>
                <w:webHidden/>
              </w:rPr>
              <w:instrText xml:space="preserve"> PAGEREF _Toc211848551 \h </w:instrText>
            </w:r>
            <w:r w:rsidR="00762E21">
              <w:rPr>
                <w:noProof/>
                <w:webHidden/>
              </w:rPr>
            </w:r>
            <w:r w:rsidR="00762E21">
              <w:rPr>
                <w:noProof/>
                <w:webHidden/>
              </w:rPr>
              <w:fldChar w:fldCharType="separate"/>
            </w:r>
            <w:r w:rsidR="00762E21">
              <w:rPr>
                <w:noProof/>
                <w:webHidden/>
              </w:rPr>
              <w:t>6</w:t>
            </w:r>
            <w:r w:rsidR="00762E21">
              <w:rPr>
                <w:noProof/>
                <w:webHidden/>
              </w:rPr>
              <w:fldChar w:fldCharType="end"/>
            </w:r>
          </w:hyperlink>
        </w:p>
        <w:p w14:paraId="06AA2646" w14:textId="3DBDB603" w:rsidR="00762E21" w:rsidRDefault="00BB2FAE">
          <w:pPr>
            <w:pStyle w:val="TOC3"/>
            <w:tabs>
              <w:tab w:val="right" w:leader="dot" w:pos="9016"/>
            </w:tabs>
            <w:rPr>
              <w:rFonts w:eastAsiaTheme="minorEastAsia"/>
              <w:noProof/>
              <w:lang w:eastAsia="en-GB"/>
            </w:rPr>
          </w:pPr>
          <w:hyperlink w:anchor="_Toc211848552" w:history="1">
            <w:r w:rsidR="00762E21" w:rsidRPr="00F9055F">
              <w:rPr>
                <w:rStyle w:val="Hyperlink"/>
                <w:rFonts w:ascii="Arial" w:hAnsi="Arial" w:cs="Arial"/>
                <w:b/>
                <w:bCs/>
                <w:noProof/>
              </w:rPr>
              <w:t>2.2.2 Resource-Based View (RBV) and VRIO Analysis</w:t>
            </w:r>
            <w:r w:rsidR="00762E21">
              <w:rPr>
                <w:noProof/>
                <w:webHidden/>
              </w:rPr>
              <w:tab/>
            </w:r>
            <w:r w:rsidR="00762E21">
              <w:rPr>
                <w:noProof/>
                <w:webHidden/>
              </w:rPr>
              <w:fldChar w:fldCharType="begin"/>
            </w:r>
            <w:r w:rsidR="00762E21">
              <w:rPr>
                <w:noProof/>
                <w:webHidden/>
              </w:rPr>
              <w:instrText xml:space="preserve"> PAGEREF _Toc211848552 \h </w:instrText>
            </w:r>
            <w:r w:rsidR="00762E21">
              <w:rPr>
                <w:noProof/>
                <w:webHidden/>
              </w:rPr>
            </w:r>
            <w:r w:rsidR="00762E21">
              <w:rPr>
                <w:noProof/>
                <w:webHidden/>
              </w:rPr>
              <w:fldChar w:fldCharType="separate"/>
            </w:r>
            <w:r w:rsidR="00762E21">
              <w:rPr>
                <w:noProof/>
                <w:webHidden/>
              </w:rPr>
              <w:t>7</w:t>
            </w:r>
            <w:r w:rsidR="00762E21">
              <w:rPr>
                <w:noProof/>
                <w:webHidden/>
              </w:rPr>
              <w:fldChar w:fldCharType="end"/>
            </w:r>
          </w:hyperlink>
        </w:p>
        <w:p w14:paraId="488AF7F0" w14:textId="4E54CF69" w:rsidR="00762E21" w:rsidRDefault="00BB2FAE">
          <w:pPr>
            <w:pStyle w:val="TOC2"/>
            <w:tabs>
              <w:tab w:val="right" w:leader="dot" w:pos="9016"/>
            </w:tabs>
            <w:rPr>
              <w:rFonts w:eastAsiaTheme="minorEastAsia"/>
              <w:noProof/>
              <w:lang w:eastAsia="en-GB"/>
            </w:rPr>
          </w:pPr>
          <w:hyperlink w:anchor="_Toc211848553" w:history="1">
            <w:r w:rsidR="00762E21" w:rsidRPr="00F9055F">
              <w:rPr>
                <w:rStyle w:val="Hyperlink"/>
                <w:rFonts w:ascii="Arial" w:hAnsi="Arial" w:cs="Arial"/>
                <w:b/>
                <w:bCs/>
                <w:noProof/>
              </w:rPr>
              <w:t>2.3. Nissan UK: Strategic SWOT Matrix</w:t>
            </w:r>
            <w:r w:rsidR="00762E21">
              <w:rPr>
                <w:noProof/>
                <w:webHidden/>
              </w:rPr>
              <w:tab/>
            </w:r>
            <w:r w:rsidR="00762E21">
              <w:rPr>
                <w:noProof/>
                <w:webHidden/>
              </w:rPr>
              <w:fldChar w:fldCharType="begin"/>
            </w:r>
            <w:r w:rsidR="00762E21">
              <w:rPr>
                <w:noProof/>
                <w:webHidden/>
              </w:rPr>
              <w:instrText xml:space="preserve"> PAGEREF _Toc211848553 \h </w:instrText>
            </w:r>
            <w:r w:rsidR="00762E21">
              <w:rPr>
                <w:noProof/>
                <w:webHidden/>
              </w:rPr>
            </w:r>
            <w:r w:rsidR="00762E21">
              <w:rPr>
                <w:noProof/>
                <w:webHidden/>
              </w:rPr>
              <w:fldChar w:fldCharType="separate"/>
            </w:r>
            <w:r w:rsidR="00762E21">
              <w:rPr>
                <w:noProof/>
                <w:webHidden/>
              </w:rPr>
              <w:t>9</w:t>
            </w:r>
            <w:r w:rsidR="00762E21">
              <w:rPr>
                <w:noProof/>
                <w:webHidden/>
              </w:rPr>
              <w:fldChar w:fldCharType="end"/>
            </w:r>
          </w:hyperlink>
        </w:p>
        <w:p w14:paraId="165687FC" w14:textId="4BD1736D" w:rsidR="00762E21" w:rsidRDefault="00BB2FAE">
          <w:pPr>
            <w:pStyle w:val="TOC1"/>
            <w:tabs>
              <w:tab w:val="right" w:leader="dot" w:pos="9016"/>
            </w:tabs>
            <w:rPr>
              <w:rFonts w:eastAsiaTheme="minorEastAsia"/>
              <w:noProof/>
              <w:lang w:eastAsia="en-GB"/>
            </w:rPr>
          </w:pPr>
          <w:hyperlink w:anchor="_Toc211848554" w:history="1">
            <w:r w:rsidR="00762E21" w:rsidRPr="00F9055F">
              <w:rPr>
                <w:rStyle w:val="Hyperlink"/>
                <w:rFonts w:ascii="Arial" w:hAnsi="Arial" w:cs="Arial"/>
                <w:b/>
                <w:bCs/>
                <w:noProof/>
              </w:rPr>
              <w:t>3. Strategy Formulation</w:t>
            </w:r>
            <w:r w:rsidR="00762E21">
              <w:rPr>
                <w:noProof/>
                <w:webHidden/>
              </w:rPr>
              <w:tab/>
            </w:r>
            <w:r w:rsidR="00762E21">
              <w:rPr>
                <w:noProof/>
                <w:webHidden/>
              </w:rPr>
              <w:fldChar w:fldCharType="begin"/>
            </w:r>
            <w:r w:rsidR="00762E21">
              <w:rPr>
                <w:noProof/>
                <w:webHidden/>
              </w:rPr>
              <w:instrText xml:space="preserve"> PAGEREF _Toc211848554 \h </w:instrText>
            </w:r>
            <w:r w:rsidR="00762E21">
              <w:rPr>
                <w:noProof/>
                <w:webHidden/>
              </w:rPr>
            </w:r>
            <w:r w:rsidR="00762E21">
              <w:rPr>
                <w:noProof/>
                <w:webHidden/>
              </w:rPr>
              <w:fldChar w:fldCharType="separate"/>
            </w:r>
            <w:r w:rsidR="00762E21">
              <w:rPr>
                <w:noProof/>
                <w:webHidden/>
              </w:rPr>
              <w:t>10</w:t>
            </w:r>
            <w:r w:rsidR="00762E21">
              <w:rPr>
                <w:noProof/>
                <w:webHidden/>
              </w:rPr>
              <w:fldChar w:fldCharType="end"/>
            </w:r>
          </w:hyperlink>
        </w:p>
        <w:p w14:paraId="10AB8134" w14:textId="3C5A2FA8" w:rsidR="00762E21" w:rsidRDefault="00BB2FAE">
          <w:pPr>
            <w:pStyle w:val="TOC2"/>
            <w:tabs>
              <w:tab w:val="right" w:leader="dot" w:pos="9016"/>
            </w:tabs>
            <w:rPr>
              <w:rFonts w:eastAsiaTheme="minorEastAsia"/>
              <w:noProof/>
              <w:lang w:eastAsia="en-GB"/>
            </w:rPr>
          </w:pPr>
          <w:hyperlink w:anchor="_Toc211848555" w:history="1">
            <w:r w:rsidR="00762E21" w:rsidRPr="00F9055F">
              <w:rPr>
                <w:rStyle w:val="Hyperlink"/>
                <w:rFonts w:ascii="Arial" w:hAnsi="Arial" w:cs="Arial"/>
                <w:b/>
                <w:bCs/>
                <w:noProof/>
              </w:rPr>
              <w:t>3.1 Strategic Priorities</w:t>
            </w:r>
            <w:r w:rsidR="00762E21">
              <w:rPr>
                <w:noProof/>
                <w:webHidden/>
              </w:rPr>
              <w:tab/>
            </w:r>
            <w:r w:rsidR="00762E21">
              <w:rPr>
                <w:noProof/>
                <w:webHidden/>
              </w:rPr>
              <w:fldChar w:fldCharType="begin"/>
            </w:r>
            <w:r w:rsidR="00762E21">
              <w:rPr>
                <w:noProof/>
                <w:webHidden/>
              </w:rPr>
              <w:instrText xml:space="preserve"> PAGEREF _Toc211848555 \h </w:instrText>
            </w:r>
            <w:r w:rsidR="00762E21">
              <w:rPr>
                <w:noProof/>
                <w:webHidden/>
              </w:rPr>
            </w:r>
            <w:r w:rsidR="00762E21">
              <w:rPr>
                <w:noProof/>
                <w:webHidden/>
              </w:rPr>
              <w:fldChar w:fldCharType="separate"/>
            </w:r>
            <w:r w:rsidR="00762E21">
              <w:rPr>
                <w:noProof/>
                <w:webHidden/>
              </w:rPr>
              <w:t>11</w:t>
            </w:r>
            <w:r w:rsidR="00762E21">
              <w:rPr>
                <w:noProof/>
                <w:webHidden/>
              </w:rPr>
              <w:fldChar w:fldCharType="end"/>
            </w:r>
          </w:hyperlink>
        </w:p>
        <w:p w14:paraId="1E885347" w14:textId="4E76EED1" w:rsidR="00762E21" w:rsidRDefault="00BB2FAE">
          <w:pPr>
            <w:pStyle w:val="TOC2"/>
            <w:tabs>
              <w:tab w:val="right" w:leader="dot" w:pos="9016"/>
            </w:tabs>
            <w:rPr>
              <w:rFonts w:eastAsiaTheme="minorEastAsia"/>
              <w:noProof/>
              <w:lang w:eastAsia="en-GB"/>
            </w:rPr>
          </w:pPr>
          <w:hyperlink w:anchor="_Toc211848556" w:history="1">
            <w:r w:rsidR="00762E21" w:rsidRPr="00F9055F">
              <w:rPr>
                <w:rStyle w:val="Hyperlink"/>
                <w:rFonts w:ascii="Arial" w:hAnsi="Arial" w:cs="Arial"/>
                <w:b/>
                <w:bCs/>
                <w:noProof/>
              </w:rPr>
              <w:t>3.2 Strategic Options</w:t>
            </w:r>
            <w:r w:rsidR="00762E21">
              <w:rPr>
                <w:noProof/>
                <w:webHidden/>
              </w:rPr>
              <w:tab/>
            </w:r>
            <w:r w:rsidR="00762E21">
              <w:rPr>
                <w:noProof/>
                <w:webHidden/>
              </w:rPr>
              <w:fldChar w:fldCharType="begin"/>
            </w:r>
            <w:r w:rsidR="00762E21">
              <w:rPr>
                <w:noProof/>
                <w:webHidden/>
              </w:rPr>
              <w:instrText xml:space="preserve"> PAGEREF _Toc211848556 \h </w:instrText>
            </w:r>
            <w:r w:rsidR="00762E21">
              <w:rPr>
                <w:noProof/>
                <w:webHidden/>
              </w:rPr>
            </w:r>
            <w:r w:rsidR="00762E21">
              <w:rPr>
                <w:noProof/>
                <w:webHidden/>
              </w:rPr>
              <w:fldChar w:fldCharType="separate"/>
            </w:r>
            <w:r w:rsidR="00762E21">
              <w:rPr>
                <w:noProof/>
                <w:webHidden/>
              </w:rPr>
              <w:t>12</w:t>
            </w:r>
            <w:r w:rsidR="00762E21">
              <w:rPr>
                <w:noProof/>
                <w:webHidden/>
              </w:rPr>
              <w:fldChar w:fldCharType="end"/>
            </w:r>
          </w:hyperlink>
        </w:p>
        <w:p w14:paraId="6EEF84C9" w14:textId="465A9175" w:rsidR="00762E21" w:rsidRDefault="00BB2FAE">
          <w:pPr>
            <w:pStyle w:val="TOC3"/>
            <w:tabs>
              <w:tab w:val="right" w:leader="dot" w:pos="9016"/>
            </w:tabs>
            <w:rPr>
              <w:rFonts w:eastAsiaTheme="minorEastAsia"/>
              <w:noProof/>
              <w:lang w:eastAsia="en-GB"/>
            </w:rPr>
          </w:pPr>
          <w:hyperlink w:anchor="_Toc211848557" w:history="1">
            <w:r w:rsidR="00762E21" w:rsidRPr="00F9055F">
              <w:rPr>
                <w:rStyle w:val="Hyperlink"/>
                <w:rFonts w:ascii="Arial" w:hAnsi="Arial" w:cs="Arial"/>
                <w:b/>
                <w:bCs/>
                <w:noProof/>
              </w:rPr>
              <w:t>3.3 Recommended Strategic Direction</w:t>
            </w:r>
            <w:r w:rsidR="00762E21">
              <w:rPr>
                <w:noProof/>
                <w:webHidden/>
              </w:rPr>
              <w:tab/>
            </w:r>
            <w:r w:rsidR="00762E21">
              <w:rPr>
                <w:noProof/>
                <w:webHidden/>
              </w:rPr>
              <w:fldChar w:fldCharType="begin"/>
            </w:r>
            <w:r w:rsidR="00762E21">
              <w:rPr>
                <w:noProof/>
                <w:webHidden/>
              </w:rPr>
              <w:instrText xml:space="preserve"> PAGEREF _Toc211848557 \h </w:instrText>
            </w:r>
            <w:r w:rsidR="00762E21">
              <w:rPr>
                <w:noProof/>
                <w:webHidden/>
              </w:rPr>
            </w:r>
            <w:r w:rsidR="00762E21">
              <w:rPr>
                <w:noProof/>
                <w:webHidden/>
              </w:rPr>
              <w:fldChar w:fldCharType="separate"/>
            </w:r>
            <w:r w:rsidR="00762E21">
              <w:rPr>
                <w:noProof/>
                <w:webHidden/>
              </w:rPr>
              <w:t>12</w:t>
            </w:r>
            <w:r w:rsidR="00762E21">
              <w:rPr>
                <w:noProof/>
                <w:webHidden/>
              </w:rPr>
              <w:fldChar w:fldCharType="end"/>
            </w:r>
          </w:hyperlink>
        </w:p>
        <w:p w14:paraId="75C6037C" w14:textId="1CF08F4D" w:rsidR="00762E21" w:rsidRDefault="00BB2FAE">
          <w:pPr>
            <w:pStyle w:val="TOC2"/>
            <w:tabs>
              <w:tab w:val="right" w:leader="dot" w:pos="9016"/>
            </w:tabs>
            <w:rPr>
              <w:rFonts w:eastAsiaTheme="minorEastAsia"/>
              <w:noProof/>
              <w:lang w:eastAsia="en-GB"/>
            </w:rPr>
          </w:pPr>
          <w:hyperlink w:anchor="_Toc211848558" w:history="1">
            <w:r w:rsidR="00762E21" w:rsidRPr="00F9055F">
              <w:rPr>
                <w:rStyle w:val="Hyperlink"/>
                <w:rFonts w:ascii="Arial" w:hAnsi="Arial" w:cs="Arial"/>
                <w:b/>
                <w:bCs/>
                <w:noProof/>
              </w:rPr>
              <w:t>3.4 Strategic Outlook</w:t>
            </w:r>
            <w:r w:rsidR="00762E21">
              <w:rPr>
                <w:noProof/>
                <w:webHidden/>
              </w:rPr>
              <w:tab/>
            </w:r>
            <w:r w:rsidR="00762E21">
              <w:rPr>
                <w:noProof/>
                <w:webHidden/>
              </w:rPr>
              <w:fldChar w:fldCharType="begin"/>
            </w:r>
            <w:r w:rsidR="00762E21">
              <w:rPr>
                <w:noProof/>
                <w:webHidden/>
              </w:rPr>
              <w:instrText xml:space="preserve"> PAGEREF _Toc211848558 \h </w:instrText>
            </w:r>
            <w:r w:rsidR="00762E21">
              <w:rPr>
                <w:noProof/>
                <w:webHidden/>
              </w:rPr>
            </w:r>
            <w:r w:rsidR="00762E21">
              <w:rPr>
                <w:noProof/>
                <w:webHidden/>
              </w:rPr>
              <w:fldChar w:fldCharType="separate"/>
            </w:r>
            <w:r w:rsidR="00762E21">
              <w:rPr>
                <w:noProof/>
                <w:webHidden/>
              </w:rPr>
              <w:t>12</w:t>
            </w:r>
            <w:r w:rsidR="00762E21">
              <w:rPr>
                <w:noProof/>
                <w:webHidden/>
              </w:rPr>
              <w:fldChar w:fldCharType="end"/>
            </w:r>
          </w:hyperlink>
        </w:p>
        <w:p w14:paraId="48809E9D" w14:textId="53601D98" w:rsidR="00762E21" w:rsidRDefault="00BB2FAE">
          <w:pPr>
            <w:pStyle w:val="TOC1"/>
            <w:tabs>
              <w:tab w:val="right" w:leader="dot" w:pos="9016"/>
            </w:tabs>
            <w:rPr>
              <w:rFonts w:eastAsiaTheme="minorEastAsia"/>
              <w:noProof/>
              <w:lang w:eastAsia="en-GB"/>
            </w:rPr>
          </w:pPr>
          <w:hyperlink w:anchor="_Toc211848559" w:history="1">
            <w:r w:rsidR="00762E21" w:rsidRPr="00F9055F">
              <w:rPr>
                <w:rStyle w:val="Hyperlink"/>
                <w:rFonts w:ascii="Arial" w:hAnsi="Arial" w:cs="Arial"/>
                <w:b/>
                <w:bCs/>
                <w:noProof/>
              </w:rPr>
              <w:t>4. Conclusion and Recommendations</w:t>
            </w:r>
            <w:r w:rsidR="00762E21">
              <w:rPr>
                <w:noProof/>
                <w:webHidden/>
              </w:rPr>
              <w:tab/>
            </w:r>
            <w:r w:rsidR="00762E21">
              <w:rPr>
                <w:noProof/>
                <w:webHidden/>
              </w:rPr>
              <w:fldChar w:fldCharType="begin"/>
            </w:r>
            <w:r w:rsidR="00762E21">
              <w:rPr>
                <w:noProof/>
                <w:webHidden/>
              </w:rPr>
              <w:instrText xml:space="preserve"> PAGEREF _Toc211848559 \h </w:instrText>
            </w:r>
            <w:r w:rsidR="00762E21">
              <w:rPr>
                <w:noProof/>
                <w:webHidden/>
              </w:rPr>
            </w:r>
            <w:r w:rsidR="00762E21">
              <w:rPr>
                <w:noProof/>
                <w:webHidden/>
              </w:rPr>
              <w:fldChar w:fldCharType="separate"/>
            </w:r>
            <w:r w:rsidR="00762E21">
              <w:rPr>
                <w:noProof/>
                <w:webHidden/>
              </w:rPr>
              <w:t>13</w:t>
            </w:r>
            <w:r w:rsidR="00762E21">
              <w:rPr>
                <w:noProof/>
                <w:webHidden/>
              </w:rPr>
              <w:fldChar w:fldCharType="end"/>
            </w:r>
          </w:hyperlink>
        </w:p>
        <w:p w14:paraId="0951BC8A" w14:textId="6A5971DC" w:rsidR="00762E21" w:rsidRDefault="00BB2FAE">
          <w:pPr>
            <w:pStyle w:val="TOC1"/>
            <w:tabs>
              <w:tab w:val="right" w:leader="dot" w:pos="9016"/>
            </w:tabs>
            <w:rPr>
              <w:rFonts w:eastAsiaTheme="minorEastAsia"/>
              <w:noProof/>
              <w:lang w:eastAsia="en-GB"/>
            </w:rPr>
          </w:pPr>
          <w:hyperlink w:anchor="_Toc211848560" w:history="1">
            <w:r w:rsidR="00762E21" w:rsidRPr="00F9055F">
              <w:rPr>
                <w:rStyle w:val="Hyperlink"/>
                <w:rFonts w:ascii="Arial" w:hAnsi="Arial" w:cs="Arial"/>
                <w:b/>
                <w:bCs/>
                <w:noProof/>
              </w:rPr>
              <w:t>References</w:t>
            </w:r>
            <w:r w:rsidR="00762E21">
              <w:rPr>
                <w:noProof/>
                <w:webHidden/>
              </w:rPr>
              <w:tab/>
            </w:r>
            <w:r w:rsidR="00762E21">
              <w:rPr>
                <w:noProof/>
                <w:webHidden/>
              </w:rPr>
              <w:fldChar w:fldCharType="begin"/>
            </w:r>
            <w:r w:rsidR="00762E21">
              <w:rPr>
                <w:noProof/>
                <w:webHidden/>
              </w:rPr>
              <w:instrText xml:space="preserve"> PAGEREF _Toc211848560 \h </w:instrText>
            </w:r>
            <w:r w:rsidR="00762E21">
              <w:rPr>
                <w:noProof/>
                <w:webHidden/>
              </w:rPr>
            </w:r>
            <w:r w:rsidR="00762E21">
              <w:rPr>
                <w:noProof/>
                <w:webHidden/>
              </w:rPr>
              <w:fldChar w:fldCharType="separate"/>
            </w:r>
            <w:r w:rsidR="00762E21">
              <w:rPr>
                <w:noProof/>
                <w:webHidden/>
              </w:rPr>
              <w:t>14</w:t>
            </w:r>
            <w:r w:rsidR="00762E21">
              <w:rPr>
                <w:noProof/>
                <w:webHidden/>
              </w:rPr>
              <w:fldChar w:fldCharType="end"/>
            </w:r>
          </w:hyperlink>
        </w:p>
        <w:p w14:paraId="75978098" w14:textId="1FBAA2E5" w:rsidR="00EC49FC" w:rsidRDefault="00EC49FC">
          <w:r>
            <w:rPr>
              <w:b/>
              <w:bCs/>
              <w:noProof/>
            </w:rPr>
            <w:fldChar w:fldCharType="end"/>
          </w:r>
        </w:p>
      </w:sdtContent>
    </w:sdt>
    <w:p w14:paraId="79D03AB4" w14:textId="40633280" w:rsidR="00EC49FC" w:rsidRDefault="00EC49FC" w:rsidP="00EC49FC">
      <w:pPr>
        <w:jc w:val="center"/>
        <w:rPr>
          <w:rFonts w:ascii="Arial" w:hAnsi="Arial" w:cs="Arial"/>
          <w:b/>
          <w:bCs/>
          <w:sz w:val="32"/>
          <w:szCs w:val="32"/>
        </w:rPr>
      </w:pPr>
    </w:p>
    <w:p w14:paraId="38952801" w14:textId="4D2C6E20" w:rsidR="00EC49FC" w:rsidRDefault="00EC49FC" w:rsidP="00EC49FC">
      <w:pPr>
        <w:jc w:val="center"/>
        <w:rPr>
          <w:rFonts w:ascii="Arial" w:hAnsi="Arial" w:cs="Arial"/>
          <w:b/>
          <w:bCs/>
          <w:sz w:val="32"/>
          <w:szCs w:val="32"/>
        </w:rPr>
      </w:pPr>
    </w:p>
    <w:p w14:paraId="3C89B192" w14:textId="096DEFC1" w:rsidR="00EC49FC" w:rsidRDefault="00EC49FC" w:rsidP="00EC49FC">
      <w:pPr>
        <w:jc w:val="center"/>
        <w:rPr>
          <w:rFonts w:ascii="Arial" w:hAnsi="Arial" w:cs="Arial"/>
          <w:b/>
          <w:bCs/>
          <w:sz w:val="32"/>
          <w:szCs w:val="32"/>
        </w:rPr>
      </w:pPr>
    </w:p>
    <w:p w14:paraId="59937E0D" w14:textId="0A57A8BE" w:rsidR="00EC49FC" w:rsidRDefault="00EC49FC" w:rsidP="00EC49FC">
      <w:pPr>
        <w:jc w:val="center"/>
        <w:rPr>
          <w:rFonts w:ascii="Arial" w:hAnsi="Arial" w:cs="Arial"/>
          <w:b/>
          <w:bCs/>
          <w:sz w:val="32"/>
          <w:szCs w:val="32"/>
        </w:rPr>
      </w:pPr>
    </w:p>
    <w:p w14:paraId="5FF149B4" w14:textId="46A55F93" w:rsidR="00EC49FC" w:rsidRDefault="00EC49FC" w:rsidP="00EC49FC">
      <w:pPr>
        <w:jc w:val="center"/>
        <w:rPr>
          <w:rFonts w:ascii="Arial" w:hAnsi="Arial" w:cs="Arial"/>
          <w:b/>
          <w:bCs/>
          <w:sz w:val="32"/>
          <w:szCs w:val="32"/>
        </w:rPr>
      </w:pPr>
    </w:p>
    <w:p w14:paraId="5150546E" w14:textId="11C3EB7C" w:rsidR="00EC49FC" w:rsidRDefault="00EC49FC" w:rsidP="00EC49FC">
      <w:pPr>
        <w:jc w:val="center"/>
        <w:rPr>
          <w:rFonts w:ascii="Arial" w:hAnsi="Arial" w:cs="Arial"/>
          <w:b/>
          <w:bCs/>
          <w:sz w:val="32"/>
          <w:szCs w:val="32"/>
        </w:rPr>
      </w:pPr>
    </w:p>
    <w:p w14:paraId="242DC0A0" w14:textId="0A438608" w:rsidR="00EC49FC" w:rsidRDefault="00EC49FC" w:rsidP="00EC49FC">
      <w:pPr>
        <w:jc w:val="center"/>
        <w:rPr>
          <w:rFonts w:ascii="Arial" w:hAnsi="Arial" w:cs="Arial"/>
          <w:b/>
          <w:bCs/>
          <w:sz w:val="32"/>
          <w:szCs w:val="32"/>
        </w:rPr>
      </w:pPr>
    </w:p>
    <w:p w14:paraId="5B799475" w14:textId="62412524" w:rsidR="00EC49FC" w:rsidRDefault="00EC49FC" w:rsidP="00EC49FC">
      <w:pPr>
        <w:jc w:val="center"/>
        <w:rPr>
          <w:rFonts w:ascii="Arial" w:hAnsi="Arial" w:cs="Arial"/>
          <w:b/>
          <w:bCs/>
          <w:sz w:val="32"/>
          <w:szCs w:val="32"/>
        </w:rPr>
      </w:pPr>
    </w:p>
    <w:p w14:paraId="783AD1B5" w14:textId="038C01B9" w:rsidR="00EC49FC" w:rsidRDefault="00EC49FC" w:rsidP="00EC49FC">
      <w:pPr>
        <w:jc w:val="center"/>
        <w:rPr>
          <w:rFonts w:ascii="Arial" w:hAnsi="Arial" w:cs="Arial"/>
          <w:b/>
          <w:bCs/>
          <w:sz w:val="32"/>
          <w:szCs w:val="32"/>
        </w:rPr>
      </w:pPr>
    </w:p>
    <w:p w14:paraId="59ACB107" w14:textId="51103DA5" w:rsidR="00EC49FC" w:rsidRDefault="00EC49FC" w:rsidP="00B50DBC">
      <w:pPr>
        <w:rPr>
          <w:rFonts w:ascii="Arial" w:hAnsi="Arial" w:cs="Arial"/>
          <w:b/>
          <w:bCs/>
          <w:sz w:val="32"/>
          <w:szCs w:val="32"/>
        </w:rPr>
      </w:pPr>
    </w:p>
    <w:p w14:paraId="2B607871" w14:textId="77777777" w:rsidR="00EC49FC" w:rsidRPr="001F4EF9" w:rsidRDefault="00EC49FC" w:rsidP="001F4EF9">
      <w:pPr>
        <w:pStyle w:val="Heading2"/>
        <w:spacing w:line="360" w:lineRule="auto"/>
        <w:jc w:val="center"/>
        <w:rPr>
          <w:rFonts w:ascii="Arial" w:hAnsi="Arial" w:cs="Arial"/>
          <w:color w:val="000000" w:themeColor="text1"/>
          <w:sz w:val="28"/>
          <w:szCs w:val="28"/>
        </w:rPr>
      </w:pPr>
      <w:bookmarkStart w:id="0" w:name="_Toc211848544"/>
      <w:r w:rsidRPr="001F4EF9">
        <w:rPr>
          <w:rStyle w:val="Strong"/>
          <w:rFonts w:ascii="Arial" w:hAnsi="Arial" w:cs="Arial"/>
          <w:color w:val="000000" w:themeColor="text1"/>
          <w:sz w:val="28"/>
          <w:szCs w:val="28"/>
        </w:rPr>
        <w:lastRenderedPageBreak/>
        <w:t>Executive Summary</w:t>
      </w:r>
      <w:bookmarkEnd w:id="0"/>
    </w:p>
    <w:p w14:paraId="2EF94F35" w14:textId="13F1A3F5" w:rsidR="00EC49FC" w:rsidRPr="001F4EF9" w:rsidRDefault="00EC49FC" w:rsidP="002E0473">
      <w:pPr>
        <w:pStyle w:val="NormalWeb"/>
        <w:spacing w:line="360" w:lineRule="auto"/>
        <w:ind w:firstLine="360"/>
        <w:rPr>
          <w:rFonts w:ascii="Arial" w:hAnsi="Arial" w:cs="Arial"/>
          <w:sz w:val="22"/>
          <w:szCs w:val="22"/>
        </w:rPr>
      </w:pPr>
      <w:r w:rsidRPr="001F4EF9">
        <w:rPr>
          <w:rFonts w:ascii="Arial" w:hAnsi="Arial" w:cs="Arial"/>
          <w:sz w:val="22"/>
          <w:szCs w:val="22"/>
        </w:rPr>
        <w:t>Nissan UK plays a pivotal role within the UK automotive sector, contributing substantially to employment, exports, and technological innovation. As the automotive industry faces transformative shifts</w:t>
      </w:r>
      <w:r w:rsidR="008B3B5C">
        <w:rPr>
          <w:rFonts w:ascii="Arial" w:hAnsi="Arial" w:cs="Arial"/>
          <w:sz w:val="22"/>
          <w:szCs w:val="22"/>
        </w:rPr>
        <w:t>-</w:t>
      </w:r>
      <w:r w:rsidRPr="001F4EF9">
        <w:rPr>
          <w:rFonts w:ascii="Arial" w:hAnsi="Arial" w:cs="Arial"/>
          <w:sz w:val="22"/>
          <w:szCs w:val="22"/>
        </w:rPr>
        <w:t>electrification, environmental regulation, geopolitical uncertainty, and evolving consumer preferences</w:t>
      </w:r>
      <w:r w:rsidR="008B3B5C">
        <w:rPr>
          <w:rFonts w:ascii="Arial" w:hAnsi="Arial" w:cs="Arial"/>
          <w:sz w:val="22"/>
          <w:szCs w:val="22"/>
        </w:rPr>
        <w:t>-</w:t>
      </w:r>
      <w:r w:rsidRPr="001F4EF9">
        <w:rPr>
          <w:rFonts w:ascii="Arial" w:hAnsi="Arial" w:cs="Arial"/>
          <w:sz w:val="22"/>
          <w:szCs w:val="22"/>
        </w:rPr>
        <w:t>strategic management becomes essential for Nissan to maintain competitiveness and ensure sustainable growth.</w:t>
      </w:r>
    </w:p>
    <w:p w14:paraId="2D607B06" w14:textId="77777777" w:rsidR="00EC49FC" w:rsidRPr="001F4EF9" w:rsidRDefault="00EC49FC" w:rsidP="00197003">
      <w:pPr>
        <w:pStyle w:val="NormalWeb"/>
        <w:spacing w:line="360" w:lineRule="auto"/>
        <w:ind w:firstLine="360"/>
        <w:rPr>
          <w:rFonts w:ascii="Arial" w:hAnsi="Arial" w:cs="Arial"/>
          <w:sz w:val="22"/>
          <w:szCs w:val="22"/>
        </w:rPr>
      </w:pPr>
      <w:r w:rsidRPr="001F4EF9">
        <w:rPr>
          <w:rFonts w:ascii="Arial" w:hAnsi="Arial" w:cs="Arial"/>
          <w:sz w:val="22"/>
          <w:szCs w:val="22"/>
        </w:rPr>
        <w:t xml:space="preserve">This report analyses Nissan UK’s strategic position using </w:t>
      </w:r>
      <w:r w:rsidRPr="001F4EF9">
        <w:rPr>
          <w:rStyle w:val="Strong"/>
          <w:rFonts w:ascii="Arial" w:hAnsi="Arial" w:cs="Arial"/>
          <w:sz w:val="22"/>
          <w:szCs w:val="22"/>
        </w:rPr>
        <w:t>PESTLE</w:t>
      </w:r>
      <w:r w:rsidRPr="001F4EF9">
        <w:rPr>
          <w:rFonts w:ascii="Arial" w:hAnsi="Arial" w:cs="Arial"/>
          <w:sz w:val="22"/>
          <w:szCs w:val="22"/>
        </w:rPr>
        <w:t xml:space="preserve">, </w:t>
      </w:r>
      <w:r w:rsidRPr="001F4EF9">
        <w:rPr>
          <w:rStyle w:val="Strong"/>
          <w:rFonts w:ascii="Arial" w:hAnsi="Arial" w:cs="Arial"/>
          <w:sz w:val="22"/>
          <w:szCs w:val="22"/>
        </w:rPr>
        <w:t>Porter’s Five Forces</w:t>
      </w:r>
      <w:r w:rsidRPr="001F4EF9">
        <w:rPr>
          <w:rFonts w:ascii="Arial" w:hAnsi="Arial" w:cs="Arial"/>
          <w:sz w:val="22"/>
          <w:szCs w:val="22"/>
        </w:rPr>
        <w:t xml:space="preserve">, </w:t>
      </w:r>
      <w:r w:rsidRPr="001F4EF9">
        <w:rPr>
          <w:rStyle w:val="Strong"/>
          <w:rFonts w:ascii="Arial" w:hAnsi="Arial" w:cs="Arial"/>
          <w:sz w:val="22"/>
          <w:szCs w:val="22"/>
        </w:rPr>
        <w:t>Value Chain</w:t>
      </w:r>
      <w:r w:rsidRPr="001F4EF9">
        <w:rPr>
          <w:rFonts w:ascii="Arial" w:hAnsi="Arial" w:cs="Arial"/>
          <w:sz w:val="22"/>
          <w:szCs w:val="22"/>
        </w:rPr>
        <w:t xml:space="preserve">, </w:t>
      </w:r>
      <w:r w:rsidRPr="001F4EF9">
        <w:rPr>
          <w:rStyle w:val="Strong"/>
          <w:rFonts w:ascii="Arial" w:hAnsi="Arial" w:cs="Arial"/>
          <w:sz w:val="22"/>
          <w:szCs w:val="22"/>
        </w:rPr>
        <w:t>Resource-Based View (RBV)</w:t>
      </w:r>
      <w:r w:rsidRPr="001F4EF9">
        <w:rPr>
          <w:rFonts w:ascii="Arial" w:hAnsi="Arial" w:cs="Arial"/>
          <w:sz w:val="22"/>
          <w:szCs w:val="22"/>
        </w:rPr>
        <w:t xml:space="preserve">, </w:t>
      </w:r>
      <w:r w:rsidRPr="001F4EF9">
        <w:rPr>
          <w:rStyle w:val="Strong"/>
          <w:rFonts w:ascii="Arial" w:hAnsi="Arial" w:cs="Arial"/>
          <w:sz w:val="22"/>
          <w:szCs w:val="22"/>
        </w:rPr>
        <w:t>VRIO</w:t>
      </w:r>
      <w:r w:rsidRPr="001F4EF9">
        <w:rPr>
          <w:rFonts w:ascii="Arial" w:hAnsi="Arial" w:cs="Arial"/>
          <w:sz w:val="22"/>
          <w:szCs w:val="22"/>
        </w:rPr>
        <w:t xml:space="preserve">, and </w:t>
      </w:r>
      <w:r w:rsidRPr="001F4EF9">
        <w:rPr>
          <w:rStyle w:val="Strong"/>
          <w:rFonts w:ascii="Arial" w:hAnsi="Arial" w:cs="Arial"/>
          <w:sz w:val="22"/>
          <w:szCs w:val="22"/>
        </w:rPr>
        <w:t>SWOT</w:t>
      </w:r>
      <w:r w:rsidRPr="001F4EF9">
        <w:rPr>
          <w:rFonts w:ascii="Arial" w:hAnsi="Arial" w:cs="Arial"/>
          <w:sz w:val="22"/>
          <w:szCs w:val="22"/>
        </w:rPr>
        <w:t xml:space="preserve"> frameworks. It identifies key external opportunities in green technology, digital transformation, and market diversification, while highlighting threats such as regulatory volatility and intense competition. Internal analysis reveals strong manufacturing capabilities and innovation capacity, but also structural weaknesses such as dependence on EU supply chains and limited agility in EV market adaptation.</w:t>
      </w:r>
    </w:p>
    <w:p w14:paraId="695C55B1" w14:textId="77777777" w:rsidR="00EC49FC" w:rsidRPr="001F4EF9" w:rsidRDefault="00EC49FC" w:rsidP="00197003">
      <w:pPr>
        <w:pStyle w:val="NormalWeb"/>
        <w:spacing w:line="360" w:lineRule="auto"/>
        <w:ind w:firstLine="360"/>
        <w:rPr>
          <w:rFonts w:ascii="Arial" w:hAnsi="Arial" w:cs="Arial"/>
          <w:sz w:val="22"/>
          <w:szCs w:val="22"/>
        </w:rPr>
      </w:pPr>
      <w:r w:rsidRPr="001F4EF9">
        <w:rPr>
          <w:rFonts w:ascii="Arial" w:hAnsi="Arial" w:cs="Arial"/>
          <w:sz w:val="22"/>
          <w:szCs w:val="22"/>
        </w:rPr>
        <w:t>Strategic options are proposed to strengthen Nissan’s market position, including expanding EV production, leveraging digital transformation, developing strategic partnerships, and enhancing supply chain resilience. The report concludes with actionable recommendations for sustainable long-term growth in an increasingly complex industry environment.</w:t>
      </w:r>
    </w:p>
    <w:p w14:paraId="6D8D14E5" w14:textId="3743F0C9" w:rsidR="001F4EF9" w:rsidRDefault="001F4EF9" w:rsidP="00197003">
      <w:pPr>
        <w:pStyle w:val="Heading1"/>
        <w:numPr>
          <w:ilvl w:val="0"/>
          <w:numId w:val="10"/>
        </w:numPr>
        <w:spacing w:line="360" w:lineRule="auto"/>
        <w:jc w:val="center"/>
        <w:rPr>
          <w:rStyle w:val="Strong"/>
          <w:rFonts w:ascii="Arial" w:hAnsi="Arial" w:cs="Arial"/>
          <w:color w:val="000000" w:themeColor="text1"/>
          <w:sz w:val="28"/>
          <w:szCs w:val="28"/>
        </w:rPr>
      </w:pPr>
      <w:bookmarkStart w:id="1" w:name="_Toc211848545"/>
      <w:r w:rsidRPr="008B3B5C">
        <w:rPr>
          <w:rStyle w:val="Strong"/>
          <w:rFonts w:ascii="Arial" w:hAnsi="Arial" w:cs="Arial"/>
          <w:color w:val="000000" w:themeColor="text1"/>
          <w:sz w:val="28"/>
          <w:szCs w:val="28"/>
        </w:rPr>
        <w:t>Introduction</w:t>
      </w:r>
      <w:bookmarkEnd w:id="1"/>
    </w:p>
    <w:p w14:paraId="4711475C" w14:textId="068BAF8F" w:rsidR="00FF626D" w:rsidRPr="00FF626D" w:rsidRDefault="00AE5640" w:rsidP="00FF626D">
      <w:pPr>
        <w:spacing w:line="360" w:lineRule="auto"/>
        <w:ind w:firstLine="360"/>
        <w:rPr>
          <w:rFonts w:ascii="Arial" w:hAnsi="Arial" w:cs="Arial"/>
          <w:lang w:eastAsia="en-GB"/>
        </w:rPr>
      </w:pPr>
      <w:r>
        <w:rPr>
          <w:noProof/>
        </w:rPr>
        <w:drawing>
          <wp:anchor distT="0" distB="0" distL="114300" distR="114300" simplePos="0" relativeHeight="251658240" behindDoc="0" locked="0" layoutInCell="1" allowOverlap="1" wp14:anchorId="0F37A204" wp14:editId="659277CB">
            <wp:simplePos x="0" y="0"/>
            <wp:positionH relativeFrom="margin">
              <wp:align>left</wp:align>
            </wp:positionH>
            <wp:positionV relativeFrom="paragraph">
              <wp:posOffset>1541780</wp:posOffset>
            </wp:positionV>
            <wp:extent cx="3019425" cy="1876425"/>
            <wp:effectExtent l="0" t="0" r="9525" b="9525"/>
            <wp:wrapSquare wrapText="bothSides"/>
            <wp:docPr id="1" name="Picture 1" descr="Nissan Motor Manufacturing UK | production, car assembly fa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ssan Motor Manufacturing UK | production, car assembly facto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9425" cy="187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626D" w:rsidRPr="00FF626D">
        <w:rPr>
          <w:rFonts w:ascii="Arial" w:hAnsi="Arial" w:cs="Arial"/>
          <w:lang w:eastAsia="en-GB"/>
        </w:rPr>
        <w:t>Strategic management plays a vital role in guiding organisations toward long-term success by aligning internal resources with external opportunities and threats (Johnson, Scholes and Whittington, 2020). It enables firms to anticipate market changes, respond to competition, and sustain performance through innovation and adaptability (Grant, 2021). In today’s volatile global business environment, particularly within the automotive sector, strategic management is essential for achieving resilience, efficiency, and sustainable growth.</w:t>
      </w:r>
      <w:r w:rsidRPr="00AE5640">
        <w:t xml:space="preserve"> </w:t>
      </w:r>
    </w:p>
    <w:p w14:paraId="7CEB687D" w14:textId="3B2D872F" w:rsidR="00FF626D" w:rsidRPr="00FF626D" w:rsidRDefault="00FF626D" w:rsidP="00FF626D">
      <w:pPr>
        <w:spacing w:line="360" w:lineRule="auto"/>
        <w:ind w:firstLine="360"/>
        <w:rPr>
          <w:rFonts w:ascii="Arial" w:hAnsi="Arial" w:cs="Arial"/>
          <w:lang w:eastAsia="en-GB"/>
        </w:rPr>
      </w:pPr>
      <w:r w:rsidRPr="00FF626D">
        <w:rPr>
          <w:rFonts w:ascii="Arial" w:hAnsi="Arial" w:cs="Arial"/>
          <w:lang w:eastAsia="en-GB"/>
        </w:rPr>
        <w:t xml:space="preserve">This report focuses on </w:t>
      </w:r>
      <w:r w:rsidRPr="00FF626D">
        <w:rPr>
          <w:rFonts w:ascii="Arial" w:hAnsi="Arial" w:cs="Arial"/>
          <w:b/>
          <w:bCs/>
          <w:lang w:eastAsia="en-GB"/>
        </w:rPr>
        <w:t>Nissan Motor Manufacturing (UK) Ltd</w:t>
      </w:r>
      <w:r w:rsidRPr="00FF626D">
        <w:rPr>
          <w:rFonts w:ascii="Arial" w:hAnsi="Arial" w:cs="Arial"/>
          <w:lang w:eastAsia="en-GB"/>
        </w:rPr>
        <w:t xml:space="preserve">, commonly known as </w:t>
      </w:r>
      <w:r w:rsidRPr="00FF626D">
        <w:rPr>
          <w:rFonts w:ascii="Arial" w:hAnsi="Arial" w:cs="Arial"/>
          <w:b/>
          <w:bCs/>
          <w:lang w:eastAsia="en-GB"/>
        </w:rPr>
        <w:t>Nissan UK</w:t>
      </w:r>
      <w:r w:rsidRPr="00FF626D">
        <w:rPr>
          <w:rFonts w:ascii="Arial" w:hAnsi="Arial" w:cs="Arial"/>
          <w:lang w:eastAsia="en-GB"/>
        </w:rPr>
        <w:t xml:space="preserve">, a subsidiary of the Japanese multinational Nissan Motor Corporation. Established in 1986, the company operates its flagship manufacturing facility in Sunderland, </w:t>
      </w:r>
      <w:r w:rsidRPr="00FF626D">
        <w:rPr>
          <w:rFonts w:ascii="Arial" w:hAnsi="Arial" w:cs="Arial"/>
          <w:lang w:eastAsia="en-GB"/>
        </w:rPr>
        <w:lastRenderedPageBreak/>
        <w:t xml:space="preserve">which is recognised as one of Europe’s most productive car plants. Nissan UK produces several key models, </w:t>
      </w:r>
      <w:r w:rsidR="00F9130D" w:rsidRPr="00FF626D">
        <w:rPr>
          <w:rFonts w:ascii="Arial" w:hAnsi="Arial" w:cs="Arial"/>
          <w:lang w:eastAsia="en-GB"/>
        </w:rPr>
        <w:t>counting</w:t>
      </w:r>
      <w:r w:rsidRPr="00FF626D">
        <w:rPr>
          <w:rFonts w:ascii="Arial" w:hAnsi="Arial" w:cs="Arial"/>
          <w:lang w:eastAsia="en-GB"/>
        </w:rPr>
        <w:t xml:space="preserve"> the </w:t>
      </w:r>
      <w:r w:rsidRPr="00FF626D">
        <w:rPr>
          <w:rFonts w:ascii="Arial" w:hAnsi="Arial" w:cs="Arial"/>
          <w:b/>
          <w:bCs/>
          <w:lang w:eastAsia="en-GB"/>
        </w:rPr>
        <w:t>Qashqai</w:t>
      </w:r>
      <w:r w:rsidRPr="00FF626D">
        <w:rPr>
          <w:rFonts w:ascii="Arial" w:hAnsi="Arial" w:cs="Arial"/>
          <w:lang w:eastAsia="en-GB"/>
        </w:rPr>
        <w:t xml:space="preserve">, </w:t>
      </w:r>
      <w:r w:rsidRPr="00FF626D">
        <w:rPr>
          <w:rFonts w:ascii="Arial" w:hAnsi="Arial" w:cs="Arial"/>
          <w:b/>
          <w:bCs/>
          <w:lang w:eastAsia="en-GB"/>
        </w:rPr>
        <w:t>Juke</w:t>
      </w:r>
      <w:r w:rsidRPr="00FF626D">
        <w:rPr>
          <w:rFonts w:ascii="Arial" w:hAnsi="Arial" w:cs="Arial"/>
          <w:lang w:eastAsia="en-GB"/>
        </w:rPr>
        <w:t xml:space="preserve">, and </w:t>
      </w:r>
      <w:r w:rsidRPr="00FF626D">
        <w:rPr>
          <w:rFonts w:ascii="Arial" w:hAnsi="Arial" w:cs="Arial"/>
          <w:b/>
          <w:bCs/>
          <w:lang w:eastAsia="en-GB"/>
        </w:rPr>
        <w:t>Leaf</w:t>
      </w:r>
      <w:r w:rsidRPr="00FF626D">
        <w:rPr>
          <w:rFonts w:ascii="Arial" w:hAnsi="Arial" w:cs="Arial"/>
          <w:lang w:eastAsia="en-GB"/>
        </w:rPr>
        <w:t>, the latter being one of the world’s first mass-produced electric vehicles (Nissan, 2024). The company employs thousands of skilled workers and significantly contributes to the UK economy through exports and technological innovation.</w:t>
      </w:r>
    </w:p>
    <w:p w14:paraId="6E147BF8" w14:textId="1AAAB00B" w:rsidR="00FF626D" w:rsidRPr="00FF626D" w:rsidRDefault="00FF626D" w:rsidP="00FF626D">
      <w:pPr>
        <w:spacing w:line="360" w:lineRule="auto"/>
        <w:ind w:firstLine="360"/>
        <w:rPr>
          <w:rFonts w:ascii="Arial" w:hAnsi="Arial" w:cs="Arial"/>
          <w:lang w:eastAsia="en-GB"/>
        </w:rPr>
      </w:pPr>
      <w:r w:rsidRPr="00FF626D">
        <w:rPr>
          <w:rFonts w:ascii="Arial" w:hAnsi="Arial" w:cs="Arial"/>
          <w:lang w:eastAsia="en-GB"/>
        </w:rPr>
        <w:t xml:space="preserve">Nissan’s </w:t>
      </w:r>
      <w:r w:rsidRPr="00FF626D">
        <w:rPr>
          <w:rFonts w:ascii="Arial" w:hAnsi="Arial" w:cs="Arial"/>
          <w:b/>
          <w:bCs/>
          <w:lang w:eastAsia="en-GB"/>
        </w:rPr>
        <w:t>vision</w:t>
      </w:r>
      <w:r w:rsidRPr="00FF626D">
        <w:rPr>
          <w:rFonts w:ascii="Arial" w:hAnsi="Arial" w:cs="Arial"/>
          <w:lang w:eastAsia="en-GB"/>
        </w:rPr>
        <w:t xml:space="preserve"> is “to enrich people’s lives” through accessible and sustainable mobility, while its </w:t>
      </w:r>
      <w:r w:rsidRPr="00FF626D">
        <w:rPr>
          <w:rFonts w:ascii="Arial" w:hAnsi="Arial" w:cs="Arial"/>
          <w:b/>
          <w:bCs/>
          <w:lang w:eastAsia="en-GB"/>
        </w:rPr>
        <w:t>mission</w:t>
      </w:r>
      <w:r w:rsidRPr="00FF626D">
        <w:rPr>
          <w:rFonts w:ascii="Arial" w:hAnsi="Arial" w:cs="Arial"/>
          <w:lang w:eastAsia="en-GB"/>
        </w:rPr>
        <w:t xml:space="preserve"> focuses on delivering innovative, high-quality vehicles that combine performance with environmental responsibility (Nissan, 2024). The firm </w:t>
      </w:r>
      <w:r w:rsidR="00837A72" w:rsidRPr="00FF626D">
        <w:rPr>
          <w:rFonts w:ascii="Arial" w:hAnsi="Arial" w:cs="Arial"/>
          <w:lang w:eastAsia="en-GB"/>
        </w:rPr>
        <w:t>goals</w:t>
      </w:r>
      <w:r w:rsidRPr="00FF626D">
        <w:rPr>
          <w:rFonts w:ascii="Arial" w:hAnsi="Arial" w:cs="Arial"/>
          <w:lang w:eastAsia="en-GB"/>
        </w:rPr>
        <w:t xml:space="preserve"> to achieve carbon neutrality across its operations and product lifecycle by 2050.</w:t>
      </w:r>
    </w:p>
    <w:p w14:paraId="6307A4A3" w14:textId="415C2E92" w:rsidR="00197003" w:rsidRPr="00AE5640" w:rsidRDefault="00FF626D" w:rsidP="00AE5640">
      <w:pPr>
        <w:spacing w:line="360" w:lineRule="auto"/>
        <w:ind w:firstLine="360"/>
        <w:rPr>
          <w:rFonts w:ascii="Arial" w:hAnsi="Arial" w:cs="Arial"/>
          <w:lang w:eastAsia="en-GB"/>
        </w:rPr>
      </w:pPr>
      <w:r w:rsidRPr="00FF626D">
        <w:rPr>
          <w:rFonts w:ascii="Arial" w:hAnsi="Arial" w:cs="Arial"/>
          <w:lang w:eastAsia="en-GB"/>
        </w:rPr>
        <w:t>T</w:t>
      </w:r>
      <w:r>
        <w:rPr>
          <w:rFonts w:ascii="Arial" w:hAnsi="Arial" w:cs="Arial"/>
          <w:lang w:eastAsia="en-GB"/>
        </w:rPr>
        <w:t xml:space="preserve">he </w:t>
      </w:r>
      <w:r w:rsidRPr="00FF626D">
        <w:rPr>
          <w:rFonts w:ascii="Arial" w:hAnsi="Arial" w:cs="Arial"/>
          <w:lang w:eastAsia="en-GB"/>
        </w:rPr>
        <w:t xml:space="preserve">introduction sets the foundation for analysing the </w:t>
      </w:r>
      <w:r w:rsidRPr="00FF626D">
        <w:rPr>
          <w:rFonts w:ascii="Arial" w:hAnsi="Arial" w:cs="Arial"/>
          <w:b/>
          <w:bCs/>
          <w:lang w:eastAsia="en-GB"/>
        </w:rPr>
        <w:t>strategic influences</w:t>
      </w:r>
      <w:r w:rsidRPr="00FF626D">
        <w:rPr>
          <w:rFonts w:ascii="Arial" w:hAnsi="Arial" w:cs="Arial"/>
          <w:lang w:eastAsia="en-GB"/>
        </w:rPr>
        <w:t xml:space="preserve"> impacting Nissan UK and developing </w:t>
      </w:r>
      <w:r w:rsidRPr="00FF626D">
        <w:rPr>
          <w:rFonts w:ascii="Arial" w:hAnsi="Arial" w:cs="Arial"/>
          <w:b/>
          <w:bCs/>
          <w:lang w:eastAsia="en-GB"/>
        </w:rPr>
        <w:t>forward-looking strategies</w:t>
      </w:r>
      <w:r w:rsidRPr="00FF626D">
        <w:rPr>
          <w:rFonts w:ascii="Arial" w:hAnsi="Arial" w:cs="Arial"/>
          <w:lang w:eastAsia="en-GB"/>
        </w:rPr>
        <w:t xml:space="preserve"> to enhance its competitive advantage within the evolving automotive landscape. The following sections assess the company’s internal and external environments and propose strategic recommendations for sustainable growth.</w:t>
      </w:r>
    </w:p>
    <w:p w14:paraId="6D899310" w14:textId="10F92279" w:rsidR="001F4EF9" w:rsidRPr="008B3B5C" w:rsidRDefault="001F4EF9" w:rsidP="008B3B5C">
      <w:pPr>
        <w:pStyle w:val="Heading1"/>
        <w:jc w:val="center"/>
        <w:rPr>
          <w:rStyle w:val="Strong"/>
          <w:rFonts w:ascii="Arial" w:hAnsi="Arial" w:cs="Arial"/>
          <w:color w:val="000000" w:themeColor="text1"/>
          <w:sz w:val="28"/>
          <w:szCs w:val="28"/>
        </w:rPr>
      </w:pPr>
      <w:bookmarkStart w:id="2" w:name="_Toc211848546"/>
      <w:r w:rsidRPr="008B3B5C">
        <w:rPr>
          <w:rStyle w:val="Strong"/>
          <w:rFonts w:ascii="Arial" w:hAnsi="Arial" w:cs="Arial"/>
          <w:color w:val="000000" w:themeColor="text1"/>
          <w:sz w:val="28"/>
          <w:szCs w:val="28"/>
        </w:rPr>
        <w:t>2. Strategy Analysis</w:t>
      </w:r>
      <w:bookmarkEnd w:id="2"/>
    </w:p>
    <w:p w14:paraId="40AC40BE" w14:textId="77777777" w:rsidR="001F4EF9" w:rsidRPr="001F4EF9" w:rsidRDefault="001F4EF9" w:rsidP="001F4EF9"/>
    <w:p w14:paraId="51DBBAF5" w14:textId="77777777" w:rsidR="001F4EF9" w:rsidRPr="00B50DBC" w:rsidRDefault="001F4EF9" w:rsidP="00B50DBC">
      <w:pPr>
        <w:pStyle w:val="Heading2"/>
        <w:spacing w:line="360" w:lineRule="auto"/>
        <w:rPr>
          <w:rFonts w:ascii="Arial" w:hAnsi="Arial" w:cs="Arial"/>
          <w:color w:val="000000" w:themeColor="text1"/>
          <w:sz w:val="24"/>
          <w:szCs w:val="24"/>
        </w:rPr>
      </w:pPr>
      <w:bookmarkStart w:id="3" w:name="_Toc211848547"/>
      <w:r w:rsidRPr="00B50DBC">
        <w:rPr>
          <w:rStyle w:val="Strong"/>
          <w:rFonts w:ascii="Arial" w:hAnsi="Arial" w:cs="Arial"/>
          <w:color w:val="000000" w:themeColor="text1"/>
          <w:sz w:val="24"/>
          <w:szCs w:val="24"/>
        </w:rPr>
        <w:t>2.1 External Environment Audit</w:t>
      </w:r>
      <w:bookmarkEnd w:id="3"/>
    </w:p>
    <w:p w14:paraId="75A02370" w14:textId="3E590CC6" w:rsidR="001F4EF9" w:rsidRDefault="001F4EF9" w:rsidP="00B50DBC">
      <w:pPr>
        <w:pStyle w:val="Heading3"/>
        <w:spacing w:line="360" w:lineRule="auto"/>
        <w:rPr>
          <w:rStyle w:val="Strong"/>
          <w:rFonts w:ascii="Arial" w:hAnsi="Arial" w:cs="Arial"/>
          <w:color w:val="000000" w:themeColor="text1"/>
          <w:sz w:val="22"/>
          <w:szCs w:val="22"/>
        </w:rPr>
      </w:pPr>
      <w:bookmarkStart w:id="4" w:name="_Toc211848548"/>
      <w:r w:rsidRPr="00B50DBC">
        <w:rPr>
          <w:rStyle w:val="Strong"/>
          <w:rFonts w:ascii="Arial" w:hAnsi="Arial" w:cs="Arial"/>
          <w:color w:val="000000" w:themeColor="text1"/>
          <w:sz w:val="22"/>
          <w:szCs w:val="22"/>
        </w:rPr>
        <w:t>2.1.1 PESTLE Analysis</w:t>
      </w:r>
      <w:bookmarkEnd w:id="4"/>
    </w:p>
    <w:p w14:paraId="794BE909" w14:textId="77777777" w:rsidR="00B50DBC" w:rsidRPr="00B50DBC" w:rsidRDefault="00B50DBC" w:rsidP="00B50DBC"/>
    <w:tbl>
      <w:tblPr>
        <w:tblStyle w:val="TableGrid"/>
        <w:tblW w:w="9059" w:type="dxa"/>
        <w:tblLook w:val="04A0" w:firstRow="1" w:lastRow="0" w:firstColumn="1" w:lastColumn="0" w:noHBand="0" w:noVBand="1"/>
      </w:tblPr>
      <w:tblGrid>
        <w:gridCol w:w="3017"/>
        <w:gridCol w:w="3018"/>
        <w:gridCol w:w="11"/>
        <w:gridCol w:w="3013"/>
      </w:tblGrid>
      <w:tr w:rsidR="001F4EF9" w14:paraId="7680257D" w14:textId="77777777" w:rsidTr="008B3B5C">
        <w:trPr>
          <w:trHeight w:val="267"/>
        </w:trPr>
        <w:tc>
          <w:tcPr>
            <w:tcW w:w="3019" w:type="dxa"/>
          </w:tcPr>
          <w:p w14:paraId="130D9ECB" w14:textId="76580981" w:rsidR="001F4EF9" w:rsidRDefault="001F4EF9" w:rsidP="008B3B5C">
            <w:r w:rsidRPr="001F4EF9">
              <w:rPr>
                <w:rFonts w:ascii="Arial" w:hAnsi="Arial" w:cs="Arial"/>
                <w:b/>
                <w:bCs/>
                <w:color w:val="000000" w:themeColor="text1"/>
              </w:rPr>
              <w:t>Factor</w:t>
            </w:r>
          </w:p>
        </w:tc>
        <w:tc>
          <w:tcPr>
            <w:tcW w:w="3019" w:type="dxa"/>
          </w:tcPr>
          <w:p w14:paraId="0C918D8B" w14:textId="0AB5B6F0" w:rsidR="001F4EF9" w:rsidRDefault="001F4EF9" w:rsidP="008B3B5C">
            <w:r w:rsidRPr="001F4EF9">
              <w:rPr>
                <w:rFonts w:ascii="Arial" w:hAnsi="Arial" w:cs="Arial"/>
                <w:b/>
                <w:bCs/>
                <w:color w:val="000000" w:themeColor="text1"/>
              </w:rPr>
              <w:t>Key Issues</w:t>
            </w:r>
          </w:p>
        </w:tc>
        <w:tc>
          <w:tcPr>
            <w:tcW w:w="3021" w:type="dxa"/>
            <w:gridSpan w:val="2"/>
          </w:tcPr>
          <w:p w14:paraId="46EFBF06" w14:textId="30E764AF" w:rsidR="001F4EF9" w:rsidRDefault="001F4EF9" w:rsidP="008B3B5C">
            <w:r w:rsidRPr="001F4EF9">
              <w:rPr>
                <w:rFonts w:ascii="Arial" w:hAnsi="Arial" w:cs="Arial"/>
                <w:b/>
                <w:bCs/>
                <w:color w:val="000000" w:themeColor="text1"/>
              </w:rPr>
              <w:t>Strategic Implications</w:t>
            </w:r>
          </w:p>
        </w:tc>
      </w:tr>
      <w:tr w:rsidR="00E316E8" w14:paraId="112A1600" w14:textId="77777777" w:rsidTr="008B3B5C">
        <w:trPr>
          <w:trHeight w:val="1590"/>
        </w:trPr>
        <w:tc>
          <w:tcPr>
            <w:tcW w:w="3019" w:type="dxa"/>
          </w:tcPr>
          <w:p w14:paraId="2D2B2439" w14:textId="596384A3" w:rsidR="00E316E8" w:rsidRDefault="00E316E8" w:rsidP="008B3B5C">
            <w:r w:rsidRPr="001F4EF9">
              <w:rPr>
                <w:rStyle w:val="Strong"/>
                <w:rFonts w:ascii="Arial" w:hAnsi="Arial" w:cs="Arial"/>
                <w:color w:val="000000" w:themeColor="text1"/>
              </w:rPr>
              <w:t>Political</w:t>
            </w:r>
          </w:p>
        </w:tc>
        <w:tc>
          <w:tcPr>
            <w:tcW w:w="3019" w:type="dxa"/>
          </w:tcPr>
          <w:p w14:paraId="6B196344" w14:textId="7976F1D2" w:rsidR="00E316E8" w:rsidRDefault="00E316E8" w:rsidP="008B3B5C">
            <w:r w:rsidRPr="001F4EF9">
              <w:rPr>
                <w:rFonts w:ascii="Arial" w:hAnsi="Arial" w:cs="Arial"/>
                <w:color w:val="000000" w:themeColor="text1"/>
              </w:rPr>
              <w:t>Post-Brexit trade policies, government incentives for EVs, and global trade tensions influence production and export decisions.</w:t>
            </w:r>
          </w:p>
        </w:tc>
        <w:tc>
          <w:tcPr>
            <w:tcW w:w="3021" w:type="dxa"/>
            <w:gridSpan w:val="2"/>
          </w:tcPr>
          <w:p w14:paraId="48020942" w14:textId="1FB8E1DE" w:rsidR="00E316E8" w:rsidRDefault="00E316E8" w:rsidP="008B3B5C">
            <w:r w:rsidRPr="001F4EF9">
              <w:rPr>
                <w:rFonts w:ascii="Arial" w:hAnsi="Arial" w:cs="Arial"/>
                <w:color w:val="000000" w:themeColor="text1"/>
              </w:rPr>
              <w:t>Nissan benefits from UK government’s EV support (e.g., battery plant grants) but faces customs barriers with the EU.</w:t>
            </w:r>
          </w:p>
        </w:tc>
      </w:tr>
      <w:tr w:rsidR="00E316E8" w14:paraId="063A10CB" w14:textId="77777777" w:rsidTr="008B3B5C">
        <w:trPr>
          <w:trHeight w:val="1337"/>
        </w:trPr>
        <w:tc>
          <w:tcPr>
            <w:tcW w:w="3019" w:type="dxa"/>
          </w:tcPr>
          <w:p w14:paraId="169ABC7E" w14:textId="53FE0D91" w:rsidR="00E316E8" w:rsidRDefault="00E316E8" w:rsidP="008B3B5C">
            <w:r w:rsidRPr="001F4EF9">
              <w:rPr>
                <w:rStyle w:val="Strong"/>
                <w:rFonts w:ascii="Arial" w:hAnsi="Arial" w:cs="Arial"/>
                <w:color w:val="000000" w:themeColor="text1"/>
              </w:rPr>
              <w:t>Economic</w:t>
            </w:r>
          </w:p>
        </w:tc>
        <w:tc>
          <w:tcPr>
            <w:tcW w:w="3019" w:type="dxa"/>
          </w:tcPr>
          <w:p w14:paraId="493DF3FB" w14:textId="734C2FB3" w:rsidR="00E316E8" w:rsidRDefault="00E316E8" w:rsidP="008B3B5C">
            <w:r w:rsidRPr="001F4EF9">
              <w:rPr>
                <w:rFonts w:ascii="Arial" w:hAnsi="Arial" w:cs="Arial"/>
                <w:color w:val="000000" w:themeColor="text1"/>
              </w:rPr>
              <w:t>Inflation, currency volatility, and supply chain disruptions impact costs. Global economic slowdown may affect consumer spending.</w:t>
            </w:r>
          </w:p>
        </w:tc>
        <w:tc>
          <w:tcPr>
            <w:tcW w:w="3021" w:type="dxa"/>
            <w:gridSpan w:val="2"/>
          </w:tcPr>
          <w:p w14:paraId="68C5C597" w14:textId="2FB89DCC" w:rsidR="00E316E8" w:rsidRDefault="00E316E8" w:rsidP="008B3B5C">
            <w:r w:rsidRPr="001F4EF9">
              <w:rPr>
                <w:rFonts w:ascii="Arial" w:hAnsi="Arial" w:cs="Arial"/>
                <w:color w:val="000000" w:themeColor="text1"/>
              </w:rPr>
              <w:t>Need for cost efficiency and diversified sourcing strategies.</w:t>
            </w:r>
          </w:p>
        </w:tc>
      </w:tr>
      <w:tr w:rsidR="00E316E8" w14:paraId="52688DFB" w14:textId="77777777" w:rsidTr="008B3B5C">
        <w:trPr>
          <w:trHeight w:val="1070"/>
        </w:trPr>
        <w:tc>
          <w:tcPr>
            <w:tcW w:w="3019" w:type="dxa"/>
          </w:tcPr>
          <w:p w14:paraId="7CA2F48A" w14:textId="60B867EA" w:rsidR="00E316E8" w:rsidRDefault="00E316E8" w:rsidP="008B3B5C">
            <w:r w:rsidRPr="001F4EF9">
              <w:rPr>
                <w:rStyle w:val="Strong"/>
                <w:rFonts w:ascii="Arial" w:hAnsi="Arial" w:cs="Arial"/>
                <w:color w:val="000000" w:themeColor="text1"/>
              </w:rPr>
              <w:t>Social</w:t>
            </w:r>
          </w:p>
        </w:tc>
        <w:tc>
          <w:tcPr>
            <w:tcW w:w="3019" w:type="dxa"/>
          </w:tcPr>
          <w:p w14:paraId="128C4633" w14:textId="3EBFA814" w:rsidR="00E316E8" w:rsidRDefault="00E316E8" w:rsidP="008B3B5C">
            <w:r w:rsidRPr="001F4EF9">
              <w:rPr>
                <w:rFonts w:ascii="Arial" w:hAnsi="Arial" w:cs="Arial"/>
                <w:color w:val="000000" w:themeColor="text1"/>
              </w:rPr>
              <w:t>Increasing environmental awareness and changing mobility preferences (car-sharing, urban transport).</w:t>
            </w:r>
          </w:p>
        </w:tc>
        <w:tc>
          <w:tcPr>
            <w:tcW w:w="3021" w:type="dxa"/>
            <w:gridSpan w:val="2"/>
          </w:tcPr>
          <w:p w14:paraId="2A6DD3F1" w14:textId="666610A6" w:rsidR="00E316E8" w:rsidRDefault="00E316E8" w:rsidP="008B3B5C">
            <w:r w:rsidRPr="001F4EF9">
              <w:rPr>
                <w:rFonts w:ascii="Arial" w:hAnsi="Arial" w:cs="Arial"/>
                <w:color w:val="000000" w:themeColor="text1"/>
              </w:rPr>
              <w:t>Growing demand for EVs and sustainable products supports Nissan’s Leaf and upcoming EV models.</w:t>
            </w:r>
          </w:p>
        </w:tc>
      </w:tr>
      <w:tr w:rsidR="00E316E8" w14:paraId="325F9C88" w14:textId="77777777" w:rsidTr="008B3B5C">
        <w:trPr>
          <w:trHeight w:val="1055"/>
        </w:trPr>
        <w:tc>
          <w:tcPr>
            <w:tcW w:w="3019" w:type="dxa"/>
          </w:tcPr>
          <w:p w14:paraId="101BB053" w14:textId="7CB3F78E" w:rsidR="00E316E8" w:rsidRDefault="00E316E8" w:rsidP="008B3B5C">
            <w:r w:rsidRPr="001F4EF9">
              <w:rPr>
                <w:rStyle w:val="Strong"/>
                <w:rFonts w:ascii="Arial" w:hAnsi="Arial" w:cs="Arial"/>
                <w:color w:val="000000" w:themeColor="text1"/>
              </w:rPr>
              <w:t>Technological</w:t>
            </w:r>
          </w:p>
        </w:tc>
        <w:tc>
          <w:tcPr>
            <w:tcW w:w="3019" w:type="dxa"/>
          </w:tcPr>
          <w:p w14:paraId="11482756" w14:textId="61E79F89" w:rsidR="00E316E8" w:rsidRPr="008B3B5C" w:rsidRDefault="00E316E8" w:rsidP="008B3B5C">
            <w:pPr>
              <w:rPr>
                <w:rFonts w:ascii="Arial" w:hAnsi="Arial" w:cs="Arial"/>
              </w:rPr>
            </w:pPr>
            <w:r w:rsidRPr="008B3B5C">
              <w:rPr>
                <w:rFonts w:ascii="Arial" w:hAnsi="Arial" w:cs="Arial"/>
              </w:rPr>
              <w:t>Rapid innovation in EV batteries, automation, and digital connectivity.</w:t>
            </w:r>
          </w:p>
        </w:tc>
        <w:tc>
          <w:tcPr>
            <w:tcW w:w="3021" w:type="dxa"/>
            <w:gridSpan w:val="2"/>
          </w:tcPr>
          <w:p w14:paraId="1819D726" w14:textId="500CE2C9" w:rsidR="00E316E8" w:rsidRDefault="00E316E8" w:rsidP="008B3B5C">
            <w:r w:rsidRPr="001F4EF9">
              <w:rPr>
                <w:rFonts w:ascii="Arial" w:hAnsi="Arial" w:cs="Arial"/>
                <w:color w:val="000000" w:themeColor="text1"/>
              </w:rPr>
              <w:t>Continuous R&amp;D investment required to stay competitive in technology and smart mobility.</w:t>
            </w:r>
          </w:p>
        </w:tc>
      </w:tr>
      <w:tr w:rsidR="00E316E8" w14:paraId="5CC62B97" w14:textId="77777777" w:rsidTr="008B3B5C">
        <w:trPr>
          <w:trHeight w:val="1055"/>
        </w:trPr>
        <w:tc>
          <w:tcPr>
            <w:tcW w:w="3019" w:type="dxa"/>
          </w:tcPr>
          <w:p w14:paraId="1904CB13" w14:textId="201AE7AC" w:rsidR="00E316E8" w:rsidRDefault="00E316E8" w:rsidP="008B3B5C">
            <w:r w:rsidRPr="001F4EF9">
              <w:rPr>
                <w:rStyle w:val="Strong"/>
                <w:rFonts w:ascii="Arial" w:hAnsi="Arial" w:cs="Arial"/>
                <w:color w:val="000000" w:themeColor="text1"/>
              </w:rPr>
              <w:lastRenderedPageBreak/>
              <w:t>Legal</w:t>
            </w:r>
          </w:p>
        </w:tc>
        <w:tc>
          <w:tcPr>
            <w:tcW w:w="3019" w:type="dxa"/>
          </w:tcPr>
          <w:p w14:paraId="67EF5E2F" w14:textId="18AE35B6" w:rsidR="00E316E8" w:rsidRDefault="00E316E8" w:rsidP="008B3B5C">
            <w:r w:rsidRPr="001F4EF9">
              <w:rPr>
                <w:rFonts w:ascii="Arial" w:hAnsi="Arial" w:cs="Arial"/>
                <w:color w:val="000000" w:themeColor="text1"/>
              </w:rPr>
              <w:t>Strict emission standards, employment laws, and data protection regulations.</w:t>
            </w:r>
          </w:p>
        </w:tc>
        <w:tc>
          <w:tcPr>
            <w:tcW w:w="3021" w:type="dxa"/>
            <w:gridSpan w:val="2"/>
          </w:tcPr>
          <w:p w14:paraId="64FD1973" w14:textId="5A01D69F" w:rsidR="00E316E8" w:rsidRPr="008B3B5C" w:rsidRDefault="008B3B5C" w:rsidP="008B3B5C">
            <w:pPr>
              <w:rPr>
                <w:rFonts w:ascii="Arial" w:hAnsi="Arial" w:cs="Arial"/>
              </w:rPr>
            </w:pPr>
            <w:r w:rsidRPr="008B3B5C">
              <w:rPr>
                <w:rFonts w:ascii="Arial" w:hAnsi="Arial" w:cs="Arial"/>
              </w:rPr>
              <w:t>Compliance requires innovation and potential cost increases.</w:t>
            </w:r>
          </w:p>
        </w:tc>
      </w:tr>
      <w:tr w:rsidR="008B3B5C" w14:paraId="279A77F0" w14:textId="5D348274" w:rsidTr="008B3B5C">
        <w:tblPrEx>
          <w:tblLook w:val="0000" w:firstRow="0" w:lastRow="0" w:firstColumn="0" w:lastColumn="0" w:noHBand="0" w:noVBand="0"/>
        </w:tblPrEx>
        <w:trPr>
          <w:trHeight w:val="510"/>
        </w:trPr>
        <w:tc>
          <w:tcPr>
            <w:tcW w:w="3015" w:type="dxa"/>
          </w:tcPr>
          <w:p w14:paraId="3DC0C6E1" w14:textId="2CC0786D" w:rsidR="008B3B5C" w:rsidRPr="008B3B5C" w:rsidRDefault="008B3B5C" w:rsidP="008B3B5C">
            <w:pPr>
              <w:rPr>
                <w:rFonts w:ascii="Arial" w:hAnsi="Arial" w:cs="Arial"/>
                <w:b/>
                <w:bCs/>
              </w:rPr>
            </w:pPr>
            <w:r w:rsidRPr="008B3B5C">
              <w:rPr>
                <w:rFonts w:ascii="Arial" w:hAnsi="Arial" w:cs="Arial"/>
                <w:b/>
                <w:bCs/>
              </w:rPr>
              <w:t>Environmental</w:t>
            </w:r>
          </w:p>
        </w:tc>
        <w:tc>
          <w:tcPr>
            <w:tcW w:w="3030" w:type="dxa"/>
            <w:gridSpan w:val="2"/>
          </w:tcPr>
          <w:p w14:paraId="512C4EAB" w14:textId="335B0858" w:rsidR="008B3B5C" w:rsidRPr="008B3B5C" w:rsidRDefault="008B3B5C" w:rsidP="008B3B5C">
            <w:pPr>
              <w:rPr>
                <w:rFonts w:ascii="Arial" w:hAnsi="Arial" w:cs="Arial"/>
              </w:rPr>
            </w:pPr>
            <w:r w:rsidRPr="008B3B5C">
              <w:rPr>
                <w:rFonts w:ascii="Arial" w:hAnsi="Arial" w:cs="Arial"/>
              </w:rPr>
              <w:t>Climate change targets and sustainability pressures necessitate green production and energy-efficient processes.</w:t>
            </w:r>
          </w:p>
        </w:tc>
        <w:tc>
          <w:tcPr>
            <w:tcW w:w="3014" w:type="dxa"/>
          </w:tcPr>
          <w:p w14:paraId="427D7E26" w14:textId="4AAB7AED" w:rsidR="008B3B5C" w:rsidRPr="008B3B5C" w:rsidRDefault="008B3B5C" w:rsidP="008B3B5C">
            <w:pPr>
              <w:rPr>
                <w:rFonts w:ascii="Arial" w:hAnsi="Arial" w:cs="Arial"/>
              </w:rPr>
            </w:pPr>
            <w:r w:rsidRPr="008B3B5C">
              <w:rPr>
                <w:rFonts w:ascii="Arial" w:hAnsi="Arial" w:cs="Arial"/>
              </w:rPr>
              <w:t>Nissan’s EV strategy aligns with UK’s net-zero goals.</w:t>
            </w:r>
          </w:p>
        </w:tc>
      </w:tr>
    </w:tbl>
    <w:p w14:paraId="4C654AC5" w14:textId="77777777" w:rsidR="001F4EF9" w:rsidRPr="001F4EF9" w:rsidRDefault="001F4EF9" w:rsidP="001F4EF9"/>
    <w:p w14:paraId="4A2DC608" w14:textId="4EF3A2E8" w:rsidR="001F4EF9" w:rsidRDefault="002E0473" w:rsidP="001F4EF9">
      <w:pPr>
        <w:pStyle w:val="NormalWeb"/>
      </w:pPr>
      <w:r w:rsidRPr="002E0473">
        <w:rPr>
          <w:rStyle w:val="Emphasis"/>
          <w:rFonts w:eastAsiaTheme="majorEastAsia"/>
          <w:b/>
          <w:bCs/>
          <w:i w:val="0"/>
          <w:iCs w:val="0"/>
        </w:rPr>
        <w:t>Tab. Nr. 1</w:t>
      </w:r>
      <w:r>
        <w:rPr>
          <w:rStyle w:val="Emphasis"/>
          <w:rFonts w:eastAsiaTheme="majorEastAsia"/>
        </w:rPr>
        <w:t xml:space="preserve">: </w:t>
      </w:r>
      <w:r w:rsidR="001F4EF9">
        <w:rPr>
          <w:rStyle w:val="Emphasis"/>
          <w:rFonts w:eastAsiaTheme="majorEastAsia"/>
        </w:rPr>
        <w:t>(Sources: OICA, 2024; SMMT, 2024; UK Gov, 2023; Grant, 2021)</w:t>
      </w:r>
    </w:p>
    <w:p w14:paraId="240CD49D" w14:textId="4CE40AF5" w:rsidR="00B50DBC" w:rsidRPr="00B50DBC" w:rsidRDefault="00B50DBC" w:rsidP="00B50DBC">
      <w:pPr>
        <w:pStyle w:val="Heading3"/>
        <w:rPr>
          <w:rFonts w:ascii="Arial" w:hAnsi="Arial" w:cs="Arial"/>
          <w:color w:val="000000" w:themeColor="text1"/>
          <w:sz w:val="22"/>
          <w:szCs w:val="22"/>
        </w:rPr>
      </w:pPr>
      <w:bookmarkStart w:id="5" w:name="_Toc211848549"/>
      <w:r>
        <w:rPr>
          <w:rStyle w:val="Strong"/>
          <w:rFonts w:ascii="Arial" w:hAnsi="Arial" w:cs="Arial"/>
          <w:color w:val="000000" w:themeColor="text1"/>
          <w:sz w:val="22"/>
          <w:szCs w:val="22"/>
        </w:rPr>
        <w:t xml:space="preserve">2.1.2. </w:t>
      </w:r>
      <w:r w:rsidRPr="00B50DBC">
        <w:rPr>
          <w:rStyle w:val="Strong"/>
          <w:rFonts w:ascii="Arial" w:hAnsi="Arial" w:cs="Arial"/>
          <w:color w:val="000000" w:themeColor="text1"/>
          <w:sz w:val="22"/>
          <w:szCs w:val="22"/>
        </w:rPr>
        <w:t>Porter’s Five Forces Analysis</w:t>
      </w:r>
      <w:bookmarkEnd w:id="5"/>
    </w:p>
    <w:p w14:paraId="1B455045" w14:textId="77777777" w:rsidR="00B50DBC" w:rsidRPr="00B50DBC" w:rsidRDefault="00B50DBC" w:rsidP="00B50DBC">
      <w:pPr>
        <w:pStyle w:val="NormalWeb"/>
        <w:spacing w:line="360" w:lineRule="auto"/>
        <w:ind w:firstLine="720"/>
        <w:jc w:val="both"/>
        <w:rPr>
          <w:rFonts w:ascii="Arial" w:hAnsi="Arial" w:cs="Arial"/>
          <w:sz w:val="22"/>
          <w:szCs w:val="22"/>
        </w:rPr>
      </w:pPr>
      <w:r w:rsidRPr="00B50DBC">
        <w:rPr>
          <w:rFonts w:ascii="Arial" w:hAnsi="Arial" w:cs="Arial"/>
          <w:sz w:val="22"/>
          <w:szCs w:val="22"/>
        </w:rPr>
        <w:t>Porter’s Five Forces framework provides a valuable lens for examining the competitive dynamics of the UK automotive industry in which Nissan operates (Porter, 2008). The model evaluates the competitive pressures that shape strategic behaviour, including the threat of new entrants, bargaining power of suppliers and buyers, the threat of substitutes, and the intensity of industry rivalry.</w:t>
      </w:r>
    </w:p>
    <w:p w14:paraId="4D253A9C" w14:textId="0AC5AE5F" w:rsidR="00B50DBC" w:rsidRPr="00B50DBC" w:rsidRDefault="00B50DBC" w:rsidP="00B50DBC">
      <w:pPr>
        <w:pStyle w:val="NormalWeb"/>
        <w:spacing w:line="360" w:lineRule="auto"/>
        <w:ind w:firstLine="720"/>
        <w:jc w:val="both"/>
        <w:rPr>
          <w:rFonts w:ascii="Arial" w:hAnsi="Arial" w:cs="Arial"/>
          <w:sz w:val="22"/>
          <w:szCs w:val="22"/>
        </w:rPr>
      </w:pPr>
      <w:r w:rsidRPr="00B50DBC">
        <w:rPr>
          <w:rStyle w:val="Strong"/>
          <w:rFonts w:ascii="Arial" w:hAnsi="Arial" w:cs="Arial"/>
          <w:sz w:val="22"/>
          <w:szCs w:val="22"/>
        </w:rPr>
        <w:t>The threat of new entrants</w:t>
      </w:r>
      <w:r w:rsidRPr="00B50DBC">
        <w:rPr>
          <w:rFonts w:ascii="Arial" w:hAnsi="Arial" w:cs="Arial"/>
          <w:sz w:val="22"/>
          <w:szCs w:val="22"/>
        </w:rPr>
        <w:t xml:space="preserve"> within the UK automotive market remains relatively moderate. High capital requirements, stringent safety and environmental regulations, and economies of scale act as substantial entry barriers (Grant, 2021). However, technological disruption</w:t>
      </w:r>
      <w:r w:rsidR="002E0473">
        <w:rPr>
          <w:rFonts w:ascii="Arial" w:hAnsi="Arial" w:cs="Arial"/>
          <w:sz w:val="22"/>
          <w:szCs w:val="22"/>
        </w:rPr>
        <w:t>-</w:t>
      </w:r>
      <w:r w:rsidRPr="00B50DBC">
        <w:rPr>
          <w:rFonts w:ascii="Arial" w:hAnsi="Arial" w:cs="Arial"/>
          <w:sz w:val="22"/>
          <w:szCs w:val="22"/>
        </w:rPr>
        <w:t>particularly in the electric vehicle (EV) segment</w:t>
      </w:r>
      <w:r w:rsidR="002E0473">
        <w:rPr>
          <w:rFonts w:ascii="Arial" w:hAnsi="Arial" w:cs="Arial"/>
          <w:sz w:val="22"/>
          <w:szCs w:val="22"/>
        </w:rPr>
        <w:t>-</w:t>
      </w:r>
      <w:r w:rsidRPr="00B50DBC">
        <w:rPr>
          <w:rFonts w:ascii="Arial" w:hAnsi="Arial" w:cs="Arial"/>
          <w:sz w:val="22"/>
          <w:szCs w:val="22"/>
        </w:rPr>
        <w:t>has reduced traditional entry barriers. Emerging firms such as Arrival and established global EV manufacturers like Tesla have entered the market with advanced digital and battery technologies, intensifying competition (SMMT, 2024). While these entrants may not yet match Nissan’s manufacturing scale, their innovation-driven strategies pose a credible long-term threat.</w:t>
      </w:r>
    </w:p>
    <w:p w14:paraId="284660D1" w14:textId="77777777" w:rsidR="00B50DBC" w:rsidRPr="00B50DBC" w:rsidRDefault="00B50DBC" w:rsidP="00B50DBC">
      <w:pPr>
        <w:pStyle w:val="NormalWeb"/>
        <w:spacing w:line="360" w:lineRule="auto"/>
        <w:ind w:firstLine="720"/>
        <w:jc w:val="both"/>
        <w:rPr>
          <w:rFonts w:ascii="Arial" w:hAnsi="Arial" w:cs="Arial"/>
          <w:sz w:val="22"/>
          <w:szCs w:val="22"/>
        </w:rPr>
      </w:pPr>
      <w:r w:rsidRPr="00B50DBC">
        <w:rPr>
          <w:rStyle w:val="Strong"/>
          <w:rFonts w:ascii="Arial" w:hAnsi="Arial" w:cs="Arial"/>
          <w:sz w:val="22"/>
          <w:szCs w:val="22"/>
        </w:rPr>
        <w:t>The bargaining power of suppliers</w:t>
      </w:r>
      <w:r w:rsidRPr="00B50DBC">
        <w:rPr>
          <w:rFonts w:ascii="Arial" w:hAnsi="Arial" w:cs="Arial"/>
          <w:sz w:val="22"/>
          <w:szCs w:val="22"/>
        </w:rPr>
        <w:t xml:space="preserve"> is comparatively high, particularly given the current global shortages of semiconductors and battery materials. The UK’s departure from the European Union (EU) has further complicated supply chain logistics, increasing reliance on specific international suppliers (Christopher, 2020). Nissan’s operations in Sunderland are dependent on imported components, many of which are sourced from EU-based suppliers. Although the company’s strategic partnership with Envision AESC for local battery production partially mitigates this risk, supplier power remains a pressing strategic concern due to limited domestic alternatives and rising raw material costs (Nissan, 2024).</w:t>
      </w:r>
    </w:p>
    <w:p w14:paraId="2EFD0C37" w14:textId="77777777" w:rsidR="00B50DBC" w:rsidRPr="00B50DBC" w:rsidRDefault="00B50DBC" w:rsidP="00B50DBC">
      <w:pPr>
        <w:pStyle w:val="NormalWeb"/>
        <w:spacing w:line="360" w:lineRule="auto"/>
        <w:ind w:firstLine="720"/>
        <w:jc w:val="both"/>
        <w:rPr>
          <w:rFonts w:ascii="Arial" w:hAnsi="Arial" w:cs="Arial"/>
          <w:sz w:val="22"/>
          <w:szCs w:val="22"/>
        </w:rPr>
      </w:pPr>
      <w:r w:rsidRPr="00B50DBC">
        <w:rPr>
          <w:rStyle w:val="Strong"/>
          <w:rFonts w:ascii="Arial" w:hAnsi="Arial" w:cs="Arial"/>
          <w:sz w:val="22"/>
          <w:szCs w:val="22"/>
        </w:rPr>
        <w:t>The bargaining power of buyers</w:t>
      </w:r>
      <w:r w:rsidRPr="00B50DBC">
        <w:rPr>
          <w:rFonts w:ascii="Arial" w:hAnsi="Arial" w:cs="Arial"/>
          <w:sz w:val="22"/>
          <w:szCs w:val="22"/>
        </w:rPr>
        <w:t xml:space="preserve"> in the UK automotive market is moderate to high. Consumers today have extensive choice across price ranges and powertrains, while their preferences are shifting towards sustainability, digital integration, and affordability (Statista, </w:t>
      </w:r>
      <w:r w:rsidRPr="00B50DBC">
        <w:rPr>
          <w:rFonts w:ascii="Arial" w:hAnsi="Arial" w:cs="Arial"/>
          <w:sz w:val="22"/>
          <w:szCs w:val="22"/>
        </w:rPr>
        <w:lastRenderedPageBreak/>
        <w:t>2024). The increasing transparency of online retailing enhances buyer information and price comparison, reducing brand loyalty. Consequently, Nissan must maintain competitive pricing and enhance product differentiation through technological innovation and customer experience improvements (Johnson et al., 2020).</w:t>
      </w:r>
    </w:p>
    <w:p w14:paraId="3CCA6F19" w14:textId="32780981" w:rsidR="00B50DBC" w:rsidRPr="00B50DBC" w:rsidRDefault="00B50DBC" w:rsidP="00B50DBC">
      <w:pPr>
        <w:pStyle w:val="NormalWeb"/>
        <w:spacing w:line="360" w:lineRule="auto"/>
        <w:ind w:firstLine="720"/>
        <w:jc w:val="both"/>
        <w:rPr>
          <w:rFonts w:ascii="Arial" w:hAnsi="Arial" w:cs="Arial"/>
          <w:sz w:val="22"/>
          <w:szCs w:val="22"/>
        </w:rPr>
      </w:pPr>
      <w:r w:rsidRPr="00B50DBC">
        <w:rPr>
          <w:rStyle w:val="Strong"/>
          <w:rFonts w:ascii="Arial" w:hAnsi="Arial" w:cs="Arial"/>
          <w:sz w:val="22"/>
          <w:szCs w:val="22"/>
        </w:rPr>
        <w:t>The threat of substitutes</w:t>
      </w:r>
      <w:r w:rsidRPr="00B50DBC">
        <w:rPr>
          <w:rFonts w:ascii="Arial" w:hAnsi="Arial" w:cs="Arial"/>
          <w:sz w:val="22"/>
          <w:szCs w:val="22"/>
        </w:rPr>
        <w:t xml:space="preserve"> is moderate. Although traditional car ownership remains dominant, the growing popularity of alternative mobility solutions</w:t>
      </w:r>
      <w:r w:rsidR="006827FE">
        <w:rPr>
          <w:rFonts w:ascii="Arial" w:hAnsi="Arial" w:cs="Arial"/>
          <w:sz w:val="22"/>
          <w:szCs w:val="22"/>
        </w:rPr>
        <w:t>-</w:t>
      </w:r>
      <w:r w:rsidRPr="00B50DBC">
        <w:rPr>
          <w:rFonts w:ascii="Arial" w:hAnsi="Arial" w:cs="Arial"/>
          <w:sz w:val="22"/>
          <w:szCs w:val="22"/>
        </w:rPr>
        <w:t>such as car-sharing, public transport, and ride-hailing services</w:t>
      </w:r>
      <w:r w:rsidR="006827FE">
        <w:rPr>
          <w:rFonts w:ascii="Arial" w:hAnsi="Arial" w:cs="Arial"/>
          <w:sz w:val="22"/>
          <w:szCs w:val="22"/>
        </w:rPr>
        <w:t>-</w:t>
      </w:r>
      <w:r w:rsidRPr="00B50DBC">
        <w:rPr>
          <w:rFonts w:ascii="Arial" w:hAnsi="Arial" w:cs="Arial"/>
          <w:sz w:val="22"/>
          <w:szCs w:val="22"/>
        </w:rPr>
        <w:t>has begun to influence urban markets (McKinsey &amp; Company, 2024). Moreover, government initiatives promoting sustainable public transport could gradually erode demand for personal vehicles. To counter this, Nissan must continue investing in value-added EV features and connected mobility services to retain relevance in evolving mobility ecosystems.</w:t>
      </w:r>
    </w:p>
    <w:p w14:paraId="3D14F91C" w14:textId="77777777" w:rsidR="00B50DBC" w:rsidRPr="00B50DBC" w:rsidRDefault="00B50DBC" w:rsidP="00B50DBC">
      <w:pPr>
        <w:pStyle w:val="NormalWeb"/>
        <w:spacing w:line="360" w:lineRule="auto"/>
        <w:ind w:firstLine="720"/>
        <w:jc w:val="both"/>
        <w:rPr>
          <w:rFonts w:ascii="Arial" w:hAnsi="Arial" w:cs="Arial"/>
          <w:sz w:val="22"/>
          <w:szCs w:val="22"/>
        </w:rPr>
      </w:pPr>
      <w:r w:rsidRPr="00B50DBC">
        <w:rPr>
          <w:rStyle w:val="Strong"/>
          <w:rFonts w:ascii="Arial" w:hAnsi="Arial" w:cs="Arial"/>
          <w:sz w:val="22"/>
          <w:szCs w:val="22"/>
        </w:rPr>
        <w:t>Competitive rivalry</w:t>
      </w:r>
      <w:r w:rsidRPr="00B50DBC">
        <w:rPr>
          <w:rFonts w:ascii="Arial" w:hAnsi="Arial" w:cs="Arial"/>
          <w:sz w:val="22"/>
          <w:szCs w:val="22"/>
        </w:rPr>
        <w:t xml:space="preserve"> in the automotive industry is particularly intense. The market is saturated with strong global competitors including Volkswagen, Toyota, Hyundai, and Tesla, each investing heavily in electrification, automation, and digitalisation (Deloitte, 2023). Price-based competition remains fierce, especially in the compact and SUV segments that dominate the UK market. Additionally, the transition towards EVs has levelled the technological playing field, reducing product differentiation. To sustain competitive advantage, Nissan must leverage its operational excellence, brand heritage, and alliance with Renault and Mitsubishi to achieve economies of scale and shared innovation benefits (Dyer, Kale and Singh, 2018).</w:t>
      </w:r>
    </w:p>
    <w:p w14:paraId="04416384" w14:textId="77777777" w:rsidR="0006325F" w:rsidRPr="0006325F" w:rsidRDefault="0006325F" w:rsidP="0006325F">
      <w:pPr>
        <w:pStyle w:val="Heading2"/>
        <w:spacing w:line="360" w:lineRule="auto"/>
        <w:rPr>
          <w:color w:val="000000" w:themeColor="text1"/>
          <w:sz w:val="24"/>
          <w:szCs w:val="24"/>
        </w:rPr>
      </w:pPr>
      <w:bookmarkStart w:id="6" w:name="_Toc211848550"/>
      <w:r w:rsidRPr="0006325F">
        <w:rPr>
          <w:rStyle w:val="Strong"/>
          <w:rFonts w:ascii="Arial" w:hAnsi="Arial" w:cs="Arial"/>
          <w:color w:val="000000" w:themeColor="text1"/>
          <w:sz w:val="24"/>
          <w:szCs w:val="24"/>
        </w:rPr>
        <w:t>2.2 Internal Environment Audit</w:t>
      </w:r>
      <w:bookmarkEnd w:id="6"/>
    </w:p>
    <w:p w14:paraId="5B936790" w14:textId="77777777" w:rsidR="0006325F" w:rsidRPr="0006325F" w:rsidRDefault="0006325F" w:rsidP="0006325F">
      <w:pPr>
        <w:pStyle w:val="Heading3"/>
        <w:spacing w:line="360" w:lineRule="auto"/>
        <w:rPr>
          <w:color w:val="000000" w:themeColor="text1"/>
        </w:rPr>
      </w:pPr>
      <w:bookmarkStart w:id="7" w:name="_Toc211848551"/>
      <w:r w:rsidRPr="0006325F">
        <w:rPr>
          <w:rStyle w:val="Strong"/>
          <w:rFonts w:ascii="Arial" w:hAnsi="Arial" w:cs="Arial"/>
          <w:color w:val="000000" w:themeColor="text1"/>
          <w:sz w:val="22"/>
          <w:szCs w:val="22"/>
        </w:rPr>
        <w:t>2.2.1 Value Chain Analysis (Porter, 1985)</w:t>
      </w:r>
      <w:bookmarkEnd w:id="7"/>
    </w:p>
    <w:p w14:paraId="40F8EA63" w14:textId="77777777" w:rsidR="0006325F" w:rsidRPr="0006325F" w:rsidRDefault="0006325F" w:rsidP="0006325F">
      <w:pPr>
        <w:pStyle w:val="NormalWeb"/>
        <w:numPr>
          <w:ilvl w:val="0"/>
          <w:numId w:val="8"/>
        </w:numPr>
        <w:spacing w:line="360" w:lineRule="auto"/>
        <w:rPr>
          <w:rFonts w:ascii="Arial" w:hAnsi="Arial" w:cs="Arial"/>
          <w:sz w:val="22"/>
          <w:szCs w:val="22"/>
        </w:rPr>
      </w:pPr>
      <w:r w:rsidRPr="0006325F">
        <w:rPr>
          <w:rStyle w:val="Strong"/>
          <w:rFonts w:ascii="Arial" w:hAnsi="Arial" w:cs="Arial"/>
          <w:sz w:val="22"/>
          <w:szCs w:val="22"/>
        </w:rPr>
        <w:t>Inbound Logistics:</w:t>
      </w:r>
      <w:r w:rsidRPr="0006325F">
        <w:rPr>
          <w:rFonts w:ascii="Arial" w:hAnsi="Arial" w:cs="Arial"/>
          <w:sz w:val="22"/>
          <w:szCs w:val="22"/>
        </w:rPr>
        <w:t xml:space="preserve"> Efficient supply chain supported by just-in-time manufacturing; Brexit has complicated EU parts flow.</w:t>
      </w:r>
    </w:p>
    <w:p w14:paraId="2844A119" w14:textId="77777777" w:rsidR="0006325F" w:rsidRPr="0006325F" w:rsidRDefault="0006325F" w:rsidP="0006325F">
      <w:pPr>
        <w:pStyle w:val="NormalWeb"/>
        <w:numPr>
          <w:ilvl w:val="0"/>
          <w:numId w:val="8"/>
        </w:numPr>
        <w:spacing w:line="360" w:lineRule="auto"/>
        <w:rPr>
          <w:rFonts w:ascii="Arial" w:hAnsi="Arial" w:cs="Arial"/>
          <w:sz w:val="22"/>
          <w:szCs w:val="22"/>
        </w:rPr>
      </w:pPr>
      <w:r w:rsidRPr="0006325F">
        <w:rPr>
          <w:rStyle w:val="Strong"/>
          <w:rFonts w:ascii="Arial" w:hAnsi="Arial" w:cs="Arial"/>
          <w:sz w:val="22"/>
          <w:szCs w:val="22"/>
        </w:rPr>
        <w:t>Operations:</w:t>
      </w:r>
      <w:r w:rsidRPr="0006325F">
        <w:rPr>
          <w:rFonts w:ascii="Arial" w:hAnsi="Arial" w:cs="Arial"/>
          <w:sz w:val="22"/>
          <w:szCs w:val="22"/>
        </w:rPr>
        <w:t xml:space="preserve"> Sunderland plant known for high productivity and automation; continuous improvement culture through Nissan Production Way (NPW).</w:t>
      </w:r>
    </w:p>
    <w:p w14:paraId="6BE4FA58" w14:textId="77777777" w:rsidR="0006325F" w:rsidRPr="0006325F" w:rsidRDefault="0006325F" w:rsidP="0006325F">
      <w:pPr>
        <w:pStyle w:val="NormalWeb"/>
        <w:numPr>
          <w:ilvl w:val="0"/>
          <w:numId w:val="8"/>
        </w:numPr>
        <w:spacing w:line="360" w:lineRule="auto"/>
        <w:rPr>
          <w:rFonts w:ascii="Arial" w:hAnsi="Arial" w:cs="Arial"/>
          <w:sz w:val="22"/>
          <w:szCs w:val="22"/>
        </w:rPr>
      </w:pPr>
      <w:r w:rsidRPr="0006325F">
        <w:rPr>
          <w:rStyle w:val="Strong"/>
          <w:rFonts w:ascii="Arial" w:hAnsi="Arial" w:cs="Arial"/>
          <w:sz w:val="22"/>
          <w:szCs w:val="22"/>
        </w:rPr>
        <w:t>Outbound Logistics:</w:t>
      </w:r>
      <w:r w:rsidRPr="0006325F">
        <w:rPr>
          <w:rFonts w:ascii="Arial" w:hAnsi="Arial" w:cs="Arial"/>
          <w:sz w:val="22"/>
          <w:szCs w:val="22"/>
        </w:rPr>
        <w:t xml:space="preserve"> Strong distribution network across Europe; exports account for over 70% of production.</w:t>
      </w:r>
    </w:p>
    <w:p w14:paraId="4A64FFFF" w14:textId="77777777" w:rsidR="0006325F" w:rsidRPr="0006325F" w:rsidRDefault="0006325F" w:rsidP="0006325F">
      <w:pPr>
        <w:pStyle w:val="NormalWeb"/>
        <w:numPr>
          <w:ilvl w:val="0"/>
          <w:numId w:val="8"/>
        </w:numPr>
        <w:spacing w:line="360" w:lineRule="auto"/>
        <w:rPr>
          <w:rFonts w:ascii="Arial" w:hAnsi="Arial" w:cs="Arial"/>
          <w:sz w:val="22"/>
          <w:szCs w:val="22"/>
        </w:rPr>
      </w:pPr>
      <w:r w:rsidRPr="0006325F">
        <w:rPr>
          <w:rStyle w:val="Strong"/>
          <w:rFonts w:ascii="Arial" w:hAnsi="Arial" w:cs="Arial"/>
          <w:sz w:val="22"/>
          <w:szCs w:val="22"/>
        </w:rPr>
        <w:t>Marketing &amp; Sales:</w:t>
      </w:r>
      <w:r w:rsidRPr="0006325F">
        <w:rPr>
          <w:rFonts w:ascii="Arial" w:hAnsi="Arial" w:cs="Arial"/>
          <w:sz w:val="22"/>
          <w:szCs w:val="22"/>
        </w:rPr>
        <w:t xml:space="preserve"> Strong brand equity in affordability, reliability, and innovation; EV marketing requires further differentiation.</w:t>
      </w:r>
    </w:p>
    <w:p w14:paraId="1FBDC78F" w14:textId="161F9976" w:rsidR="0006325F" w:rsidRDefault="0006325F" w:rsidP="0006325F">
      <w:pPr>
        <w:pStyle w:val="NormalWeb"/>
        <w:numPr>
          <w:ilvl w:val="0"/>
          <w:numId w:val="8"/>
        </w:numPr>
        <w:spacing w:line="360" w:lineRule="auto"/>
        <w:rPr>
          <w:rFonts w:ascii="Arial" w:hAnsi="Arial" w:cs="Arial"/>
          <w:sz w:val="22"/>
          <w:szCs w:val="22"/>
        </w:rPr>
      </w:pPr>
      <w:r w:rsidRPr="0006325F">
        <w:rPr>
          <w:rStyle w:val="Strong"/>
          <w:rFonts w:ascii="Arial" w:hAnsi="Arial" w:cs="Arial"/>
          <w:sz w:val="22"/>
          <w:szCs w:val="22"/>
        </w:rPr>
        <w:t>Service:</w:t>
      </w:r>
      <w:r w:rsidRPr="0006325F">
        <w:rPr>
          <w:rFonts w:ascii="Arial" w:hAnsi="Arial" w:cs="Arial"/>
          <w:sz w:val="22"/>
          <w:szCs w:val="22"/>
        </w:rPr>
        <w:t xml:space="preserve"> Well-established dealer network and after-sales service infrastructure.</w:t>
      </w:r>
    </w:p>
    <w:p w14:paraId="554EF7DE" w14:textId="469301BD" w:rsidR="00B0662B" w:rsidRDefault="00B0662B" w:rsidP="00B0662B">
      <w:pPr>
        <w:pStyle w:val="NormalWeb"/>
        <w:spacing w:line="360" w:lineRule="auto"/>
        <w:rPr>
          <w:rFonts w:ascii="Arial" w:hAnsi="Arial" w:cs="Arial"/>
          <w:sz w:val="22"/>
          <w:szCs w:val="22"/>
        </w:rPr>
      </w:pPr>
    </w:p>
    <w:p w14:paraId="10B68921" w14:textId="77777777" w:rsidR="00B0662B" w:rsidRPr="0006325F" w:rsidRDefault="00B0662B" w:rsidP="00B0662B">
      <w:pPr>
        <w:pStyle w:val="NormalWeb"/>
        <w:spacing w:line="360" w:lineRule="auto"/>
        <w:rPr>
          <w:rFonts w:ascii="Arial" w:hAnsi="Arial" w:cs="Arial"/>
          <w:sz w:val="22"/>
          <w:szCs w:val="22"/>
        </w:rPr>
      </w:pPr>
    </w:p>
    <w:p w14:paraId="4E9D7E55" w14:textId="77777777" w:rsidR="0006325F" w:rsidRPr="0006325F" w:rsidRDefault="0006325F" w:rsidP="0006325F">
      <w:pPr>
        <w:pStyle w:val="NormalWeb"/>
        <w:spacing w:line="360" w:lineRule="auto"/>
        <w:rPr>
          <w:rFonts w:ascii="Arial" w:hAnsi="Arial" w:cs="Arial"/>
          <w:sz w:val="22"/>
          <w:szCs w:val="22"/>
        </w:rPr>
      </w:pPr>
      <w:r w:rsidRPr="0006325F">
        <w:rPr>
          <w:rStyle w:val="Strong"/>
          <w:rFonts w:ascii="Arial" w:hAnsi="Arial" w:cs="Arial"/>
          <w:sz w:val="22"/>
          <w:szCs w:val="22"/>
        </w:rPr>
        <w:lastRenderedPageBreak/>
        <w:t>Support Activities:</w:t>
      </w:r>
    </w:p>
    <w:p w14:paraId="0B04645D" w14:textId="77777777" w:rsidR="0006325F" w:rsidRPr="0006325F" w:rsidRDefault="0006325F" w:rsidP="0006325F">
      <w:pPr>
        <w:pStyle w:val="NormalWeb"/>
        <w:numPr>
          <w:ilvl w:val="0"/>
          <w:numId w:val="9"/>
        </w:numPr>
        <w:spacing w:line="360" w:lineRule="auto"/>
        <w:rPr>
          <w:rFonts w:ascii="Arial" w:hAnsi="Arial" w:cs="Arial"/>
          <w:sz w:val="22"/>
          <w:szCs w:val="22"/>
        </w:rPr>
      </w:pPr>
      <w:r w:rsidRPr="0006325F">
        <w:rPr>
          <w:rStyle w:val="Emphasis"/>
          <w:rFonts w:ascii="Arial" w:hAnsi="Arial" w:cs="Arial"/>
          <w:sz w:val="22"/>
          <w:szCs w:val="22"/>
        </w:rPr>
        <w:t>Technology Development:</w:t>
      </w:r>
      <w:r w:rsidRPr="0006325F">
        <w:rPr>
          <w:rFonts w:ascii="Arial" w:hAnsi="Arial" w:cs="Arial"/>
          <w:sz w:val="22"/>
          <w:szCs w:val="22"/>
        </w:rPr>
        <w:t xml:space="preserve"> Continuous R&amp;D investment in EVs, AI, and automation.</w:t>
      </w:r>
    </w:p>
    <w:p w14:paraId="428B0353" w14:textId="77777777" w:rsidR="0006325F" w:rsidRPr="0006325F" w:rsidRDefault="0006325F" w:rsidP="0006325F">
      <w:pPr>
        <w:pStyle w:val="NormalWeb"/>
        <w:numPr>
          <w:ilvl w:val="0"/>
          <w:numId w:val="9"/>
        </w:numPr>
        <w:spacing w:line="360" w:lineRule="auto"/>
        <w:rPr>
          <w:rFonts w:ascii="Arial" w:hAnsi="Arial" w:cs="Arial"/>
          <w:sz w:val="22"/>
          <w:szCs w:val="22"/>
        </w:rPr>
      </w:pPr>
      <w:r w:rsidRPr="0006325F">
        <w:rPr>
          <w:rStyle w:val="Emphasis"/>
          <w:rFonts w:ascii="Arial" w:hAnsi="Arial" w:cs="Arial"/>
          <w:sz w:val="22"/>
          <w:szCs w:val="22"/>
        </w:rPr>
        <w:t>Human Resource Management:</w:t>
      </w:r>
      <w:r w:rsidRPr="0006325F">
        <w:rPr>
          <w:rFonts w:ascii="Arial" w:hAnsi="Arial" w:cs="Arial"/>
          <w:sz w:val="22"/>
          <w:szCs w:val="22"/>
        </w:rPr>
        <w:t xml:space="preserve"> Skilled workforce, but needs retraining for digital and EV technologies.</w:t>
      </w:r>
    </w:p>
    <w:p w14:paraId="6A0B6230" w14:textId="77777777" w:rsidR="0006325F" w:rsidRPr="0006325F" w:rsidRDefault="0006325F" w:rsidP="0006325F">
      <w:pPr>
        <w:pStyle w:val="NormalWeb"/>
        <w:numPr>
          <w:ilvl w:val="0"/>
          <w:numId w:val="9"/>
        </w:numPr>
        <w:spacing w:line="360" w:lineRule="auto"/>
        <w:rPr>
          <w:rFonts w:ascii="Arial" w:hAnsi="Arial" w:cs="Arial"/>
          <w:sz w:val="22"/>
          <w:szCs w:val="22"/>
        </w:rPr>
      </w:pPr>
      <w:r w:rsidRPr="0006325F">
        <w:rPr>
          <w:rStyle w:val="Emphasis"/>
          <w:rFonts w:ascii="Arial" w:hAnsi="Arial" w:cs="Arial"/>
          <w:sz w:val="22"/>
          <w:szCs w:val="22"/>
        </w:rPr>
        <w:t>Procurement:</w:t>
      </w:r>
      <w:r w:rsidRPr="0006325F">
        <w:rPr>
          <w:rFonts w:ascii="Arial" w:hAnsi="Arial" w:cs="Arial"/>
          <w:sz w:val="22"/>
          <w:szCs w:val="22"/>
        </w:rPr>
        <w:t xml:space="preserve"> Global sourcing efficiency but exposed to geopolitical risks.</w:t>
      </w:r>
    </w:p>
    <w:p w14:paraId="51C2BFE0" w14:textId="77777777" w:rsidR="0006325F" w:rsidRPr="0006325F" w:rsidRDefault="0006325F" w:rsidP="0006325F">
      <w:pPr>
        <w:pStyle w:val="NormalWeb"/>
        <w:numPr>
          <w:ilvl w:val="0"/>
          <w:numId w:val="9"/>
        </w:numPr>
        <w:spacing w:line="360" w:lineRule="auto"/>
        <w:rPr>
          <w:rFonts w:ascii="Arial" w:hAnsi="Arial" w:cs="Arial"/>
          <w:sz w:val="22"/>
          <w:szCs w:val="22"/>
        </w:rPr>
      </w:pPr>
      <w:r w:rsidRPr="0006325F">
        <w:rPr>
          <w:rStyle w:val="Emphasis"/>
          <w:rFonts w:ascii="Arial" w:hAnsi="Arial" w:cs="Arial"/>
          <w:sz w:val="22"/>
          <w:szCs w:val="22"/>
        </w:rPr>
        <w:t>Infrastructure:</w:t>
      </w:r>
      <w:r w:rsidRPr="0006325F">
        <w:rPr>
          <w:rFonts w:ascii="Arial" w:hAnsi="Arial" w:cs="Arial"/>
          <w:sz w:val="22"/>
          <w:szCs w:val="22"/>
        </w:rPr>
        <w:t xml:space="preserve"> Stable financial backing from parent company and alignment with global strategy.</w:t>
      </w:r>
    </w:p>
    <w:p w14:paraId="38FA20B2" w14:textId="3EC76892" w:rsidR="00EC49FC" w:rsidRPr="00F0275C" w:rsidRDefault="008F6AC7" w:rsidP="00F0275C">
      <w:pPr>
        <w:pStyle w:val="Heading3"/>
        <w:spacing w:line="360" w:lineRule="auto"/>
        <w:rPr>
          <w:rFonts w:ascii="Arial" w:hAnsi="Arial" w:cs="Arial"/>
          <w:b/>
          <w:bCs/>
          <w:color w:val="000000" w:themeColor="text1"/>
          <w:sz w:val="22"/>
          <w:szCs w:val="22"/>
        </w:rPr>
      </w:pPr>
      <w:bookmarkStart w:id="8" w:name="_Toc211848552"/>
      <w:r w:rsidRPr="00F0275C">
        <w:rPr>
          <w:rFonts w:ascii="Arial" w:hAnsi="Arial" w:cs="Arial"/>
          <w:b/>
          <w:bCs/>
          <w:color w:val="000000" w:themeColor="text1"/>
          <w:sz w:val="22"/>
          <w:szCs w:val="22"/>
        </w:rPr>
        <w:t>2.2.2 Resource-Based View (RBV) and VRIO Analysis</w:t>
      </w:r>
      <w:bookmarkEnd w:id="8"/>
    </w:p>
    <w:p w14:paraId="31B14C78" w14:textId="41820C97" w:rsidR="003F059C" w:rsidRDefault="00B47788" w:rsidP="003F059C">
      <w:pPr>
        <w:spacing w:line="360" w:lineRule="auto"/>
        <w:ind w:firstLine="720"/>
        <w:rPr>
          <w:rFonts w:ascii="Arial" w:hAnsi="Arial" w:cs="Arial"/>
        </w:rPr>
      </w:pPr>
      <w:r w:rsidRPr="00B47788">
        <w:rPr>
          <w:rFonts w:ascii="Arial" w:hAnsi="Arial" w:cs="Arial"/>
        </w:rPr>
        <w:t>The Resource-Based View (RBV) posits that enduring competitive advantage is achieved when firms deploy internally controlled resources that possess value, rarity, inimitability, and organisational support</w:t>
      </w:r>
      <w:r>
        <w:rPr>
          <w:rFonts w:ascii="Arial" w:hAnsi="Arial" w:cs="Arial"/>
        </w:rPr>
        <w:t xml:space="preserve"> </w:t>
      </w:r>
      <w:r w:rsidR="008F6AC7" w:rsidRPr="00F0275C">
        <w:rPr>
          <w:rFonts w:ascii="Arial" w:hAnsi="Arial" w:cs="Arial"/>
        </w:rPr>
        <w:t>(Barney, 1991).</w:t>
      </w:r>
      <w:r w:rsidR="003F059C">
        <w:rPr>
          <w:rFonts w:ascii="Arial" w:hAnsi="Arial" w:cs="Arial"/>
        </w:rPr>
        <w:t xml:space="preserve"> </w:t>
      </w:r>
      <w:r w:rsidR="003F059C" w:rsidRPr="00F0275C">
        <w:rPr>
          <w:rFonts w:ascii="Arial" w:hAnsi="Arial" w:cs="Arial"/>
        </w:rPr>
        <w:t xml:space="preserve">The </w:t>
      </w:r>
      <w:r w:rsidR="003F059C" w:rsidRPr="00F0275C">
        <w:rPr>
          <w:rStyle w:val="Strong"/>
          <w:rFonts w:ascii="Arial" w:hAnsi="Arial" w:cs="Arial"/>
        </w:rPr>
        <w:t>VRIO model</w:t>
      </w:r>
      <w:r w:rsidR="003F059C" w:rsidRPr="00F0275C">
        <w:rPr>
          <w:rFonts w:ascii="Arial" w:hAnsi="Arial" w:cs="Arial"/>
        </w:rPr>
        <w:t xml:space="preserve"> below assesses Nissan UK’s key resources and capabilities using these four dimensions.</w:t>
      </w:r>
    </w:p>
    <w:p w14:paraId="0303794B" w14:textId="05780D2A" w:rsidR="008F6AC7" w:rsidRPr="003F059C" w:rsidRDefault="003F059C" w:rsidP="003F059C">
      <w:pPr>
        <w:spacing w:line="360" w:lineRule="auto"/>
        <w:ind w:firstLine="720"/>
        <w:rPr>
          <w:rFonts w:ascii="Arial" w:hAnsi="Arial" w:cs="Arial"/>
          <w:b/>
          <w:bCs/>
        </w:rPr>
      </w:pPr>
      <w:r w:rsidRPr="003F059C">
        <w:rPr>
          <w:rFonts w:ascii="Arial" w:hAnsi="Arial" w:cs="Arial"/>
          <w:b/>
          <w:bCs/>
        </w:rPr>
        <w:t>VRIO Framework for Nissan UK</w:t>
      </w:r>
    </w:p>
    <w:tbl>
      <w:tblPr>
        <w:tblStyle w:val="TableGrid"/>
        <w:tblW w:w="9493" w:type="dxa"/>
        <w:tblLayout w:type="fixed"/>
        <w:tblLook w:val="04A0" w:firstRow="1" w:lastRow="0" w:firstColumn="1" w:lastColumn="0" w:noHBand="0" w:noVBand="1"/>
      </w:tblPr>
      <w:tblGrid>
        <w:gridCol w:w="1661"/>
        <w:gridCol w:w="1028"/>
        <w:gridCol w:w="839"/>
        <w:gridCol w:w="1145"/>
        <w:gridCol w:w="1356"/>
        <w:gridCol w:w="1337"/>
        <w:gridCol w:w="2127"/>
      </w:tblGrid>
      <w:tr w:rsidR="00FC3D00" w14:paraId="0D9329CE" w14:textId="77777777" w:rsidTr="00FC3D00">
        <w:tc>
          <w:tcPr>
            <w:tcW w:w="1661" w:type="dxa"/>
          </w:tcPr>
          <w:p w14:paraId="68F19BDC" w14:textId="77777777" w:rsidR="008F6AC7" w:rsidRPr="00FC3D00" w:rsidRDefault="008F6AC7" w:rsidP="008F6AC7">
            <w:pPr>
              <w:spacing w:line="240" w:lineRule="auto"/>
              <w:jc w:val="center"/>
              <w:rPr>
                <w:rFonts w:ascii="Arial" w:hAnsi="Arial" w:cs="Arial"/>
                <w:b/>
                <w:bCs/>
                <w:sz w:val="20"/>
                <w:szCs w:val="20"/>
              </w:rPr>
            </w:pPr>
            <w:r w:rsidRPr="00FC3D00">
              <w:rPr>
                <w:rStyle w:val="Strong"/>
                <w:rFonts w:ascii="Arial" w:hAnsi="Arial" w:cs="Arial"/>
                <w:sz w:val="20"/>
                <w:szCs w:val="20"/>
              </w:rPr>
              <w:t>Strategic Resource / Capability</w:t>
            </w:r>
          </w:p>
          <w:p w14:paraId="1C0E436E" w14:textId="77777777" w:rsidR="008F6AC7" w:rsidRPr="00FC3D00" w:rsidRDefault="008F6AC7" w:rsidP="00EC49FC">
            <w:pPr>
              <w:jc w:val="center"/>
              <w:rPr>
                <w:rFonts w:ascii="Arial" w:hAnsi="Arial" w:cs="Arial"/>
                <w:b/>
                <w:bCs/>
                <w:sz w:val="20"/>
                <w:szCs w:val="20"/>
              </w:rPr>
            </w:pPr>
          </w:p>
        </w:tc>
        <w:tc>
          <w:tcPr>
            <w:tcW w:w="1028"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8F6AC7" w:rsidRPr="008F6AC7" w14:paraId="7DFC37F5" w14:textId="77777777" w:rsidTr="00FC3D00">
              <w:trPr>
                <w:tblCellSpacing w:w="15" w:type="dxa"/>
              </w:trPr>
              <w:tc>
                <w:tcPr>
                  <w:tcW w:w="36" w:type="dxa"/>
                  <w:vAlign w:val="center"/>
                  <w:hideMark/>
                </w:tcPr>
                <w:p w14:paraId="7D6099E1" w14:textId="77777777" w:rsidR="008F6AC7" w:rsidRPr="008F6AC7" w:rsidRDefault="008F6AC7" w:rsidP="008F6AC7">
                  <w:pPr>
                    <w:spacing w:after="0" w:line="240" w:lineRule="auto"/>
                    <w:rPr>
                      <w:rFonts w:ascii="Arial" w:eastAsia="Times New Roman" w:hAnsi="Arial" w:cs="Arial"/>
                      <w:b/>
                      <w:bCs/>
                      <w:sz w:val="20"/>
                      <w:szCs w:val="20"/>
                      <w:lang w:eastAsia="en-GB"/>
                    </w:rPr>
                  </w:pPr>
                </w:p>
              </w:tc>
            </w:tr>
          </w:tbl>
          <w:p w14:paraId="4FFBAF82" w14:textId="77777777" w:rsidR="008F6AC7" w:rsidRPr="008F6AC7" w:rsidRDefault="008F6AC7" w:rsidP="008F6AC7">
            <w:pPr>
              <w:spacing w:line="240" w:lineRule="auto"/>
              <w:rPr>
                <w:rFonts w:ascii="Arial" w:eastAsia="Times New Roman" w:hAnsi="Arial" w:cs="Arial"/>
                <w:b/>
                <w:bCs/>
                <w:vanish/>
                <w:sz w:val="20"/>
                <w:szCs w:val="20"/>
                <w:lang w:eastAsia="en-GB"/>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011"/>
            </w:tblGrid>
            <w:tr w:rsidR="008F6AC7" w:rsidRPr="008F6AC7" w14:paraId="71AB954B" w14:textId="77777777" w:rsidTr="00FC3D00">
              <w:trPr>
                <w:tblCellSpacing w:w="15" w:type="dxa"/>
              </w:trPr>
              <w:tc>
                <w:tcPr>
                  <w:tcW w:w="951" w:type="dxa"/>
                  <w:vAlign w:val="center"/>
                  <w:hideMark/>
                </w:tcPr>
                <w:p w14:paraId="0588F1A9" w14:textId="77777777" w:rsidR="008F6AC7" w:rsidRPr="008F6AC7" w:rsidRDefault="008F6AC7" w:rsidP="008F6AC7">
                  <w:pPr>
                    <w:spacing w:after="0" w:line="240" w:lineRule="auto"/>
                    <w:jc w:val="center"/>
                    <w:rPr>
                      <w:rFonts w:ascii="Arial" w:eastAsia="Times New Roman" w:hAnsi="Arial" w:cs="Arial"/>
                      <w:b/>
                      <w:bCs/>
                      <w:sz w:val="20"/>
                      <w:szCs w:val="20"/>
                      <w:lang w:eastAsia="en-GB"/>
                    </w:rPr>
                  </w:pPr>
                  <w:r w:rsidRPr="008F6AC7">
                    <w:rPr>
                      <w:rFonts w:ascii="Arial" w:eastAsia="Times New Roman" w:hAnsi="Arial" w:cs="Arial"/>
                      <w:b/>
                      <w:bCs/>
                      <w:sz w:val="20"/>
                      <w:szCs w:val="20"/>
                      <w:lang w:eastAsia="en-GB"/>
                    </w:rPr>
                    <w:t>Valuable</w:t>
                  </w:r>
                </w:p>
              </w:tc>
            </w:tr>
          </w:tbl>
          <w:p w14:paraId="6A3D86BC" w14:textId="77777777" w:rsidR="008F6AC7" w:rsidRPr="00FC3D00" w:rsidRDefault="008F6AC7" w:rsidP="00EC49FC">
            <w:pPr>
              <w:jc w:val="center"/>
              <w:rPr>
                <w:rFonts w:ascii="Arial" w:hAnsi="Arial" w:cs="Arial"/>
                <w:b/>
                <w:bCs/>
                <w:sz w:val="20"/>
                <w:szCs w:val="20"/>
              </w:rPr>
            </w:pPr>
          </w:p>
        </w:tc>
        <w:tc>
          <w:tcPr>
            <w:tcW w:w="839" w:type="dxa"/>
          </w:tcPr>
          <w:p w14:paraId="5566C7D7" w14:textId="6EDCC8A5" w:rsidR="008F6AC7" w:rsidRPr="00FC3D00" w:rsidRDefault="008F6AC7" w:rsidP="00B47788">
            <w:pPr>
              <w:rPr>
                <w:rFonts w:ascii="Arial" w:hAnsi="Arial" w:cs="Arial"/>
                <w:b/>
                <w:bCs/>
                <w:sz w:val="20"/>
                <w:szCs w:val="20"/>
              </w:rPr>
            </w:pPr>
            <w:r w:rsidRPr="00FC3D00">
              <w:rPr>
                <w:rFonts w:ascii="Arial" w:hAnsi="Arial" w:cs="Arial"/>
                <w:b/>
                <w:bCs/>
                <w:sz w:val="20"/>
                <w:szCs w:val="20"/>
              </w:rPr>
              <w:t>Rare</w:t>
            </w:r>
          </w:p>
        </w:tc>
        <w:tc>
          <w:tcPr>
            <w:tcW w:w="1145"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8F6AC7" w:rsidRPr="008F6AC7" w14:paraId="134EF9E2" w14:textId="77777777" w:rsidTr="00FC3D00">
              <w:trPr>
                <w:tblCellSpacing w:w="15" w:type="dxa"/>
              </w:trPr>
              <w:tc>
                <w:tcPr>
                  <w:tcW w:w="36" w:type="dxa"/>
                  <w:vAlign w:val="center"/>
                  <w:hideMark/>
                </w:tcPr>
                <w:p w14:paraId="5589675B" w14:textId="77777777" w:rsidR="008F6AC7" w:rsidRPr="008F6AC7" w:rsidRDefault="008F6AC7" w:rsidP="008F6AC7">
                  <w:pPr>
                    <w:spacing w:after="0" w:line="240" w:lineRule="auto"/>
                    <w:rPr>
                      <w:rFonts w:ascii="Arial" w:eastAsia="Times New Roman" w:hAnsi="Arial" w:cs="Arial"/>
                      <w:b/>
                      <w:bCs/>
                      <w:sz w:val="20"/>
                      <w:szCs w:val="20"/>
                      <w:lang w:eastAsia="en-GB"/>
                    </w:rPr>
                  </w:pPr>
                </w:p>
              </w:tc>
            </w:tr>
          </w:tbl>
          <w:p w14:paraId="57D51530" w14:textId="77777777" w:rsidR="008F6AC7" w:rsidRPr="008F6AC7" w:rsidRDefault="008F6AC7" w:rsidP="008F6AC7">
            <w:pPr>
              <w:spacing w:line="240" w:lineRule="auto"/>
              <w:rPr>
                <w:rFonts w:ascii="Arial" w:eastAsia="Times New Roman" w:hAnsi="Arial" w:cs="Arial"/>
                <w:b/>
                <w:bCs/>
                <w:vanish/>
                <w:sz w:val="20"/>
                <w:szCs w:val="20"/>
                <w:lang w:eastAsia="en-GB"/>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57"/>
            </w:tblGrid>
            <w:tr w:rsidR="008F6AC7" w:rsidRPr="008F6AC7" w14:paraId="5E00A3C1" w14:textId="77777777" w:rsidTr="00FC3D00">
              <w:trPr>
                <w:tblCellSpacing w:w="15" w:type="dxa"/>
              </w:trPr>
              <w:tc>
                <w:tcPr>
                  <w:tcW w:w="1097" w:type="dxa"/>
                  <w:vAlign w:val="center"/>
                  <w:hideMark/>
                </w:tcPr>
                <w:p w14:paraId="249AB439" w14:textId="77777777" w:rsidR="008F6AC7" w:rsidRPr="008F6AC7" w:rsidRDefault="008F6AC7" w:rsidP="008F6AC7">
                  <w:pPr>
                    <w:spacing w:after="0" w:line="240" w:lineRule="auto"/>
                    <w:jc w:val="center"/>
                    <w:rPr>
                      <w:rFonts w:ascii="Arial" w:eastAsia="Times New Roman" w:hAnsi="Arial" w:cs="Arial"/>
                      <w:b/>
                      <w:bCs/>
                      <w:sz w:val="20"/>
                      <w:szCs w:val="20"/>
                      <w:lang w:eastAsia="en-GB"/>
                    </w:rPr>
                  </w:pPr>
                  <w:r w:rsidRPr="008F6AC7">
                    <w:rPr>
                      <w:rFonts w:ascii="Arial" w:eastAsia="Times New Roman" w:hAnsi="Arial" w:cs="Arial"/>
                      <w:b/>
                      <w:bCs/>
                      <w:sz w:val="20"/>
                      <w:szCs w:val="20"/>
                      <w:lang w:eastAsia="en-GB"/>
                    </w:rPr>
                    <w:t>Inimitable</w:t>
                  </w:r>
                </w:p>
              </w:tc>
            </w:tr>
          </w:tbl>
          <w:p w14:paraId="630D725F" w14:textId="77777777" w:rsidR="008F6AC7" w:rsidRPr="00FC3D00" w:rsidRDefault="008F6AC7" w:rsidP="00EC49FC">
            <w:pPr>
              <w:jc w:val="center"/>
              <w:rPr>
                <w:rFonts w:ascii="Arial" w:hAnsi="Arial" w:cs="Arial"/>
                <w:b/>
                <w:bCs/>
                <w:sz w:val="20"/>
                <w:szCs w:val="20"/>
              </w:rPr>
            </w:pPr>
          </w:p>
        </w:tc>
        <w:tc>
          <w:tcPr>
            <w:tcW w:w="1356" w:type="dxa"/>
          </w:tcPr>
          <w:p w14:paraId="15E99C9A" w14:textId="16878F80" w:rsidR="008F6AC7" w:rsidRPr="00FC3D00" w:rsidRDefault="008F6AC7" w:rsidP="00EC49FC">
            <w:pPr>
              <w:jc w:val="center"/>
              <w:rPr>
                <w:rFonts w:ascii="Arial" w:hAnsi="Arial" w:cs="Arial"/>
                <w:b/>
                <w:bCs/>
                <w:sz w:val="20"/>
                <w:szCs w:val="20"/>
              </w:rPr>
            </w:pPr>
            <w:r w:rsidRPr="00FC3D00">
              <w:rPr>
                <w:rFonts w:ascii="Arial" w:hAnsi="Arial" w:cs="Arial"/>
                <w:b/>
                <w:bCs/>
                <w:sz w:val="20"/>
                <w:szCs w:val="20"/>
              </w:rPr>
              <w:t>Organised to Exploit</w:t>
            </w:r>
          </w:p>
        </w:tc>
        <w:tc>
          <w:tcPr>
            <w:tcW w:w="1337"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8F6AC7" w:rsidRPr="008F6AC7" w14:paraId="62698D85" w14:textId="77777777" w:rsidTr="00FC3D00">
              <w:trPr>
                <w:tblCellSpacing w:w="15" w:type="dxa"/>
              </w:trPr>
              <w:tc>
                <w:tcPr>
                  <w:tcW w:w="36" w:type="dxa"/>
                  <w:vAlign w:val="center"/>
                  <w:hideMark/>
                </w:tcPr>
                <w:p w14:paraId="7A06654F" w14:textId="77777777" w:rsidR="008F6AC7" w:rsidRPr="008F6AC7" w:rsidRDefault="008F6AC7" w:rsidP="008F6AC7">
                  <w:pPr>
                    <w:spacing w:after="0" w:line="240" w:lineRule="auto"/>
                    <w:rPr>
                      <w:rFonts w:ascii="Arial" w:eastAsia="Times New Roman" w:hAnsi="Arial" w:cs="Arial"/>
                      <w:b/>
                      <w:bCs/>
                      <w:sz w:val="20"/>
                      <w:szCs w:val="20"/>
                      <w:lang w:eastAsia="en-GB"/>
                    </w:rPr>
                  </w:pPr>
                </w:p>
              </w:tc>
            </w:tr>
          </w:tbl>
          <w:p w14:paraId="0667110B" w14:textId="77777777" w:rsidR="008F6AC7" w:rsidRPr="008F6AC7" w:rsidRDefault="008F6AC7" w:rsidP="008F6AC7">
            <w:pPr>
              <w:spacing w:line="240" w:lineRule="auto"/>
              <w:rPr>
                <w:rFonts w:ascii="Arial" w:eastAsia="Times New Roman" w:hAnsi="Arial" w:cs="Arial"/>
                <w:b/>
                <w:bCs/>
                <w:vanish/>
                <w:sz w:val="20"/>
                <w:szCs w:val="20"/>
                <w:lang w:eastAsia="en-GB"/>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350"/>
            </w:tblGrid>
            <w:tr w:rsidR="008F6AC7" w:rsidRPr="008F6AC7" w14:paraId="5FB6AE19" w14:textId="77777777" w:rsidTr="00FC3D00">
              <w:trPr>
                <w:tblCellSpacing w:w="15" w:type="dxa"/>
              </w:trPr>
              <w:tc>
                <w:tcPr>
                  <w:tcW w:w="1290" w:type="dxa"/>
                  <w:vAlign w:val="center"/>
                  <w:hideMark/>
                </w:tcPr>
                <w:p w14:paraId="3B0591C9" w14:textId="77777777" w:rsidR="008F6AC7" w:rsidRPr="008F6AC7" w:rsidRDefault="008F6AC7" w:rsidP="00FC3D00">
                  <w:pPr>
                    <w:spacing w:after="0" w:line="240" w:lineRule="auto"/>
                    <w:rPr>
                      <w:rFonts w:ascii="Arial" w:eastAsia="Times New Roman" w:hAnsi="Arial" w:cs="Arial"/>
                      <w:b/>
                      <w:bCs/>
                      <w:sz w:val="20"/>
                      <w:szCs w:val="20"/>
                      <w:lang w:eastAsia="en-GB"/>
                    </w:rPr>
                  </w:pPr>
                  <w:r w:rsidRPr="008F6AC7">
                    <w:rPr>
                      <w:rFonts w:ascii="Arial" w:eastAsia="Times New Roman" w:hAnsi="Arial" w:cs="Arial"/>
                      <w:b/>
                      <w:bCs/>
                      <w:sz w:val="20"/>
                      <w:szCs w:val="20"/>
                      <w:lang w:eastAsia="en-GB"/>
                    </w:rPr>
                    <w:t>Competitive Implication</w:t>
                  </w:r>
                </w:p>
              </w:tc>
            </w:tr>
          </w:tbl>
          <w:p w14:paraId="3E297D9D" w14:textId="77777777" w:rsidR="008F6AC7" w:rsidRPr="00FC3D00" w:rsidRDefault="008F6AC7" w:rsidP="00EC49FC">
            <w:pPr>
              <w:jc w:val="center"/>
              <w:rPr>
                <w:rFonts w:ascii="Arial" w:hAnsi="Arial" w:cs="Arial"/>
                <w:b/>
                <w:bCs/>
                <w:sz w:val="20"/>
                <w:szCs w:val="20"/>
              </w:rPr>
            </w:pPr>
          </w:p>
        </w:tc>
        <w:tc>
          <w:tcPr>
            <w:tcW w:w="2127" w:type="dxa"/>
          </w:tcPr>
          <w:p w14:paraId="58C4B651" w14:textId="49A7B473" w:rsidR="008F6AC7" w:rsidRPr="00FC3D00" w:rsidRDefault="008F6AC7" w:rsidP="00EC49FC">
            <w:pPr>
              <w:jc w:val="center"/>
              <w:rPr>
                <w:rFonts w:ascii="Arial" w:hAnsi="Arial" w:cs="Arial"/>
                <w:b/>
                <w:bCs/>
                <w:sz w:val="20"/>
                <w:szCs w:val="20"/>
              </w:rPr>
            </w:pPr>
            <w:r w:rsidRPr="00FC3D00">
              <w:rPr>
                <w:rFonts w:ascii="Arial" w:hAnsi="Arial" w:cs="Arial"/>
                <w:b/>
                <w:bCs/>
                <w:sz w:val="20"/>
                <w:szCs w:val="20"/>
              </w:rPr>
              <w:t>Explanation / Insight</w:t>
            </w:r>
          </w:p>
        </w:tc>
      </w:tr>
      <w:tr w:rsidR="00FC3D00" w14:paraId="439A6EF8" w14:textId="77777777" w:rsidTr="00FC3D00">
        <w:tc>
          <w:tcPr>
            <w:tcW w:w="1661" w:type="dxa"/>
          </w:tcPr>
          <w:p w14:paraId="61B77849" w14:textId="5F6E198C" w:rsidR="008F6AC7" w:rsidRPr="00FC3D00" w:rsidRDefault="00FC3D00" w:rsidP="00EC49FC">
            <w:pPr>
              <w:jc w:val="center"/>
              <w:rPr>
                <w:rFonts w:ascii="Arial" w:hAnsi="Arial" w:cs="Arial"/>
                <w:b/>
                <w:bCs/>
                <w:i/>
                <w:iCs/>
              </w:rPr>
            </w:pPr>
            <w:r w:rsidRPr="00FC3D00">
              <w:rPr>
                <w:rFonts w:ascii="Arial" w:hAnsi="Arial" w:cs="Arial"/>
                <w:i/>
                <w:iCs/>
              </w:rPr>
              <w:t>Advanced Manufacturing Capability (Sunderland Plant)</w:t>
            </w:r>
          </w:p>
        </w:tc>
        <w:tc>
          <w:tcPr>
            <w:tcW w:w="1028" w:type="dxa"/>
          </w:tcPr>
          <w:p w14:paraId="4DBFA5F2" w14:textId="77777777" w:rsidR="00F0275C" w:rsidRDefault="00F0275C" w:rsidP="00EC49FC">
            <w:pPr>
              <w:jc w:val="center"/>
              <w:rPr>
                <w:rFonts w:ascii="Segoe UI Emoji" w:hAnsi="Segoe UI Emoji" w:cs="Segoe UI Emoji"/>
              </w:rPr>
            </w:pPr>
          </w:p>
          <w:p w14:paraId="68A47EC7" w14:textId="77777777" w:rsidR="00F0275C" w:rsidRDefault="00F0275C" w:rsidP="00EC49FC">
            <w:pPr>
              <w:jc w:val="center"/>
              <w:rPr>
                <w:rFonts w:ascii="Segoe UI Emoji" w:hAnsi="Segoe UI Emoji" w:cs="Segoe UI Emoji"/>
              </w:rPr>
            </w:pPr>
          </w:p>
          <w:p w14:paraId="6BF6AC22" w14:textId="77777777" w:rsidR="00F0275C" w:rsidRDefault="00F0275C" w:rsidP="00EC49FC">
            <w:pPr>
              <w:jc w:val="center"/>
              <w:rPr>
                <w:rFonts w:ascii="Segoe UI Emoji" w:hAnsi="Segoe UI Emoji" w:cs="Segoe UI Emoji"/>
              </w:rPr>
            </w:pPr>
          </w:p>
          <w:p w14:paraId="568E680D" w14:textId="09A076B5" w:rsidR="008F6AC7" w:rsidRPr="00FC3D00" w:rsidRDefault="00FC3D00" w:rsidP="00EC49FC">
            <w:pPr>
              <w:jc w:val="center"/>
              <w:rPr>
                <w:rFonts w:ascii="Arial" w:hAnsi="Arial" w:cs="Arial"/>
                <w:b/>
                <w:bCs/>
              </w:rPr>
            </w:pPr>
            <w:r w:rsidRPr="00FC3D00">
              <w:rPr>
                <w:rFonts w:ascii="Segoe UI Emoji" w:hAnsi="Segoe UI Emoji" w:cs="Segoe UI Emoji"/>
              </w:rPr>
              <w:t>✔</w:t>
            </w:r>
            <w:r w:rsidRPr="00FC3D00">
              <w:rPr>
                <w:rFonts w:ascii="Arial" w:hAnsi="Arial" w:cs="Arial"/>
              </w:rPr>
              <w:t>️</w:t>
            </w:r>
          </w:p>
        </w:tc>
        <w:tc>
          <w:tcPr>
            <w:tcW w:w="839" w:type="dxa"/>
          </w:tcPr>
          <w:p w14:paraId="52AF22C8" w14:textId="77777777" w:rsidR="00F0275C" w:rsidRDefault="00F0275C" w:rsidP="00EC49FC">
            <w:pPr>
              <w:jc w:val="center"/>
              <w:rPr>
                <w:rFonts w:ascii="Segoe UI Emoji" w:hAnsi="Segoe UI Emoji" w:cs="Segoe UI Emoji"/>
              </w:rPr>
            </w:pPr>
          </w:p>
          <w:p w14:paraId="6CC03B6C" w14:textId="77777777" w:rsidR="00F0275C" w:rsidRDefault="00F0275C" w:rsidP="00EC49FC">
            <w:pPr>
              <w:jc w:val="center"/>
              <w:rPr>
                <w:rFonts w:ascii="Segoe UI Emoji" w:hAnsi="Segoe UI Emoji" w:cs="Segoe UI Emoji"/>
              </w:rPr>
            </w:pPr>
          </w:p>
          <w:p w14:paraId="1D9C3B86" w14:textId="77777777" w:rsidR="00F0275C" w:rsidRDefault="00F0275C" w:rsidP="00EC49FC">
            <w:pPr>
              <w:jc w:val="center"/>
              <w:rPr>
                <w:rFonts w:ascii="Segoe UI Emoji" w:hAnsi="Segoe UI Emoji" w:cs="Segoe UI Emoji"/>
              </w:rPr>
            </w:pPr>
          </w:p>
          <w:p w14:paraId="303AAB44" w14:textId="25B4A149" w:rsidR="008F6AC7" w:rsidRPr="00FC3D00" w:rsidRDefault="00FC3D00" w:rsidP="00EC49FC">
            <w:pPr>
              <w:jc w:val="center"/>
              <w:rPr>
                <w:rFonts w:ascii="Arial" w:hAnsi="Arial" w:cs="Arial"/>
                <w:b/>
                <w:bCs/>
              </w:rPr>
            </w:pPr>
            <w:r w:rsidRPr="00FC3D00">
              <w:rPr>
                <w:rFonts w:ascii="Segoe UI Emoji" w:hAnsi="Segoe UI Emoji" w:cs="Segoe UI Emoji"/>
              </w:rPr>
              <w:t>✔</w:t>
            </w:r>
            <w:r w:rsidRPr="00FC3D00">
              <w:rPr>
                <w:rFonts w:ascii="Arial" w:hAnsi="Arial" w:cs="Arial"/>
              </w:rPr>
              <w:t>️</w:t>
            </w:r>
          </w:p>
        </w:tc>
        <w:tc>
          <w:tcPr>
            <w:tcW w:w="1145" w:type="dxa"/>
          </w:tcPr>
          <w:p w14:paraId="70662561" w14:textId="77777777" w:rsidR="00F0275C" w:rsidRDefault="00F0275C" w:rsidP="00EC49FC">
            <w:pPr>
              <w:jc w:val="center"/>
              <w:rPr>
                <w:rFonts w:ascii="Segoe UI Emoji" w:hAnsi="Segoe UI Emoji" w:cs="Segoe UI Emoji"/>
              </w:rPr>
            </w:pPr>
          </w:p>
          <w:p w14:paraId="4FDBA8A8" w14:textId="77777777" w:rsidR="00F0275C" w:rsidRDefault="00F0275C" w:rsidP="00EC49FC">
            <w:pPr>
              <w:jc w:val="center"/>
              <w:rPr>
                <w:rFonts w:ascii="Segoe UI Emoji" w:hAnsi="Segoe UI Emoji" w:cs="Segoe UI Emoji"/>
              </w:rPr>
            </w:pPr>
          </w:p>
          <w:p w14:paraId="529AFB9B" w14:textId="77777777" w:rsidR="00F0275C" w:rsidRDefault="00F0275C" w:rsidP="00EC49FC">
            <w:pPr>
              <w:jc w:val="center"/>
              <w:rPr>
                <w:rFonts w:ascii="Segoe UI Emoji" w:hAnsi="Segoe UI Emoji" w:cs="Segoe UI Emoji"/>
              </w:rPr>
            </w:pPr>
          </w:p>
          <w:p w14:paraId="55C922CC" w14:textId="38E209B3" w:rsidR="008F6AC7" w:rsidRPr="00FC3D00" w:rsidRDefault="00FC3D00" w:rsidP="00EC49FC">
            <w:pPr>
              <w:jc w:val="center"/>
              <w:rPr>
                <w:rFonts w:ascii="Arial" w:hAnsi="Arial" w:cs="Arial"/>
                <w:b/>
                <w:bCs/>
              </w:rPr>
            </w:pPr>
            <w:r w:rsidRPr="00FC3D00">
              <w:rPr>
                <w:rFonts w:ascii="Segoe UI Emoji" w:hAnsi="Segoe UI Emoji" w:cs="Segoe UI Emoji"/>
              </w:rPr>
              <w:t>✔</w:t>
            </w:r>
            <w:r w:rsidRPr="00FC3D00">
              <w:rPr>
                <w:rFonts w:ascii="Arial" w:hAnsi="Arial" w:cs="Arial"/>
              </w:rPr>
              <w:t>️</w:t>
            </w:r>
          </w:p>
        </w:tc>
        <w:tc>
          <w:tcPr>
            <w:tcW w:w="1356" w:type="dxa"/>
          </w:tcPr>
          <w:p w14:paraId="60711FF7" w14:textId="77777777" w:rsidR="00F0275C" w:rsidRDefault="00F0275C" w:rsidP="00EC49FC">
            <w:pPr>
              <w:jc w:val="center"/>
              <w:rPr>
                <w:rFonts w:ascii="Segoe UI Emoji" w:hAnsi="Segoe UI Emoji" w:cs="Segoe UI Emoji"/>
              </w:rPr>
            </w:pPr>
          </w:p>
          <w:p w14:paraId="409174E9" w14:textId="77777777" w:rsidR="00F0275C" w:rsidRDefault="00F0275C" w:rsidP="00EC49FC">
            <w:pPr>
              <w:jc w:val="center"/>
              <w:rPr>
                <w:rFonts w:ascii="Segoe UI Emoji" w:hAnsi="Segoe UI Emoji" w:cs="Segoe UI Emoji"/>
              </w:rPr>
            </w:pPr>
          </w:p>
          <w:p w14:paraId="325B7AE0" w14:textId="77777777" w:rsidR="00F0275C" w:rsidRDefault="00F0275C" w:rsidP="00EC49FC">
            <w:pPr>
              <w:jc w:val="center"/>
              <w:rPr>
                <w:rFonts w:ascii="Segoe UI Emoji" w:hAnsi="Segoe UI Emoji" w:cs="Segoe UI Emoji"/>
              </w:rPr>
            </w:pPr>
          </w:p>
          <w:p w14:paraId="2048D6CF" w14:textId="273EE171" w:rsidR="008F6AC7" w:rsidRPr="00FC3D00" w:rsidRDefault="00FC3D00" w:rsidP="00EC49FC">
            <w:pPr>
              <w:jc w:val="center"/>
              <w:rPr>
                <w:rFonts w:ascii="Arial" w:hAnsi="Arial" w:cs="Arial"/>
                <w:b/>
                <w:bCs/>
              </w:rPr>
            </w:pPr>
            <w:r w:rsidRPr="00FC3D00">
              <w:rPr>
                <w:rFonts w:ascii="Segoe UI Emoji" w:hAnsi="Segoe UI Emoji" w:cs="Segoe UI Emoji"/>
              </w:rPr>
              <w:t>✔</w:t>
            </w:r>
            <w:r w:rsidRPr="00FC3D00">
              <w:rPr>
                <w:rFonts w:ascii="Arial" w:hAnsi="Arial" w:cs="Arial"/>
              </w:rPr>
              <w:t>️</w:t>
            </w:r>
          </w:p>
        </w:tc>
        <w:tc>
          <w:tcPr>
            <w:tcW w:w="1337"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C3D00" w:rsidRPr="00FC3D00" w14:paraId="36E894C0" w14:textId="77777777" w:rsidTr="00FC3D00">
              <w:trPr>
                <w:tblCellSpacing w:w="15" w:type="dxa"/>
              </w:trPr>
              <w:tc>
                <w:tcPr>
                  <w:tcW w:w="36" w:type="dxa"/>
                  <w:vAlign w:val="center"/>
                  <w:hideMark/>
                </w:tcPr>
                <w:p w14:paraId="0E0D7FB2" w14:textId="77777777" w:rsidR="00FC3D00" w:rsidRPr="00FC3D00" w:rsidRDefault="00FC3D00" w:rsidP="00FC3D00">
                  <w:pPr>
                    <w:spacing w:after="0" w:line="240" w:lineRule="auto"/>
                    <w:rPr>
                      <w:rFonts w:ascii="Arial" w:eastAsia="Times New Roman" w:hAnsi="Arial" w:cs="Arial"/>
                      <w:lang w:eastAsia="en-GB"/>
                    </w:rPr>
                  </w:pPr>
                </w:p>
              </w:tc>
            </w:tr>
          </w:tbl>
          <w:p w14:paraId="139F4F5D" w14:textId="77777777" w:rsidR="00FC3D00" w:rsidRPr="00FC3D00" w:rsidRDefault="00FC3D00" w:rsidP="00FC3D00">
            <w:pPr>
              <w:spacing w:line="240" w:lineRule="auto"/>
              <w:rPr>
                <w:rFonts w:ascii="Arial" w:eastAsia="Times New Roman" w:hAnsi="Arial" w:cs="Arial"/>
                <w:vanish/>
                <w:lang w:eastAsia="en-GB"/>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350"/>
            </w:tblGrid>
            <w:tr w:rsidR="00FC3D00" w:rsidRPr="00FC3D00" w14:paraId="5CE58AF4" w14:textId="77777777" w:rsidTr="00FC3D00">
              <w:trPr>
                <w:tblCellSpacing w:w="15" w:type="dxa"/>
              </w:trPr>
              <w:tc>
                <w:tcPr>
                  <w:tcW w:w="1290" w:type="dxa"/>
                  <w:vAlign w:val="center"/>
                  <w:hideMark/>
                </w:tcPr>
                <w:p w14:paraId="61B44C72" w14:textId="77777777" w:rsidR="00FC3D00" w:rsidRPr="00FC3D00" w:rsidRDefault="00FC3D00" w:rsidP="00FC3D00">
                  <w:pPr>
                    <w:spacing w:after="0" w:line="240" w:lineRule="auto"/>
                    <w:rPr>
                      <w:rFonts w:ascii="Arial" w:eastAsia="Times New Roman" w:hAnsi="Arial" w:cs="Arial"/>
                      <w:lang w:eastAsia="en-GB"/>
                    </w:rPr>
                  </w:pPr>
                  <w:r w:rsidRPr="00FC3D00">
                    <w:rPr>
                      <w:rFonts w:ascii="Arial" w:eastAsia="Times New Roman" w:hAnsi="Arial" w:cs="Arial"/>
                      <w:lang w:eastAsia="en-GB"/>
                    </w:rPr>
                    <w:t>Sustained Competitive Advantage</w:t>
                  </w:r>
                </w:p>
              </w:tc>
            </w:tr>
          </w:tbl>
          <w:p w14:paraId="25658FDA" w14:textId="77777777" w:rsidR="008F6AC7" w:rsidRPr="00FC3D00" w:rsidRDefault="008F6AC7" w:rsidP="00EC49FC">
            <w:pPr>
              <w:jc w:val="center"/>
              <w:rPr>
                <w:rFonts w:ascii="Arial" w:hAnsi="Arial" w:cs="Arial"/>
                <w:b/>
                <w:bCs/>
              </w:rPr>
            </w:pPr>
          </w:p>
        </w:tc>
        <w:tc>
          <w:tcPr>
            <w:tcW w:w="2127" w:type="dxa"/>
          </w:tcPr>
          <w:p w14:paraId="444C7111" w14:textId="24D88DC7" w:rsidR="008F6AC7" w:rsidRPr="00FC3D00" w:rsidRDefault="008F6AC7" w:rsidP="00EC49FC">
            <w:pPr>
              <w:jc w:val="center"/>
              <w:rPr>
                <w:rFonts w:ascii="Arial" w:hAnsi="Arial" w:cs="Arial"/>
                <w:b/>
                <w:bCs/>
              </w:rPr>
            </w:pPr>
            <w:r w:rsidRPr="00FC3D00">
              <w:rPr>
                <w:rFonts w:ascii="Arial" w:hAnsi="Arial" w:cs="Arial"/>
              </w:rPr>
              <w:t>Highly automated and efficient production system (Nissan Production Way) creates superior productivity and quality levels that are difficult for rivals to replicate.</w:t>
            </w:r>
          </w:p>
        </w:tc>
      </w:tr>
      <w:tr w:rsidR="00FC3D00" w14:paraId="180400DC" w14:textId="77777777" w:rsidTr="003F059C">
        <w:trPr>
          <w:trHeight w:val="841"/>
        </w:trPr>
        <w:tc>
          <w:tcPr>
            <w:tcW w:w="1661" w:type="dxa"/>
          </w:tcPr>
          <w:p w14:paraId="169FF91D" w14:textId="40E138E9" w:rsidR="008F6AC7" w:rsidRPr="00FC3D00" w:rsidRDefault="00FC3D00" w:rsidP="00EC49FC">
            <w:pPr>
              <w:jc w:val="center"/>
              <w:rPr>
                <w:rFonts w:ascii="Arial" w:hAnsi="Arial" w:cs="Arial"/>
                <w:b/>
                <w:bCs/>
                <w:i/>
                <w:iCs/>
                <w:sz w:val="32"/>
                <w:szCs w:val="32"/>
              </w:rPr>
            </w:pPr>
            <w:r w:rsidRPr="00FC3D00">
              <w:rPr>
                <w:rFonts w:ascii="Arial" w:hAnsi="Arial" w:cs="Arial"/>
                <w:i/>
                <w:iCs/>
              </w:rPr>
              <w:t>Electric Vehicle (EV) Technology &amp; Innovation</w:t>
            </w:r>
          </w:p>
        </w:tc>
        <w:tc>
          <w:tcPr>
            <w:tcW w:w="1028" w:type="dxa"/>
          </w:tcPr>
          <w:p w14:paraId="783732F5" w14:textId="77777777" w:rsidR="00F0275C" w:rsidRDefault="00F0275C" w:rsidP="00EC49FC">
            <w:pPr>
              <w:jc w:val="center"/>
              <w:rPr>
                <w:rFonts w:ascii="Segoe UI Emoji" w:hAnsi="Segoe UI Emoji" w:cs="Segoe UI Emoji"/>
              </w:rPr>
            </w:pPr>
          </w:p>
          <w:p w14:paraId="50156E69" w14:textId="77777777" w:rsidR="00F0275C" w:rsidRDefault="00F0275C" w:rsidP="00EC49FC">
            <w:pPr>
              <w:jc w:val="center"/>
              <w:rPr>
                <w:rFonts w:ascii="Segoe UI Emoji" w:hAnsi="Segoe UI Emoji" w:cs="Segoe UI Emoji"/>
              </w:rPr>
            </w:pPr>
          </w:p>
          <w:p w14:paraId="7AF7EEF8" w14:textId="77777777" w:rsidR="00F0275C" w:rsidRDefault="00F0275C" w:rsidP="00EC49FC">
            <w:pPr>
              <w:jc w:val="center"/>
              <w:rPr>
                <w:rFonts w:ascii="Segoe UI Emoji" w:hAnsi="Segoe UI Emoji" w:cs="Segoe UI Emoji"/>
              </w:rPr>
            </w:pPr>
          </w:p>
          <w:p w14:paraId="122478EC" w14:textId="6139A190" w:rsidR="008F6AC7" w:rsidRPr="00FC3D00" w:rsidRDefault="00FC3D00" w:rsidP="00EC49FC">
            <w:pPr>
              <w:jc w:val="center"/>
              <w:rPr>
                <w:rFonts w:ascii="Arial" w:hAnsi="Arial" w:cs="Arial"/>
                <w:b/>
                <w:bCs/>
                <w:sz w:val="32"/>
                <w:szCs w:val="32"/>
              </w:rPr>
            </w:pPr>
            <w:r w:rsidRPr="00FC3D00">
              <w:rPr>
                <w:rFonts w:ascii="Segoe UI Emoji" w:hAnsi="Segoe UI Emoji" w:cs="Segoe UI Emoji"/>
              </w:rPr>
              <w:t>✔</w:t>
            </w:r>
            <w:r w:rsidRPr="00FC3D00">
              <w:rPr>
                <w:rFonts w:ascii="Arial" w:hAnsi="Arial" w:cs="Arial"/>
              </w:rPr>
              <w:t>️</w:t>
            </w:r>
          </w:p>
        </w:tc>
        <w:tc>
          <w:tcPr>
            <w:tcW w:w="839" w:type="dxa"/>
          </w:tcPr>
          <w:p w14:paraId="183811FF" w14:textId="77777777" w:rsidR="00F0275C" w:rsidRDefault="00F0275C" w:rsidP="00EC49FC">
            <w:pPr>
              <w:jc w:val="center"/>
              <w:rPr>
                <w:rFonts w:ascii="Segoe UI Emoji" w:hAnsi="Segoe UI Emoji" w:cs="Segoe UI Emoji"/>
              </w:rPr>
            </w:pPr>
          </w:p>
          <w:p w14:paraId="25094C40" w14:textId="77777777" w:rsidR="00F0275C" w:rsidRDefault="00F0275C" w:rsidP="00EC49FC">
            <w:pPr>
              <w:jc w:val="center"/>
              <w:rPr>
                <w:rFonts w:ascii="Segoe UI Emoji" w:hAnsi="Segoe UI Emoji" w:cs="Segoe UI Emoji"/>
              </w:rPr>
            </w:pPr>
          </w:p>
          <w:p w14:paraId="681ECE4C" w14:textId="77777777" w:rsidR="00F0275C" w:rsidRDefault="00F0275C" w:rsidP="00EC49FC">
            <w:pPr>
              <w:jc w:val="center"/>
              <w:rPr>
                <w:rFonts w:ascii="Segoe UI Emoji" w:hAnsi="Segoe UI Emoji" w:cs="Segoe UI Emoji"/>
              </w:rPr>
            </w:pPr>
          </w:p>
          <w:p w14:paraId="1C3FAFBB" w14:textId="70BEF08A" w:rsidR="008F6AC7" w:rsidRPr="00FC3D00" w:rsidRDefault="00FC3D00" w:rsidP="00EC49FC">
            <w:pPr>
              <w:jc w:val="center"/>
              <w:rPr>
                <w:rFonts w:ascii="Arial" w:hAnsi="Arial" w:cs="Arial"/>
                <w:b/>
                <w:bCs/>
                <w:sz w:val="32"/>
                <w:szCs w:val="32"/>
              </w:rPr>
            </w:pPr>
            <w:r w:rsidRPr="00FC3D00">
              <w:rPr>
                <w:rFonts w:ascii="Segoe UI Emoji" w:hAnsi="Segoe UI Emoji" w:cs="Segoe UI Emoji"/>
              </w:rPr>
              <w:t>✔</w:t>
            </w:r>
            <w:r w:rsidRPr="00FC3D00">
              <w:rPr>
                <w:rFonts w:ascii="Arial" w:hAnsi="Arial" w:cs="Arial"/>
              </w:rPr>
              <w:t>️</w:t>
            </w:r>
          </w:p>
        </w:tc>
        <w:tc>
          <w:tcPr>
            <w:tcW w:w="1145" w:type="dxa"/>
          </w:tcPr>
          <w:p w14:paraId="4186F7AB" w14:textId="77777777" w:rsidR="00F0275C" w:rsidRDefault="00F0275C" w:rsidP="00EC49FC">
            <w:pPr>
              <w:jc w:val="center"/>
              <w:rPr>
                <w:rFonts w:ascii="Segoe UI Emoji" w:hAnsi="Segoe UI Emoji" w:cs="Segoe UI Emoji"/>
              </w:rPr>
            </w:pPr>
          </w:p>
          <w:p w14:paraId="0B94BF9D" w14:textId="77777777" w:rsidR="00F0275C" w:rsidRDefault="00F0275C" w:rsidP="00EC49FC">
            <w:pPr>
              <w:jc w:val="center"/>
              <w:rPr>
                <w:rFonts w:ascii="Segoe UI Emoji" w:hAnsi="Segoe UI Emoji" w:cs="Segoe UI Emoji"/>
              </w:rPr>
            </w:pPr>
          </w:p>
          <w:p w14:paraId="435069A4" w14:textId="77777777" w:rsidR="00F0275C" w:rsidRDefault="00F0275C" w:rsidP="00EC49FC">
            <w:pPr>
              <w:jc w:val="center"/>
              <w:rPr>
                <w:rFonts w:ascii="Segoe UI Emoji" w:hAnsi="Segoe UI Emoji" w:cs="Segoe UI Emoji"/>
              </w:rPr>
            </w:pPr>
          </w:p>
          <w:p w14:paraId="52456309" w14:textId="6487A84C" w:rsidR="008F6AC7" w:rsidRPr="00FC3D00" w:rsidRDefault="00FC3D00" w:rsidP="00EC49FC">
            <w:pPr>
              <w:jc w:val="center"/>
              <w:rPr>
                <w:rFonts w:ascii="Arial" w:hAnsi="Arial" w:cs="Arial"/>
                <w:b/>
                <w:bCs/>
                <w:sz w:val="32"/>
                <w:szCs w:val="32"/>
              </w:rPr>
            </w:pPr>
            <w:r w:rsidRPr="00FC3D00">
              <w:rPr>
                <w:rFonts w:ascii="Segoe UI Emoji" w:hAnsi="Segoe UI Emoji" w:cs="Segoe UI Emoji"/>
              </w:rPr>
              <w:t>⚪</w:t>
            </w:r>
          </w:p>
        </w:tc>
        <w:tc>
          <w:tcPr>
            <w:tcW w:w="1356" w:type="dxa"/>
          </w:tcPr>
          <w:p w14:paraId="11C7C45C" w14:textId="77777777" w:rsidR="00F0275C" w:rsidRDefault="00F0275C" w:rsidP="00EC49FC">
            <w:pPr>
              <w:jc w:val="center"/>
              <w:rPr>
                <w:rFonts w:ascii="Segoe UI Emoji" w:hAnsi="Segoe UI Emoji" w:cs="Segoe UI Emoji"/>
              </w:rPr>
            </w:pPr>
          </w:p>
          <w:p w14:paraId="12249DD0" w14:textId="77777777" w:rsidR="00F0275C" w:rsidRDefault="00F0275C" w:rsidP="00EC49FC">
            <w:pPr>
              <w:jc w:val="center"/>
              <w:rPr>
                <w:rFonts w:ascii="Segoe UI Emoji" w:hAnsi="Segoe UI Emoji" w:cs="Segoe UI Emoji"/>
              </w:rPr>
            </w:pPr>
          </w:p>
          <w:p w14:paraId="67FCCB14" w14:textId="77777777" w:rsidR="00F0275C" w:rsidRDefault="00F0275C" w:rsidP="00EC49FC">
            <w:pPr>
              <w:jc w:val="center"/>
              <w:rPr>
                <w:rFonts w:ascii="Segoe UI Emoji" w:hAnsi="Segoe UI Emoji" w:cs="Segoe UI Emoji"/>
              </w:rPr>
            </w:pPr>
          </w:p>
          <w:p w14:paraId="4AF542C2" w14:textId="21C6F048" w:rsidR="008F6AC7" w:rsidRPr="00FC3D00" w:rsidRDefault="00FC3D00" w:rsidP="00EC49FC">
            <w:pPr>
              <w:jc w:val="center"/>
              <w:rPr>
                <w:rFonts w:ascii="Arial" w:hAnsi="Arial" w:cs="Arial"/>
                <w:b/>
                <w:bCs/>
                <w:sz w:val="32"/>
                <w:szCs w:val="32"/>
              </w:rPr>
            </w:pPr>
            <w:r w:rsidRPr="00FC3D00">
              <w:rPr>
                <w:rFonts w:ascii="Segoe UI Emoji" w:hAnsi="Segoe UI Emoji" w:cs="Segoe UI Emoji"/>
              </w:rPr>
              <w:t>✔</w:t>
            </w:r>
            <w:r w:rsidRPr="00FC3D00">
              <w:rPr>
                <w:rFonts w:ascii="Arial" w:hAnsi="Arial" w:cs="Arial"/>
              </w:rPr>
              <w:t>️</w:t>
            </w:r>
          </w:p>
        </w:tc>
        <w:tc>
          <w:tcPr>
            <w:tcW w:w="1337" w:type="dxa"/>
          </w:tcPr>
          <w:p w14:paraId="3E0EFB4C" w14:textId="422C0397" w:rsidR="008F6AC7" w:rsidRPr="00FC3D00" w:rsidRDefault="00FC3D00" w:rsidP="00EC49FC">
            <w:pPr>
              <w:jc w:val="center"/>
              <w:rPr>
                <w:rFonts w:ascii="Arial" w:hAnsi="Arial" w:cs="Arial"/>
                <w:b/>
                <w:bCs/>
                <w:sz w:val="32"/>
                <w:szCs w:val="32"/>
              </w:rPr>
            </w:pPr>
            <w:r w:rsidRPr="00FC3D00">
              <w:rPr>
                <w:rFonts w:ascii="Arial" w:hAnsi="Arial" w:cs="Arial"/>
              </w:rPr>
              <w:t>Temporary Advantage</w:t>
            </w:r>
          </w:p>
        </w:tc>
        <w:tc>
          <w:tcPr>
            <w:tcW w:w="2127" w:type="dxa"/>
          </w:tcPr>
          <w:p w14:paraId="5FCB5EE2" w14:textId="3771DC18" w:rsidR="008F6AC7" w:rsidRPr="00FC3D00" w:rsidRDefault="00FC3D00" w:rsidP="00EC49FC">
            <w:pPr>
              <w:jc w:val="center"/>
              <w:rPr>
                <w:rFonts w:ascii="Arial" w:hAnsi="Arial" w:cs="Arial"/>
                <w:b/>
                <w:bCs/>
                <w:sz w:val="32"/>
                <w:szCs w:val="32"/>
              </w:rPr>
            </w:pPr>
            <w:r w:rsidRPr="00FC3D00">
              <w:rPr>
                <w:rFonts w:ascii="Arial" w:hAnsi="Arial" w:cs="Arial"/>
              </w:rPr>
              <w:t>Early leader with the Nissan Leaf; however, increasing competition in EV tech from Tesla, Hyundai, and VW reduces rarity over time.</w:t>
            </w:r>
          </w:p>
        </w:tc>
      </w:tr>
      <w:tr w:rsidR="00FC3D00" w14:paraId="450641AF" w14:textId="77777777" w:rsidTr="00FC3D00">
        <w:tc>
          <w:tcPr>
            <w:tcW w:w="1661" w:type="dxa"/>
          </w:tcPr>
          <w:p w14:paraId="6CA1BBF4" w14:textId="27ADE536" w:rsidR="008F6AC7" w:rsidRPr="00F0275C" w:rsidRDefault="00FC3D00" w:rsidP="00EC49FC">
            <w:pPr>
              <w:jc w:val="center"/>
              <w:rPr>
                <w:rFonts w:ascii="Arial" w:hAnsi="Arial" w:cs="Arial"/>
                <w:b/>
                <w:bCs/>
                <w:sz w:val="32"/>
                <w:szCs w:val="32"/>
              </w:rPr>
            </w:pPr>
            <w:r w:rsidRPr="00F0275C">
              <w:rPr>
                <w:rFonts w:ascii="Arial" w:hAnsi="Arial" w:cs="Arial"/>
              </w:rPr>
              <w:t>Global Alliance with Renault &amp; Mitsubishi</w:t>
            </w:r>
          </w:p>
        </w:tc>
        <w:tc>
          <w:tcPr>
            <w:tcW w:w="1028" w:type="dxa"/>
          </w:tcPr>
          <w:p w14:paraId="07600A1B" w14:textId="77777777" w:rsidR="00F0275C" w:rsidRDefault="00F0275C" w:rsidP="00EC49FC">
            <w:pPr>
              <w:jc w:val="center"/>
              <w:rPr>
                <w:rFonts w:ascii="Segoe UI Emoji" w:hAnsi="Segoe UI Emoji" w:cs="Segoe UI Emoji"/>
              </w:rPr>
            </w:pPr>
          </w:p>
          <w:p w14:paraId="11A4DDF9" w14:textId="77777777" w:rsidR="00F0275C" w:rsidRDefault="00F0275C" w:rsidP="00EC49FC">
            <w:pPr>
              <w:jc w:val="center"/>
              <w:rPr>
                <w:rFonts w:ascii="Segoe UI Emoji" w:hAnsi="Segoe UI Emoji" w:cs="Segoe UI Emoji"/>
              </w:rPr>
            </w:pPr>
          </w:p>
          <w:p w14:paraId="609899C4" w14:textId="77777777" w:rsidR="00F0275C" w:rsidRDefault="00F0275C" w:rsidP="00EC49FC">
            <w:pPr>
              <w:jc w:val="center"/>
              <w:rPr>
                <w:rFonts w:ascii="Segoe UI Emoji" w:hAnsi="Segoe UI Emoji" w:cs="Segoe UI Emoji"/>
              </w:rPr>
            </w:pPr>
          </w:p>
          <w:p w14:paraId="13B47D26" w14:textId="7CE46236" w:rsidR="008F6AC7" w:rsidRDefault="00FC3D00" w:rsidP="00EC49FC">
            <w:pPr>
              <w:jc w:val="center"/>
              <w:rPr>
                <w:rFonts w:ascii="Arial" w:hAnsi="Arial" w:cs="Arial"/>
                <w:b/>
                <w:bCs/>
                <w:sz w:val="32"/>
                <w:szCs w:val="32"/>
              </w:rPr>
            </w:pPr>
            <w:r>
              <w:rPr>
                <w:rFonts w:ascii="Segoe UI Emoji" w:hAnsi="Segoe UI Emoji" w:cs="Segoe UI Emoji"/>
              </w:rPr>
              <w:t>✔</w:t>
            </w:r>
            <w:r>
              <w:t>️</w:t>
            </w:r>
          </w:p>
        </w:tc>
        <w:tc>
          <w:tcPr>
            <w:tcW w:w="839" w:type="dxa"/>
          </w:tcPr>
          <w:p w14:paraId="68692D98" w14:textId="77777777" w:rsidR="00F0275C" w:rsidRDefault="00F0275C" w:rsidP="00EC49FC">
            <w:pPr>
              <w:jc w:val="center"/>
              <w:rPr>
                <w:rFonts w:ascii="Segoe UI Emoji" w:hAnsi="Segoe UI Emoji" w:cs="Segoe UI Emoji"/>
              </w:rPr>
            </w:pPr>
          </w:p>
          <w:p w14:paraId="76B38C19" w14:textId="77777777" w:rsidR="00F0275C" w:rsidRDefault="00F0275C" w:rsidP="00EC49FC">
            <w:pPr>
              <w:jc w:val="center"/>
              <w:rPr>
                <w:rFonts w:ascii="Segoe UI Emoji" w:hAnsi="Segoe UI Emoji" w:cs="Segoe UI Emoji"/>
              </w:rPr>
            </w:pPr>
          </w:p>
          <w:p w14:paraId="21189A10" w14:textId="77777777" w:rsidR="00F0275C" w:rsidRDefault="00F0275C" w:rsidP="00EC49FC">
            <w:pPr>
              <w:jc w:val="center"/>
              <w:rPr>
                <w:rFonts w:ascii="Segoe UI Emoji" w:hAnsi="Segoe UI Emoji" w:cs="Segoe UI Emoji"/>
              </w:rPr>
            </w:pPr>
          </w:p>
          <w:p w14:paraId="0E31D7E0" w14:textId="61129630" w:rsidR="008F6AC7" w:rsidRDefault="00FC3D00" w:rsidP="00EC49FC">
            <w:pPr>
              <w:jc w:val="center"/>
              <w:rPr>
                <w:rFonts w:ascii="Arial" w:hAnsi="Arial" w:cs="Arial"/>
                <w:b/>
                <w:bCs/>
                <w:sz w:val="32"/>
                <w:szCs w:val="32"/>
              </w:rPr>
            </w:pPr>
            <w:r>
              <w:rPr>
                <w:rFonts w:ascii="Segoe UI Emoji" w:hAnsi="Segoe UI Emoji" w:cs="Segoe UI Emoji"/>
              </w:rPr>
              <w:t>✔</w:t>
            </w:r>
            <w:r>
              <w:t>️</w:t>
            </w:r>
          </w:p>
        </w:tc>
        <w:tc>
          <w:tcPr>
            <w:tcW w:w="1145" w:type="dxa"/>
          </w:tcPr>
          <w:p w14:paraId="3C076821" w14:textId="77777777" w:rsidR="00F0275C" w:rsidRDefault="00F0275C" w:rsidP="00EC49FC">
            <w:pPr>
              <w:jc w:val="center"/>
              <w:rPr>
                <w:rFonts w:ascii="Segoe UI Emoji" w:hAnsi="Segoe UI Emoji" w:cs="Segoe UI Emoji"/>
              </w:rPr>
            </w:pPr>
          </w:p>
          <w:p w14:paraId="45B46551" w14:textId="77777777" w:rsidR="00F0275C" w:rsidRDefault="00F0275C" w:rsidP="00EC49FC">
            <w:pPr>
              <w:jc w:val="center"/>
              <w:rPr>
                <w:rFonts w:ascii="Segoe UI Emoji" w:hAnsi="Segoe UI Emoji" w:cs="Segoe UI Emoji"/>
              </w:rPr>
            </w:pPr>
          </w:p>
          <w:p w14:paraId="6ECD59C7" w14:textId="77777777" w:rsidR="00F0275C" w:rsidRDefault="00F0275C" w:rsidP="00EC49FC">
            <w:pPr>
              <w:jc w:val="center"/>
              <w:rPr>
                <w:rFonts w:ascii="Segoe UI Emoji" w:hAnsi="Segoe UI Emoji" w:cs="Segoe UI Emoji"/>
              </w:rPr>
            </w:pPr>
          </w:p>
          <w:p w14:paraId="29336147" w14:textId="771143A0" w:rsidR="008F6AC7" w:rsidRDefault="00F0275C" w:rsidP="00F0275C">
            <w:pPr>
              <w:rPr>
                <w:rFonts w:ascii="Arial" w:hAnsi="Arial" w:cs="Arial"/>
                <w:b/>
                <w:bCs/>
                <w:sz w:val="32"/>
                <w:szCs w:val="32"/>
              </w:rPr>
            </w:pPr>
            <w:r>
              <w:rPr>
                <w:rFonts w:ascii="Segoe UI Emoji" w:hAnsi="Segoe UI Emoji" w:cs="Segoe UI Emoji"/>
              </w:rPr>
              <w:t xml:space="preserve">   </w:t>
            </w:r>
            <w:r w:rsidR="00FC3D00">
              <w:rPr>
                <w:rFonts w:ascii="Segoe UI Emoji" w:hAnsi="Segoe UI Emoji" w:cs="Segoe UI Emoji"/>
              </w:rPr>
              <w:t>✔</w:t>
            </w:r>
            <w:r w:rsidR="00FC3D00">
              <w:t>️</w:t>
            </w:r>
          </w:p>
        </w:tc>
        <w:tc>
          <w:tcPr>
            <w:tcW w:w="1356" w:type="dxa"/>
          </w:tcPr>
          <w:p w14:paraId="29BD76E4" w14:textId="77777777" w:rsidR="00F0275C" w:rsidRDefault="00F0275C" w:rsidP="00EC49FC">
            <w:pPr>
              <w:jc w:val="center"/>
              <w:rPr>
                <w:rFonts w:ascii="Segoe UI Emoji" w:hAnsi="Segoe UI Emoji" w:cs="Segoe UI Emoji"/>
              </w:rPr>
            </w:pPr>
          </w:p>
          <w:p w14:paraId="20884749" w14:textId="77777777" w:rsidR="00F0275C" w:rsidRDefault="00F0275C" w:rsidP="00EC49FC">
            <w:pPr>
              <w:jc w:val="center"/>
              <w:rPr>
                <w:rFonts w:ascii="Segoe UI Emoji" w:hAnsi="Segoe UI Emoji" w:cs="Segoe UI Emoji"/>
              </w:rPr>
            </w:pPr>
          </w:p>
          <w:p w14:paraId="17B623AC" w14:textId="77777777" w:rsidR="00F0275C" w:rsidRDefault="00F0275C" w:rsidP="00EC49FC">
            <w:pPr>
              <w:jc w:val="center"/>
              <w:rPr>
                <w:rFonts w:ascii="Segoe UI Emoji" w:hAnsi="Segoe UI Emoji" w:cs="Segoe UI Emoji"/>
              </w:rPr>
            </w:pPr>
          </w:p>
          <w:p w14:paraId="33279D69" w14:textId="27237E6F" w:rsidR="008F6AC7" w:rsidRPr="00F0275C" w:rsidRDefault="00FC3D00" w:rsidP="00EC49FC">
            <w:pPr>
              <w:jc w:val="center"/>
              <w:rPr>
                <w:rFonts w:ascii="Arial" w:hAnsi="Arial" w:cs="Arial"/>
                <w:b/>
                <w:bCs/>
                <w:sz w:val="32"/>
                <w:szCs w:val="32"/>
              </w:rPr>
            </w:pPr>
            <w:r w:rsidRPr="00F0275C">
              <w:rPr>
                <w:rFonts w:ascii="Segoe UI Emoji" w:hAnsi="Segoe UI Emoji" w:cs="Segoe UI Emoji"/>
              </w:rPr>
              <w:t>✔</w:t>
            </w:r>
            <w:r w:rsidRPr="00F0275C">
              <w:rPr>
                <w:rFonts w:ascii="Arial" w:hAnsi="Arial" w:cs="Arial"/>
              </w:rPr>
              <w:t>️</w:t>
            </w:r>
          </w:p>
        </w:tc>
        <w:tc>
          <w:tcPr>
            <w:tcW w:w="1337" w:type="dxa"/>
          </w:tcPr>
          <w:p w14:paraId="11CE9CF7" w14:textId="6C9AB3C5" w:rsidR="008F6AC7" w:rsidRPr="00F0275C" w:rsidRDefault="00FC3D00" w:rsidP="00EC49FC">
            <w:pPr>
              <w:jc w:val="center"/>
              <w:rPr>
                <w:rFonts w:ascii="Arial" w:hAnsi="Arial" w:cs="Arial"/>
                <w:b/>
                <w:bCs/>
                <w:sz w:val="32"/>
                <w:szCs w:val="32"/>
              </w:rPr>
            </w:pPr>
            <w:r w:rsidRPr="00F0275C">
              <w:rPr>
                <w:rFonts w:ascii="Arial" w:hAnsi="Arial" w:cs="Arial"/>
              </w:rPr>
              <w:t>Sustained Competitive Advantage</w:t>
            </w:r>
          </w:p>
        </w:tc>
        <w:tc>
          <w:tcPr>
            <w:tcW w:w="2127" w:type="dxa"/>
          </w:tcPr>
          <w:p w14:paraId="3E685EB6" w14:textId="45069361" w:rsidR="008F6AC7" w:rsidRPr="00F0275C" w:rsidRDefault="00FC3D00" w:rsidP="00EC49FC">
            <w:pPr>
              <w:jc w:val="center"/>
              <w:rPr>
                <w:rFonts w:ascii="Arial" w:hAnsi="Arial" w:cs="Arial"/>
                <w:b/>
                <w:bCs/>
                <w:sz w:val="32"/>
                <w:szCs w:val="32"/>
              </w:rPr>
            </w:pPr>
            <w:r w:rsidRPr="00F0275C">
              <w:rPr>
                <w:rFonts w:ascii="Arial" w:hAnsi="Arial" w:cs="Arial"/>
              </w:rPr>
              <w:t xml:space="preserve">Access to shared R&amp;D, technology, and economies of scale through the Alliance structure; rare and organisationally </w:t>
            </w:r>
            <w:r w:rsidRPr="00F0275C">
              <w:rPr>
                <w:rFonts w:ascii="Arial" w:hAnsi="Arial" w:cs="Arial"/>
              </w:rPr>
              <w:lastRenderedPageBreak/>
              <w:t>embedded partnership.</w:t>
            </w:r>
          </w:p>
        </w:tc>
      </w:tr>
      <w:tr w:rsidR="00FC3D00" w14:paraId="391A0870" w14:textId="77777777" w:rsidTr="00FC3D00">
        <w:tc>
          <w:tcPr>
            <w:tcW w:w="1661" w:type="dxa"/>
          </w:tcPr>
          <w:p w14:paraId="1C12C10D" w14:textId="0362A527" w:rsidR="008F6AC7" w:rsidRPr="00F0275C" w:rsidRDefault="00F0275C" w:rsidP="00EC49FC">
            <w:pPr>
              <w:jc w:val="center"/>
              <w:rPr>
                <w:rFonts w:ascii="Arial" w:hAnsi="Arial" w:cs="Arial"/>
                <w:b/>
                <w:bCs/>
              </w:rPr>
            </w:pPr>
            <w:r w:rsidRPr="00F0275C">
              <w:rPr>
                <w:rFonts w:ascii="Arial" w:hAnsi="Arial" w:cs="Arial"/>
              </w:rPr>
              <w:lastRenderedPageBreak/>
              <w:t>Brand Reputation and Market Recognition</w:t>
            </w:r>
          </w:p>
        </w:tc>
        <w:tc>
          <w:tcPr>
            <w:tcW w:w="1028" w:type="dxa"/>
          </w:tcPr>
          <w:p w14:paraId="5A64DB5F" w14:textId="77777777" w:rsidR="00F0275C" w:rsidRPr="00F0275C" w:rsidRDefault="00F0275C" w:rsidP="00EC49FC">
            <w:pPr>
              <w:jc w:val="center"/>
              <w:rPr>
                <w:rFonts w:ascii="Arial" w:hAnsi="Arial" w:cs="Arial"/>
              </w:rPr>
            </w:pPr>
          </w:p>
          <w:p w14:paraId="4C8A4593" w14:textId="77777777" w:rsidR="00F0275C" w:rsidRPr="00F0275C" w:rsidRDefault="00F0275C" w:rsidP="00EC49FC">
            <w:pPr>
              <w:jc w:val="center"/>
              <w:rPr>
                <w:rFonts w:ascii="Arial" w:hAnsi="Arial" w:cs="Arial"/>
              </w:rPr>
            </w:pPr>
          </w:p>
          <w:p w14:paraId="4D7DBCA0" w14:textId="77777777" w:rsidR="00F0275C" w:rsidRPr="00F0275C" w:rsidRDefault="00F0275C" w:rsidP="00EC49FC">
            <w:pPr>
              <w:jc w:val="center"/>
              <w:rPr>
                <w:rFonts w:ascii="Arial" w:hAnsi="Arial" w:cs="Arial"/>
              </w:rPr>
            </w:pPr>
          </w:p>
          <w:p w14:paraId="1684C779" w14:textId="6F9BF7C9"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839" w:type="dxa"/>
          </w:tcPr>
          <w:p w14:paraId="5EA295D0" w14:textId="77777777" w:rsidR="00F0275C" w:rsidRPr="00F0275C" w:rsidRDefault="00F0275C" w:rsidP="00EC49FC">
            <w:pPr>
              <w:jc w:val="center"/>
              <w:rPr>
                <w:rFonts w:ascii="Arial" w:hAnsi="Arial" w:cs="Arial"/>
              </w:rPr>
            </w:pPr>
          </w:p>
          <w:p w14:paraId="0859D73A" w14:textId="77777777" w:rsidR="00F0275C" w:rsidRPr="00F0275C" w:rsidRDefault="00F0275C" w:rsidP="00EC49FC">
            <w:pPr>
              <w:jc w:val="center"/>
              <w:rPr>
                <w:rFonts w:ascii="Arial" w:hAnsi="Arial" w:cs="Arial"/>
              </w:rPr>
            </w:pPr>
          </w:p>
          <w:p w14:paraId="679CCB34" w14:textId="77777777" w:rsidR="00F0275C" w:rsidRPr="00F0275C" w:rsidRDefault="00F0275C" w:rsidP="00EC49FC">
            <w:pPr>
              <w:jc w:val="center"/>
              <w:rPr>
                <w:rFonts w:ascii="Arial" w:hAnsi="Arial" w:cs="Arial"/>
              </w:rPr>
            </w:pPr>
          </w:p>
          <w:p w14:paraId="7EE525D3" w14:textId="79A26F82" w:rsidR="008F6AC7" w:rsidRPr="00F0275C" w:rsidRDefault="00F0275C" w:rsidP="00EC49FC">
            <w:pPr>
              <w:jc w:val="center"/>
              <w:rPr>
                <w:rFonts w:ascii="Arial" w:hAnsi="Arial" w:cs="Arial"/>
                <w:b/>
                <w:bCs/>
              </w:rPr>
            </w:pPr>
            <w:r w:rsidRPr="00F0275C">
              <w:rPr>
                <w:rFonts w:ascii="Segoe UI Emoji" w:hAnsi="Segoe UI Emoji" w:cs="Segoe UI Emoji"/>
              </w:rPr>
              <w:t>⚪</w:t>
            </w:r>
          </w:p>
        </w:tc>
        <w:tc>
          <w:tcPr>
            <w:tcW w:w="1145" w:type="dxa"/>
          </w:tcPr>
          <w:p w14:paraId="18980DF2" w14:textId="77777777" w:rsidR="00F0275C" w:rsidRPr="00F0275C" w:rsidRDefault="00F0275C" w:rsidP="00EC49FC">
            <w:pPr>
              <w:jc w:val="center"/>
              <w:rPr>
                <w:rFonts w:ascii="Arial" w:hAnsi="Arial" w:cs="Arial"/>
              </w:rPr>
            </w:pPr>
          </w:p>
          <w:p w14:paraId="0622EBA4" w14:textId="77777777" w:rsidR="00F0275C" w:rsidRPr="00F0275C" w:rsidRDefault="00F0275C" w:rsidP="00EC49FC">
            <w:pPr>
              <w:jc w:val="center"/>
              <w:rPr>
                <w:rFonts w:ascii="Arial" w:hAnsi="Arial" w:cs="Arial"/>
              </w:rPr>
            </w:pPr>
          </w:p>
          <w:p w14:paraId="6C864A58" w14:textId="77777777" w:rsidR="00F0275C" w:rsidRPr="00F0275C" w:rsidRDefault="00F0275C" w:rsidP="00EC49FC">
            <w:pPr>
              <w:jc w:val="center"/>
              <w:rPr>
                <w:rFonts w:ascii="Arial" w:hAnsi="Arial" w:cs="Arial"/>
              </w:rPr>
            </w:pPr>
          </w:p>
          <w:p w14:paraId="37E90AAF" w14:textId="04B69BDE" w:rsidR="008F6AC7" w:rsidRPr="00F0275C" w:rsidRDefault="00F0275C" w:rsidP="00EC49FC">
            <w:pPr>
              <w:jc w:val="center"/>
              <w:rPr>
                <w:rFonts w:ascii="Arial" w:hAnsi="Arial" w:cs="Arial"/>
                <w:b/>
                <w:bCs/>
              </w:rPr>
            </w:pPr>
            <w:r w:rsidRPr="00F0275C">
              <w:rPr>
                <w:rFonts w:ascii="Segoe UI Emoji" w:hAnsi="Segoe UI Emoji" w:cs="Segoe UI Emoji"/>
              </w:rPr>
              <w:t>⚪</w:t>
            </w:r>
          </w:p>
        </w:tc>
        <w:tc>
          <w:tcPr>
            <w:tcW w:w="1356" w:type="dxa"/>
          </w:tcPr>
          <w:p w14:paraId="6478CE5F" w14:textId="77777777" w:rsidR="00F0275C" w:rsidRPr="00F0275C" w:rsidRDefault="00F0275C" w:rsidP="00EC49FC">
            <w:pPr>
              <w:jc w:val="center"/>
              <w:rPr>
                <w:rFonts w:ascii="Arial" w:hAnsi="Arial" w:cs="Arial"/>
              </w:rPr>
            </w:pPr>
          </w:p>
          <w:p w14:paraId="3FDFB674" w14:textId="77777777" w:rsidR="00F0275C" w:rsidRPr="00F0275C" w:rsidRDefault="00F0275C" w:rsidP="00EC49FC">
            <w:pPr>
              <w:jc w:val="center"/>
              <w:rPr>
                <w:rFonts w:ascii="Arial" w:hAnsi="Arial" w:cs="Arial"/>
              </w:rPr>
            </w:pPr>
          </w:p>
          <w:p w14:paraId="08C36896" w14:textId="77777777" w:rsidR="00F0275C" w:rsidRPr="00F0275C" w:rsidRDefault="00F0275C" w:rsidP="00EC49FC">
            <w:pPr>
              <w:jc w:val="center"/>
              <w:rPr>
                <w:rFonts w:ascii="Arial" w:hAnsi="Arial" w:cs="Arial"/>
              </w:rPr>
            </w:pPr>
          </w:p>
          <w:p w14:paraId="024BBF4F" w14:textId="046744B4"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1337" w:type="dxa"/>
          </w:tcPr>
          <w:p w14:paraId="2EF6E41C" w14:textId="340DEFDA" w:rsidR="008F6AC7" w:rsidRPr="00F0275C" w:rsidRDefault="00F0275C" w:rsidP="00EC49FC">
            <w:pPr>
              <w:jc w:val="center"/>
              <w:rPr>
                <w:rFonts w:ascii="Arial" w:hAnsi="Arial" w:cs="Arial"/>
                <w:b/>
                <w:bCs/>
              </w:rPr>
            </w:pPr>
            <w:r w:rsidRPr="00F0275C">
              <w:rPr>
                <w:rFonts w:ascii="Arial" w:hAnsi="Arial" w:cs="Arial"/>
              </w:rPr>
              <w:t>Temporary Advantage</w:t>
            </w:r>
          </w:p>
        </w:tc>
        <w:tc>
          <w:tcPr>
            <w:tcW w:w="2127" w:type="dxa"/>
          </w:tcPr>
          <w:p w14:paraId="5099D8AB" w14:textId="779B6909" w:rsidR="008F6AC7" w:rsidRPr="00F0275C" w:rsidRDefault="00F0275C" w:rsidP="00EC49FC">
            <w:pPr>
              <w:jc w:val="center"/>
              <w:rPr>
                <w:rFonts w:ascii="Arial" w:hAnsi="Arial" w:cs="Arial"/>
                <w:b/>
                <w:bCs/>
              </w:rPr>
            </w:pPr>
            <w:r w:rsidRPr="00F0275C">
              <w:rPr>
                <w:rFonts w:ascii="Arial" w:hAnsi="Arial" w:cs="Arial"/>
              </w:rPr>
              <w:t>Strong brand associated with reliability and innovation, though easily imitable and not unique among major automakers.</w:t>
            </w:r>
          </w:p>
        </w:tc>
      </w:tr>
      <w:tr w:rsidR="00FC3D00" w14:paraId="30E6CB7C" w14:textId="77777777" w:rsidTr="00FC3D00">
        <w:tc>
          <w:tcPr>
            <w:tcW w:w="1661" w:type="dxa"/>
          </w:tcPr>
          <w:p w14:paraId="36C2953E" w14:textId="107684E7" w:rsidR="008F6AC7" w:rsidRPr="00F0275C" w:rsidRDefault="00F0275C" w:rsidP="00EC49FC">
            <w:pPr>
              <w:jc w:val="center"/>
              <w:rPr>
                <w:rFonts w:ascii="Arial" w:hAnsi="Arial" w:cs="Arial"/>
                <w:b/>
                <w:bCs/>
              </w:rPr>
            </w:pPr>
            <w:r w:rsidRPr="00F0275C">
              <w:rPr>
                <w:rFonts w:ascii="Arial" w:hAnsi="Arial" w:cs="Arial"/>
              </w:rPr>
              <w:t>Skilled Workforce and Organisational Culture</w:t>
            </w:r>
          </w:p>
        </w:tc>
        <w:tc>
          <w:tcPr>
            <w:tcW w:w="1028" w:type="dxa"/>
          </w:tcPr>
          <w:p w14:paraId="4F46664A" w14:textId="77777777" w:rsidR="00F0275C" w:rsidRPr="00F0275C" w:rsidRDefault="00F0275C" w:rsidP="00EC49FC">
            <w:pPr>
              <w:jc w:val="center"/>
              <w:rPr>
                <w:rFonts w:ascii="Arial" w:hAnsi="Arial" w:cs="Arial"/>
              </w:rPr>
            </w:pPr>
          </w:p>
          <w:p w14:paraId="518A96D4" w14:textId="77777777" w:rsidR="00F0275C" w:rsidRPr="00F0275C" w:rsidRDefault="00F0275C" w:rsidP="00EC49FC">
            <w:pPr>
              <w:jc w:val="center"/>
              <w:rPr>
                <w:rFonts w:ascii="Arial" w:hAnsi="Arial" w:cs="Arial"/>
              </w:rPr>
            </w:pPr>
          </w:p>
          <w:p w14:paraId="59FD53E3" w14:textId="77777777" w:rsidR="00F0275C" w:rsidRPr="00F0275C" w:rsidRDefault="00F0275C" w:rsidP="00EC49FC">
            <w:pPr>
              <w:jc w:val="center"/>
              <w:rPr>
                <w:rFonts w:ascii="Arial" w:hAnsi="Arial" w:cs="Arial"/>
              </w:rPr>
            </w:pPr>
          </w:p>
          <w:p w14:paraId="61E43C38" w14:textId="4CC91A28"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839" w:type="dxa"/>
          </w:tcPr>
          <w:p w14:paraId="0A6B9C95" w14:textId="77777777" w:rsidR="00F0275C" w:rsidRPr="00F0275C" w:rsidRDefault="00F0275C" w:rsidP="00EC49FC">
            <w:pPr>
              <w:jc w:val="center"/>
              <w:rPr>
                <w:rFonts w:ascii="Arial" w:hAnsi="Arial" w:cs="Arial"/>
              </w:rPr>
            </w:pPr>
          </w:p>
          <w:p w14:paraId="2E35171F" w14:textId="77777777" w:rsidR="00F0275C" w:rsidRPr="00F0275C" w:rsidRDefault="00F0275C" w:rsidP="00EC49FC">
            <w:pPr>
              <w:jc w:val="center"/>
              <w:rPr>
                <w:rFonts w:ascii="Arial" w:hAnsi="Arial" w:cs="Arial"/>
              </w:rPr>
            </w:pPr>
          </w:p>
          <w:p w14:paraId="28A2CF24" w14:textId="77777777" w:rsidR="00F0275C" w:rsidRPr="00F0275C" w:rsidRDefault="00F0275C" w:rsidP="00EC49FC">
            <w:pPr>
              <w:jc w:val="center"/>
              <w:rPr>
                <w:rFonts w:ascii="Arial" w:hAnsi="Arial" w:cs="Arial"/>
              </w:rPr>
            </w:pPr>
          </w:p>
          <w:p w14:paraId="0BE7223D" w14:textId="45C4C412" w:rsidR="008F6AC7" w:rsidRPr="00F0275C" w:rsidRDefault="00F0275C" w:rsidP="00EC49FC">
            <w:pPr>
              <w:jc w:val="center"/>
              <w:rPr>
                <w:rFonts w:ascii="Arial" w:hAnsi="Arial" w:cs="Arial"/>
                <w:b/>
                <w:bCs/>
              </w:rPr>
            </w:pPr>
            <w:r w:rsidRPr="00F0275C">
              <w:rPr>
                <w:rFonts w:ascii="Segoe UI Emoji" w:hAnsi="Segoe UI Emoji" w:cs="Segoe UI Emoji"/>
              </w:rPr>
              <w:t>⚪</w:t>
            </w:r>
          </w:p>
        </w:tc>
        <w:tc>
          <w:tcPr>
            <w:tcW w:w="1145" w:type="dxa"/>
          </w:tcPr>
          <w:p w14:paraId="2F33B27F" w14:textId="77777777" w:rsidR="00F0275C" w:rsidRPr="00F0275C" w:rsidRDefault="00F0275C" w:rsidP="00EC49FC">
            <w:pPr>
              <w:jc w:val="center"/>
              <w:rPr>
                <w:rFonts w:ascii="Arial" w:hAnsi="Arial" w:cs="Arial"/>
              </w:rPr>
            </w:pPr>
          </w:p>
          <w:p w14:paraId="37002095" w14:textId="77777777" w:rsidR="00F0275C" w:rsidRPr="00F0275C" w:rsidRDefault="00F0275C" w:rsidP="00EC49FC">
            <w:pPr>
              <w:jc w:val="center"/>
              <w:rPr>
                <w:rFonts w:ascii="Arial" w:hAnsi="Arial" w:cs="Arial"/>
              </w:rPr>
            </w:pPr>
          </w:p>
          <w:p w14:paraId="55638025" w14:textId="77777777" w:rsidR="00F0275C" w:rsidRPr="00F0275C" w:rsidRDefault="00F0275C" w:rsidP="00EC49FC">
            <w:pPr>
              <w:jc w:val="center"/>
              <w:rPr>
                <w:rFonts w:ascii="Arial" w:hAnsi="Arial" w:cs="Arial"/>
              </w:rPr>
            </w:pPr>
          </w:p>
          <w:p w14:paraId="3D19353C" w14:textId="1AEEC760" w:rsidR="008F6AC7" w:rsidRPr="00F0275C" w:rsidRDefault="00F0275C" w:rsidP="00EC49FC">
            <w:pPr>
              <w:jc w:val="center"/>
              <w:rPr>
                <w:rFonts w:ascii="Arial" w:hAnsi="Arial" w:cs="Arial"/>
                <w:b/>
                <w:bCs/>
              </w:rPr>
            </w:pPr>
            <w:r w:rsidRPr="00F0275C">
              <w:rPr>
                <w:rFonts w:ascii="Segoe UI Emoji" w:hAnsi="Segoe UI Emoji" w:cs="Segoe UI Emoji"/>
              </w:rPr>
              <w:t>⚪</w:t>
            </w:r>
          </w:p>
        </w:tc>
        <w:tc>
          <w:tcPr>
            <w:tcW w:w="1356" w:type="dxa"/>
          </w:tcPr>
          <w:p w14:paraId="2EED6F9A" w14:textId="77777777" w:rsidR="00F0275C" w:rsidRPr="00F0275C" w:rsidRDefault="00F0275C" w:rsidP="00EC49FC">
            <w:pPr>
              <w:jc w:val="center"/>
              <w:rPr>
                <w:rFonts w:ascii="Arial" w:hAnsi="Arial" w:cs="Arial"/>
              </w:rPr>
            </w:pPr>
          </w:p>
          <w:p w14:paraId="3F1BC3D5" w14:textId="77777777" w:rsidR="00F0275C" w:rsidRPr="00F0275C" w:rsidRDefault="00F0275C" w:rsidP="00EC49FC">
            <w:pPr>
              <w:jc w:val="center"/>
              <w:rPr>
                <w:rFonts w:ascii="Arial" w:hAnsi="Arial" w:cs="Arial"/>
              </w:rPr>
            </w:pPr>
          </w:p>
          <w:p w14:paraId="27B32985" w14:textId="77777777" w:rsidR="00F0275C" w:rsidRPr="00F0275C" w:rsidRDefault="00F0275C" w:rsidP="00EC49FC">
            <w:pPr>
              <w:jc w:val="center"/>
              <w:rPr>
                <w:rFonts w:ascii="Arial" w:hAnsi="Arial" w:cs="Arial"/>
              </w:rPr>
            </w:pPr>
          </w:p>
          <w:p w14:paraId="0B1C05AF" w14:textId="273497E0"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1337" w:type="dxa"/>
          </w:tcPr>
          <w:p w14:paraId="4D12B79B" w14:textId="7A121070" w:rsidR="008F6AC7" w:rsidRPr="00F0275C" w:rsidRDefault="00F0275C" w:rsidP="00EC49FC">
            <w:pPr>
              <w:jc w:val="center"/>
              <w:rPr>
                <w:rFonts w:ascii="Arial" w:hAnsi="Arial" w:cs="Arial"/>
                <w:b/>
                <w:bCs/>
              </w:rPr>
            </w:pPr>
            <w:r w:rsidRPr="00F0275C">
              <w:rPr>
                <w:rFonts w:ascii="Arial" w:hAnsi="Arial" w:cs="Arial"/>
              </w:rPr>
              <w:t>Temporary Advantage</w:t>
            </w:r>
          </w:p>
        </w:tc>
        <w:tc>
          <w:tcPr>
            <w:tcW w:w="2127" w:type="dxa"/>
          </w:tcPr>
          <w:p w14:paraId="621A9584" w14:textId="6A2FCC84" w:rsidR="008F6AC7" w:rsidRPr="00F0275C" w:rsidRDefault="00F0275C" w:rsidP="00EC49FC">
            <w:pPr>
              <w:jc w:val="center"/>
              <w:rPr>
                <w:rFonts w:ascii="Arial" w:hAnsi="Arial" w:cs="Arial"/>
                <w:b/>
                <w:bCs/>
              </w:rPr>
            </w:pPr>
            <w:r w:rsidRPr="00F0275C">
              <w:rPr>
                <w:rFonts w:ascii="Arial" w:hAnsi="Arial" w:cs="Arial"/>
              </w:rPr>
              <w:t>Skilled employees and training programmes enhance efficiency, but technical skills can be developed by competitors over time.</w:t>
            </w:r>
          </w:p>
        </w:tc>
      </w:tr>
      <w:tr w:rsidR="00FC3D00" w14:paraId="3B31AEA4" w14:textId="77777777" w:rsidTr="00FC3D00">
        <w:tc>
          <w:tcPr>
            <w:tcW w:w="1661" w:type="dxa"/>
          </w:tcPr>
          <w:p w14:paraId="2119286B" w14:textId="12ADDA7F" w:rsidR="008F6AC7" w:rsidRPr="00F0275C" w:rsidRDefault="00F0275C" w:rsidP="00EC49FC">
            <w:pPr>
              <w:jc w:val="center"/>
              <w:rPr>
                <w:rFonts w:ascii="Arial" w:hAnsi="Arial" w:cs="Arial"/>
                <w:b/>
                <w:bCs/>
              </w:rPr>
            </w:pPr>
            <w:r w:rsidRPr="00F0275C">
              <w:rPr>
                <w:rFonts w:ascii="Arial" w:hAnsi="Arial" w:cs="Arial"/>
              </w:rPr>
              <w:t>Supply Chain and Lean Logistics System</w:t>
            </w:r>
          </w:p>
        </w:tc>
        <w:tc>
          <w:tcPr>
            <w:tcW w:w="1028" w:type="dxa"/>
          </w:tcPr>
          <w:p w14:paraId="571DDCEF" w14:textId="77777777" w:rsidR="00F0275C" w:rsidRPr="00F0275C" w:rsidRDefault="00F0275C" w:rsidP="00EC49FC">
            <w:pPr>
              <w:jc w:val="center"/>
              <w:rPr>
                <w:rFonts w:ascii="Arial" w:hAnsi="Arial" w:cs="Arial"/>
              </w:rPr>
            </w:pPr>
          </w:p>
          <w:p w14:paraId="4AAE8C46" w14:textId="77777777" w:rsidR="00F0275C" w:rsidRPr="00F0275C" w:rsidRDefault="00F0275C" w:rsidP="00EC49FC">
            <w:pPr>
              <w:jc w:val="center"/>
              <w:rPr>
                <w:rFonts w:ascii="Arial" w:hAnsi="Arial" w:cs="Arial"/>
              </w:rPr>
            </w:pPr>
          </w:p>
          <w:p w14:paraId="5FE91875" w14:textId="77777777" w:rsidR="00F0275C" w:rsidRPr="00F0275C" w:rsidRDefault="00F0275C" w:rsidP="00EC49FC">
            <w:pPr>
              <w:jc w:val="center"/>
              <w:rPr>
                <w:rFonts w:ascii="Arial" w:hAnsi="Arial" w:cs="Arial"/>
              </w:rPr>
            </w:pPr>
          </w:p>
          <w:p w14:paraId="5D305893" w14:textId="254840C2"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839" w:type="dxa"/>
          </w:tcPr>
          <w:p w14:paraId="482B8872" w14:textId="77777777" w:rsidR="00F0275C" w:rsidRPr="00F0275C" w:rsidRDefault="00F0275C" w:rsidP="00EC49FC">
            <w:pPr>
              <w:jc w:val="center"/>
              <w:rPr>
                <w:rFonts w:ascii="Arial" w:hAnsi="Arial" w:cs="Arial"/>
              </w:rPr>
            </w:pPr>
          </w:p>
          <w:p w14:paraId="2CA7230B" w14:textId="77777777" w:rsidR="00F0275C" w:rsidRPr="00F0275C" w:rsidRDefault="00F0275C" w:rsidP="00EC49FC">
            <w:pPr>
              <w:jc w:val="center"/>
              <w:rPr>
                <w:rFonts w:ascii="Arial" w:hAnsi="Arial" w:cs="Arial"/>
              </w:rPr>
            </w:pPr>
          </w:p>
          <w:p w14:paraId="2734433A" w14:textId="77777777" w:rsidR="00F0275C" w:rsidRPr="00F0275C" w:rsidRDefault="00F0275C" w:rsidP="00EC49FC">
            <w:pPr>
              <w:jc w:val="center"/>
              <w:rPr>
                <w:rFonts w:ascii="Arial" w:hAnsi="Arial" w:cs="Arial"/>
              </w:rPr>
            </w:pPr>
          </w:p>
          <w:p w14:paraId="22C2F917" w14:textId="22F835CA" w:rsidR="008F6AC7" w:rsidRPr="00F0275C" w:rsidRDefault="00F0275C" w:rsidP="00EC49FC">
            <w:pPr>
              <w:jc w:val="center"/>
              <w:rPr>
                <w:rFonts w:ascii="Arial" w:hAnsi="Arial" w:cs="Arial"/>
                <w:b/>
                <w:bCs/>
              </w:rPr>
            </w:pPr>
            <w:r w:rsidRPr="00F0275C">
              <w:rPr>
                <w:rFonts w:ascii="Segoe UI Emoji" w:hAnsi="Segoe UI Emoji" w:cs="Segoe UI Emoji"/>
              </w:rPr>
              <w:t>⚪</w:t>
            </w:r>
          </w:p>
        </w:tc>
        <w:tc>
          <w:tcPr>
            <w:tcW w:w="1145" w:type="dxa"/>
          </w:tcPr>
          <w:p w14:paraId="7C131AF0" w14:textId="77777777" w:rsidR="00F0275C" w:rsidRPr="00F0275C" w:rsidRDefault="00F0275C" w:rsidP="00EC49FC">
            <w:pPr>
              <w:jc w:val="center"/>
              <w:rPr>
                <w:rFonts w:ascii="Arial" w:hAnsi="Arial" w:cs="Arial"/>
              </w:rPr>
            </w:pPr>
          </w:p>
          <w:p w14:paraId="2B483882" w14:textId="77777777" w:rsidR="00F0275C" w:rsidRPr="00F0275C" w:rsidRDefault="00F0275C" w:rsidP="00EC49FC">
            <w:pPr>
              <w:jc w:val="center"/>
              <w:rPr>
                <w:rFonts w:ascii="Arial" w:hAnsi="Arial" w:cs="Arial"/>
              </w:rPr>
            </w:pPr>
          </w:p>
          <w:p w14:paraId="55A3ABED" w14:textId="77777777" w:rsidR="00F0275C" w:rsidRPr="00F0275C" w:rsidRDefault="00F0275C" w:rsidP="00EC49FC">
            <w:pPr>
              <w:jc w:val="center"/>
              <w:rPr>
                <w:rFonts w:ascii="Arial" w:hAnsi="Arial" w:cs="Arial"/>
              </w:rPr>
            </w:pPr>
          </w:p>
          <w:p w14:paraId="2CDA9A3C" w14:textId="0CACA0DB" w:rsidR="008F6AC7" w:rsidRPr="00F0275C" w:rsidRDefault="00F0275C" w:rsidP="00EC49FC">
            <w:pPr>
              <w:jc w:val="center"/>
              <w:rPr>
                <w:rFonts w:ascii="Arial" w:hAnsi="Arial" w:cs="Arial"/>
                <w:b/>
                <w:bCs/>
              </w:rPr>
            </w:pPr>
            <w:r w:rsidRPr="00F0275C">
              <w:rPr>
                <w:rFonts w:ascii="Segoe UI Emoji" w:hAnsi="Segoe UI Emoji" w:cs="Segoe UI Emoji"/>
              </w:rPr>
              <w:t>⚪</w:t>
            </w:r>
          </w:p>
        </w:tc>
        <w:tc>
          <w:tcPr>
            <w:tcW w:w="1356" w:type="dxa"/>
          </w:tcPr>
          <w:p w14:paraId="542DD3E1" w14:textId="77777777" w:rsidR="00F0275C" w:rsidRPr="00F0275C" w:rsidRDefault="00F0275C" w:rsidP="00EC49FC">
            <w:pPr>
              <w:jc w:val="center"/>
              <w:rPr>
                <w:rFonts w:ascii="Arial" w:hAnsi="Arial" w:cs="Arial"/>
              </w:rPr>
            </w:pPr>
          </w:p>
          <w:p w14:paraId="41C226FF" w14:textId="77777777" w:rsidR="00F0275C" w:rsidRPr="00F0275C" w:rsidRDefault="00F0275C" w:rsidP="00EC49FC">
            <w:pPr>
              <w:jc w:val="center"/>
              <w:rPr>
                <w:rFonts w:ascii="Arial" w:hAnsi="Arial" w:cs="Arial"/>
              </w:rPr>
            </w:pPr>
          </w:p>
          <w:p w14:paraId="627E4082" w14:textId="77777777" w:rsidR="00F0275C" w:rsidRPr="00F0275C" w:rsidRDefault="00F0275C" w:rsidP="00EC49FC">
            <w:pPr>
              <w:jc w:val="center"/>
              <w:rPr>
                <w:rFonts w:ascii="Arial" w:hAnsi="Arial" w:cs="Arial"/>
              </w:rPr>
            </w:pPr>
          </w:p>
          <w:p w14:paraId="595BB016" w14:textId="505EDE2D"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1337" w:type="dxa"/>
          </w:tcPr>
          <w:p w14:paraId="2D7F0FFD" w14:textId="2ACBFFD9" w:rsidR="008F6AC7" w:rsidRPr="00F0275C" w:rsidRDefault="00F0275C" w:rsidP="00EC49FC">
            <w:pPr>
              <w:jc w:val="center"/>
              <w:rPr>
                <w:rFonts w:ascii="Arial" w:hAnsi="Arial" w:cs="Arial"/>
                <w:b/>
                <w:bCs/>
              </w:rPr>
            </w:pPr>
            <w:r w:rsidRPr="00F0275C">
              <w:rPr>
                <w:rFonts w:ascii="Arial" w:hAnsi="Arial" w:cs="Arial"/>
              </w:rPr>
              <w:t>Competitive Parity</w:t>
            </w:r>
          </w:p>
        </w:tc>
        <w:tc>
          <w:tcPr>
            <w:tcW w:w="2127" w:type="dxa"/>
          </w:tcPr>
          <w:p w14:paraId="7E952822" w14:textId="638AC62B" w:rsidR="008F6AC7" w:rsidRPr="00F0275C" w:rsidRDefault="00F0275C" w:rsidP="00EC49FC">
            <w:pPr>
              <w:jc w:val="center"/>
              <w:rPr>
                <w:rFonts w:ascii="Arial" w:hAnsi="Arial" w:cs="Arial"/>
                <w:b/>
                <w:bCs/>
              </w:rPr>
            </w:pPr>
            <w:r w:rsidRPr="00F0275C">
              <w:rPr>
                <w:rFonts w:ascii="Arial" w:hAnsi="Arial" w:cs="Arial"/>
              </w:rPr>
              <w:t>JIT production and supplier integration reduce costs but have become standard across the industry; exposed to Brexit-related disruptions.</w:t>
            </w:r>
          </w:p>
        </w:tc>
      </w:tr>
      <w:tr w:rsidR="00FC3D00" w14:paraId="2E592DC2" w14:textId="77777777" w:rsidTr="00FC3D00">
        <w:tc>
          <w:tcPr>
            <w:tcW w:w="1661" w:type="dxa"/>
          </w:tcPr>
          <w:p w14:paraId="7C05A104" w14:textId="4264E7E8" w:rsidR="008F6AC7" w:rsidRPr="00F0275C" w:rsidRDefault="00F0275C" w:rsidP="00EC49FC">
            <w:pPr>
              <w:jc w:val="center"/>
              <w:rPr>
                <w:rFonts w:ascii="Arial" w:hAnsi="Arial" w:cs="Arial"/>
                <w:b/>
                <w:bCs/>
              </w:rPr>
            </w:pPr>
            <w:r w:rsidRPr="00F0275C">
              <w:rPr>
                <w:rFonts w:ascii="Arial" w:hAnsi="Arial" w:cs="Arial"/>
              </w:rPr>
              <w:t>R&amp;D and Technological Collaboration</w:t>
            </w:r>
          </w:p>
        </w:tc>
        <w:tc>
          <w:tcPr>
            <w:tcW w:w="1028" w:type="dxa"/>
          </w:tcPr>
          <w:p w14:paraId="5C042606" w14:textId="77777777" w:rsidR="00F0275C" w:rsidRPr="00F0275C" w:rsidRDefault="00F0275C" w:rsidP="00EC49FC">
            <w:pPr>
              <w:jc w:val="center"/>
              <w:rPr>
                <w:rFonts w:ascii="Arial" w:hAnsi="Arial" w:cs="Arial"/>
              </w:rPr>
            </w:pPr>
          </w:p>
          <w:p w14:paraId="24ED0FB2" w14:textId="77777777" w:rsidR="00F0275C" w:rsidRPr="00F0275C" w:rsidRDefault="00F0275C" w:rsidP="00EC49FC">
            <w:pPr>
              <w:jc w:val="center"/>
              <w:rPr>
                <w:rFonts w:ascii="Arial" w:hAnsi="Arial" w:cs="Arial"/>
              </w:rPr>
            </w:pPr>
          </w:p>
          <w:p w14:paraId="051B8F03" w14:textId="77777777" w:rsidR="00F0275C" w:rsidRPr="00F0275C" w:rsidRDefault="00F0275C" w:rsidP="00EC49FC">
            <w:pPr>
              <w:jc w:val="center"/>
              <w:rPr>
                <w:rFonts w:ascii="Arial" w:hAnsi="Arial" w:cs="Arial"/>
              </w:rPr>
            </w:pPr>
          </w:p>
          <w:p w14:paraId="7EFF15AE" w14:textId="357FDBAF"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839" w:type="dxa"/>
          </w:tcPr>
          <w:p w14:paraId="6D48326B" w14:textId="77777777" w:rsidR="00F0275C" w:rsidRPr="00F0275C" w:rsidRDefault="00F0275C" w:rsidP="00EC49FC">
            <w:pPr>
              <w:jc w:val="center"/>
              <w:rPr>
                <w:rFonts w:ascii="Arial" w:hAnsi="Arial" w:cs="Arial"/>
              </w:rPr>
            </w:pPr>
          </w:p>
          <w:p w14:paraId="27C2A8BE" w14:textId="77777777" w:rsidR="00F0275C" w:rsidRPr="00F0275C" w:rsidRDefault="00F0275C" w:rsidP="00EC49FC">
            <w:pPr>
              <w:jc w:val="center"/>
              <w:rPr>
                <w:rFonts w:ascii="Arial" w:hAnsi="Arial" w:cs="Arial"/>
              </w:rPr>
            </w:pPr>
          </w:p>
          <w:p w14:paraId="60D6067B" w14:textId="77777777" w:rsidR="00F0275C" w:rsidRPr="00F0275C" w:rsidRDefault="00F0275C" w:rsidP="00EC49FC">
            <w:pPr>
              <w:jc w:val="center"/>
              <w:rPr>
                <w:rFonts w:ascii="Arial" w:hAnsi="Arial" w:cs="Arial"/>
              </w:rPr>
            </w:pPr>
          </w:p>
          <w:p w14:paraId="1AEF9E89" w14:textId="71D0583D"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1145" w:type="dxa"/>
          </w:tcPr>
          <w:p w14:paraId="22F692B1" w14:textId="77777777" w:rsidR="00F0275C" w:rsidRPr="00F0275C" w:rsidRDefault="00F0275C" w:rsidP="00EC49FC">
            <w:pPr>
              <w:jc w:val="center"/>
              <w:rPr>
                <w:rFonts w:ascii="Arial" w:hAnsi="Arial" w:cs="Arial"/>
              </w:rPr>
            </w:pPr>
          </w:p>
          <w:p w14:paraId="3A818A15" w14:textId="77777777" w:rsidR="00F0275C" w:rsidRPr="00F0275C" w:rsidRDefault="00F0275C" w:rsidP="00EC49FC">
            <w:pPr>
              <w:jc w:val="center"/>
              <w:rPr>
                <w:rFonts w:ascii="Arial" w:hAnsi="Arial" w:cs="Arial"/>
              </w:rPr>
            </w:pPr>
          </w:p>
          <w:p w14:paraId="54D37322" w14:textId="77777777" w:rsidR="00F0275C" w:rsidRPr="00F0275C" w:rsidRDefault="00F0275C" w:rsidP="00EC49FC">
            <w:pPr>
              <w:jc w:val="center"/>
              <w:rPr>
                <w:rFonts w:ascii="Arial" w:hAnsi="Arial" w:cs="Arial"/>
              </w:rPr>
            </w:pPr>
          </w:p>
          <w:p w14:paraId="75A1BE04" w14:textId="169B09CB"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1356" w:type="dxa"/>
          </w:tcPr>
          <w:p w14:paraId="1D0FA2DF" w14:textId="77777777" w:rsidR="00F0275C" w:rsidRPr="00F0275C" w:rsidRDefault="00F0275C" w:rsidP="00EC49FC">
            <w:pPr>
              <w:jc w:val="center"/>
              <w:rPr>
                <w:rFonts w:ascii="Arial" w:hAnsi="Arial" w:cs="Arial"/>
              </w:rPr>
            </w:pPr>
          </w:p>
          <w:p w14:paraId="10E37AAB" w14:textId="77777777" w:rsidR="00F0275C" w:rsidRPr="00F0275C" w:rsidRDefault="00F0275C" w:rsidP="00EC49FC">
            <w:pPr>
              <w:jc w:val="center"/>
              <w:rPr>
                <w:rFonts w:ascii="Arial" w:hAnsi="Arial" w:cs="Arial"/>
              </w:rPr>
            </w:pPr>
          </w:p>
          <w:p w14:paraId="60AA404A" w14:textId="77777777" w:rsidR="00F0275C" w:rsidRPr="00F0275C" w:rsidRDefault="00F0275C" w:rsidP="00EC49FC">
            <w:pPr>
              <w:jc w:val="center"/>
              <w:rPr>
                <w:rFonts w:ascii="Arial" w:hAnsi="Arial" w:cs="Arial"/>
              </w:rPr>
            </w:pPr>
          </w:p>
          <w:p w14:paraId="59038DE5" w14:textId="01E59C4F" w:rsidR="008F6AC7" w:rsidRPr="00F0275C" w:rsidRDefault="00F0275C" w:rsidP="00EC49FC">
            <w:pPr>
              <w:jc w:val="center"/>
              <w:rPr>
                <w:rFonts w:ascii="Arial" w:hAnsi="Arial" w:cs="Arial"/>
                <w:b/>
                <w:bCs/>
              </w:rPr>
            </w:pPr>
            <w:r w:rsidRPr="00F0275C">
              <w:rPr>
                <w:rFonts w:ascii="Segoe UI Emoji" w:hAnsi="Segoe UI Emoji" w:cs="Segoe UI Emoji"/>
              </w:rPr>
              <w:t>✔</w:t>
            </w:r>
            <w:r w:rsidRPr="00F0275C">
              <w:rPr>
                <w:rFonts w:ascii="Arial" w:hAnsi="Arial" w:cs="Arial"/>
              </w:rPr>
              <w:t>️</w:t>
            </w:r>
          </w:p>
        </w:tc>
        <w:tc>
          <w:tcPr>
            <w:tcW w:w="1337" w:type="dxa"/>
          </w:tcPr>
          <w:p w14:paraId="78678080" w14:textId="60899E87" w:rsidR="008F6AC7" w:rsidRPr="00F0275C" w:rsidRDefault="00F0275C" w:rsidP="00EC49FC">
            <w:pPr>
              <w:jc w:val="center"/>
              <w:rPr>
                <w:rFonts w:ascii="Arial" w:hAnsi="Arial" w:cs="Arial"/>
                <w:b/>
                <w:bCs/>
              </w:rPr>
            </w:pPr>
            <w:r w:rsidRPr="00F0275C">
              <w:rPr>
                <w:rFonts w:ascii="Arial" w:hAnsi="Arial" w:cs="Arial"/>
              </w:rPr>
              <w:t>Sustained Advantage</w:t>
            </w:r>
          </w:p>
        </w:tc>
        <w:tc>
          <w:tcPr>
            <w:tcW w:w="2127" w:type="dxa"/>
          </w:tcPr>
          <w:p w14:paraId="35B9A76F" w14:textId="0BDA2658" w:rsidR="008F6AC7" w:rsidRPr="00F0275C" w:rsidRDefault="00F0275C" w:rsidP="00EC49FC">
            <w:pPr>
              <w:jc w:val="center"/>
              <w:rPr>
                <w:rFonts w:ascii="Arial" w:hAnsi="Arial" w:cs="Arial"/>
                <w:b/>
                <w:bCs/>
              </w:rPr>
            </w:pPr>
            <w:r w:rsidRPr="00F0275C">
              <w:rPr>
                <w:rFonts w:ascii="Arial" w:hAnsi="Arial" w:cs="Arial"/>
              </w:rPr>
              <w:t>Continuous innovation in EV and battery technologies, supported by global R&amp;D network, is both valuable and organisationally embedded.</w:t>
            </w:r>
          </w:p>
        </w:tc>
      </w:tr>
    </w:tbl>
    <w:p w14:paraId="191063DA" w14:textId="56978B01" w:rsidR="003F059C" w:rsidRPr="003F059C" w:rsidRDefault="003F059C" w:rsidP="003F059C">
      <w:pPr>
        <w:spacing w:before="100" w:beforeAutospacing="1" w:after="100" w:afterAutospacing="1" w:line="240" w:lineRule="auto"/>
        <w:rPr>
          <w:rFonts w:ascii="Times New Roman" w:eastAsia="Times New Roman" w:hAnsi="Times New Roman" w:cs="Times New Roman"/>
          <w:sz w:val="24"/>
          <w:szCs w:val="24"/>
          <w:lang w:eastAsia="en-GB"/>
        </w:rPr>
      </w:pPr>
      <w:r w:rsidRPr="003F059C">
        <w:rPr>
          <w:rFonts w:ascii="Arial" w:hAnsi="Arial" w:cs="Arial"/>
          <w:b/>
          <w:bCs/>
        </w:rPr>
        <w:t>Tab. Nr. 2.</w:t>
      </w:r>
      <w:r>
        <w:rPr>
          <w:rFonts w:ascii="Arial" w:hAnsi="Arial" w:cs="Arial"/>
        </w:rPr>
        <w:t xml:space="preserve"> Source of: </w:t>
      </w:r>
      <w:r w:rsidRPr="003F059C">
        <w:rPr>
          <w:rFonts w:ascii="Times New Roman" w:eastAsia="Times New Roman" w:hAnsi="Times New Roman" w:cs="Times New Roman"/>
          <w:i/>
          <w:iCs/>
          <w:sz w:val="24"/>
          <w:szCs w:val="24"/>
          <w:lang w:eastAsia="en-GB"/>
        </w:rPr>
        <w:t xml:space="preserve">(Barney, 1991; </w:t>
      </w:r>
      <w:proofErr w:type="spellStart"/>
      <w:r w:rsidRPr="003F059C">
        <w:rPr>
          <w:rFonts w:ascii="Times New Roman" w:eastAsia="Times New Roman" w:hAnsi="Times New Roman" w:cs="Times New Roman"/>
          <w:i/>
          <w:iCs/>
          <w:sz w:val="24"/>
          <w:szCs w:val="24"/>
          <w:lang w:eastAsia="en-GB"/>
        </w:rPr>
        <w:t>Peteraf</w:t>
      </w:r>
      <w:proofErr w:type="spellEnd"/>
      <w:r w:rsidRPr="003F059C">
        <w:rPr>
          <w:rFonts w:ascii="Times New Roman" w:eastAsia="Times New Roman" w:hAnsi="Times New Roman" w:cs="Times New Roman"/>
          <w:i/>
          <w:iCs/>
          <w:sz w:val="24"/>
          <w:szCs w:val="24"/>
          <w:lang w:eastAsia="en-GB"/>
        </w:rPr>
        <w:t>, 1993)</w:t>
      </w:r>
    </w:p>
    <w:p w14:paraId="7A703705" w14:textId="2B8E009D" w:rsidR="008F6AC7" w:rsidRDefault="008F6AC7" w:rsidP="00EC49FC">
      <w:pPr>
        <w:jc w:val="center"/>
        <w:rPr>
          <w:rFonts w:ascii="Arial" w:hAnsi="Arial" w:cs="Arial"/>
          <w:b/>
          <w:bCs/>
          <w:sz w:val="32"/>
          <w:szCs w:val="32"/>
        </w:rPr>
      </w:pPr>
    </w:p>
    <w:p w14:paraId="01BA49E0" w14:textId="2EF6F863" w:rsidR="003F059C" w:rsidRDefault="003F059C" w:rsidP="000A4B34">
      <w:pPr>
        <w:spacing w:line="360" w:lineRule="auto"/>
        <w:jc w:val="center"/>
        <w:rPr>
          <w:rFonts w:ascii="Arial" w:hAnsi="Arial" w:cs="Arial"/>
          <w:b/>
          <w:bCs/>
        </w:rPr>
      </w:pPr>
    </w:p>
    <w:p w14:paraId="53A3B5BF" w14:textId="4A803AAD" w:rsidR="00FF626D" w:rsidRDefault="00FF626D" w:rsidP="000A4B34">
      <w:pPr>
        <w:spacing w:line="360" w:lineRule="auto"/>
        <w:jc w:val="center"/>
        <w:rPr>
          <w:rFonts w:ascii="Arial" w:hAnsi="Arial" w:cs="Arial"/>
          <w:b/>
          <w:bCs/>
        </w:rPr>
      </w:pPr>
    </w:p>
    <w:p w14:paraId="3457D3F8" w14:textId="3F0A8FB9" w:rsidR="00FF626D" w:rsidRDefault="00FF626D" w:rsidP="000A4B34">
      <w:pPr>
        <w:spacing w:line="360" w:lineRule="auto"/>
        <w:jc w:val="center"/>
        <w:rPr>
          <w:rFonts w:ascii="Arial" w:hAnsi="Arial" w:cs="Arial"/>
          <w:b/>
          <w:bCs/>
        </w:rPr>
      </w:pPr>
    </w:p>
    <w:p w14:paraId="1338720B" w14:textId="0D2DB2B8" w:rsidR="00AE5640" w:rsidRDefault="00AE5640" w:rsidP="000A4B34">
      <w:pPr>
        <w:spacing w:line="360" w:lineRule="auto"/>
        <w:jc w:val="center"/>
        <w:rPr>
          <w:rFonts w:ascii="Arial" w:hAnsi="Arial" w:cs="Arial"/>
          <w:b/>
          <w:bCs/>
        </w:rPr>
      </w:pPr>
    </w:p>
    <w:p w14:paraId="2D2DEA07" w14:textId="77777777" w:rsidR="00AE5640" w:rsidRDefault="00AE5640" w:rsidP="000A4B34">
      <w:pPr>
        <w:spacing w:line="360" w:lineRule="auto"/>
        <w:jc w:val="center"/>
        <w:rPr>
          <w:rFonts w:ascii="Arial" w:hAnsi="Arial" w:cs="Arial"/>
          <w:b/>
          <w:bCs/>
        </w:rPr>
      </w:pPr>
    </w:p>
    <w:p w14:paraId="202CA9EF" w14:textId="77777777" w:rsidR="00FF626D" w:rsidRPr="000A4B34" w:rsidRDefault="00FF626D" w:rsidP="000A4B34">
      <w:pPr>
        <w:spacing w:line="360" w:lineRule="auto"/>
        <w:jc w:val="center"/>
        <w:rPr>
          <w:rFonts w:ascii="Arial" w:hAnsi="Arial" w:cs="Arial"/>
          <w:b/>
          <w:bCs/>
        </w:rPr>
      </w:pPr>
    </w:p>
    <w:p w14:paraId="7342DEB6" w14:textId="497475BB" w:rsidR="003F059C" w:rsidRPr="000A4B34" w:rsidRDefault="003F059C" w:rsidP="000A4B34">
      <w:pPr>
        <w:pStyle w:val="Heading2"/>
        <w:spacing w:line="360" w:lineRule="auto"/>
        <w:rPr>
          <w:rFonts w:ascii="Arial" w:hAnsi="Arial" w:cs="Arial"/>
          <w:b/>
          <w:bCs/>
          <w:color w:val="000000" w:themeColor="text1"/>
          <w:sz w:val="24"/>
          <w:szCs w:val="24"/>
        </w:rPr>
      </w:pPr>
      <w:bookmarkStart w:id="9" w:name="_Toc211848553"/>
      <w:r w:rsidRPr="000A4B34">
        <w:rPr>
          <w:rFonts w:ascii="Arial" w:hAnsi="Arial" w:cs="Arial"/>
          <w:b/>
          <w:bCs/>
          <w:color w:val="000000" w:themeColor="text1"/>
          <w:sz w:val="24"/>
          <w:szCs w:val="24"/>
        </w:rPr>
        <w:lastRenderedPageBreak/>
        <w:t>2.3. Nissan UK: Strategic SWOT Matrix</w:t>
      </w:r>
      <w:bookmarkEnd w:id="9"/>
    </w:p>
    <w:p w14:paraId="13D570E3" w14:textId="77777777" w:rsidR="000A4B34" w:rsidRPr="000A4B34" w:rsidRDefault="000A4B34" w:rsidP="000A4B34">
      <w:pPr>
        <w:spacing w:line="360" w:lineRule="auto"/>
        <w:rPr>
          <w:rFonts w:ascii="Arial" w:hAnsi="Arial" w:cs="Arial"/>
        </w:rPr>
      </w:pPr>
    </w:p>
    <w:tbl>
      <w:tblPr>
        <w:tblW w:w="9371" w:type="dxa"/>
        <w:tblCellSpacing w:w="15" w:type="dxa"/>
        <w:tblCellMar>
          <w:top w:w="15" w:type="dxa"/>
          <w:left w:w="15" w:type="dxa"/>
          <w:bottom w:w="15" w:type="dxa"/>
          <w:right w:w="15" w:type="dxa"/>
        </w:tblCellMar>
        <w:tblLook w:val="04A0" w:firstRow="1" w:lastRow="0" w:firstColumn="1" w:lastColumn="0" w:noHBand="0" w:noVBand="1"/>
      </w:tblPr>
      <w:tblGrid>
        <w:gridCol w:w="4395"/>
        <w:gridCol w:w="4976"/>
      </w:tblGrid>
      <w:tr w:rsidR="003F059C" w:rsidRPr="003F059C" w14:paraId="43E013F6" w14:textId="77777777" w:rsidTr="000A4B34">
        <w:trPr>
          <w:trHeight w:val="363"/>
          <w:tblHeader/>
          <w:tblCellSpacing w:w="15" w:type="dxa"/>
        </w:trPr>
        <w:tc>
          <w:tcPr>
            <w:tcW w:w="4350" w:type="dxa"/>
            <w:shd w:val="clear" w:color="auto" w:fill="auto"/>
            <w:vAlign w:val="center"/>
            <w:hideMark/>
          </w:tcPr>
          <w:p w14:paraId="07E20760" w14:textId="77777777" w:rsidR="003F059C" w:rsidRPr="003F059C" w:rsidRDefault="003F059C" w:rsidP="000A4B34">
            <w:pPr>
              <w:spacing w:after="0" w:line="360" w:lineRule="auto"/>
              <w:jc w:val="center"/>
              <w:rPr>
                <w:rFonts w:ascii="Arial" w:eastAsia="Times New Roman" w:hAnsi="Arial" w:cs="Arial"/>
                <w:b/>
                <w:bCs/>
                <w:lang w:eastAsia="en-GB"/>
              </w:rPr>
            </w:pPr>
            <w:r w:rsidRPr="003F059C">
              <w:rPr>
                <w:rFonts w:ascii="Arial" w:eastAsia="Times New Roman" w:hAnsi="Arial" w:cs="Arial"/>
                <w:b/>
                <w:bCs/>
                <w:lang w:eastAsia="en-GB"/>
              </w:rPr>
              <w:t xml:space="preserve">STRENGTHS </w:t>
            </w:r>
            <w:r w:rsidRPr="003F059C">
              <w:rPr>
                <w:rFonts w:ascii="Segoe UI Emoji" w:eastAsia="Times New Roman" w:hAnsi="Segoe UI Emoji" w:cs="Segoe UI Emoji"/>
                <w:b/>
                <w:bCs/>
                <w:lang w:eastAsia="en-GB"/>
              </w:rPr>
              <w:t>🟩</w:t>
            </w:r>
          </w:p>
        </w:tc>
        <w:tc>
          <w:tcPr>
            <w:tcW w:w="4931" w:type="dxa"/>
            <w:shd w:val="clear" w:color="auto" w:fill="auto"/>
            <w:vAlign w:val="center"/>
            <w:hideMark/>
          </w:tcPr>
          <w:p w14:paraId="0541AEEB" w14:textId="77777777" w:rsidR="003F059C" w:rsidRPr="003F059C" w:rsidRDefault="003F059C" w:rsidP="000A4B34">
            <w:pPr>
              <w:spacing w:after="0" w:line="360" w:lineRule="auto"/>
              <w:jc w:val="center"/>
              <w:rPr>
                <w:rFonts w:ascii="Arial" w:eastAsia="Times New Roman" w:hAnsi="Arial" w:cs="Arial"/>
                <w:b/>
                <w:bCs/>
                <w:lang w:eastAsia="en-GB"/>
              </w:rPr>
            </w:pPr>
            <w:r w:rsidRPr="003F059C">
              <w:rPr>
                <w:rFonts w:ascii="Arial" w:eastAsia="Times New Roman" w:hAnsi="Arial" w:cs="Arial"/>
                <w:b/>
                <w:bCs/>
                <w:lang w:eastAsia="en-GB"/>
              </w:rPr>
              <w:t xml:space="preserve">WEAKNESSES </w:t>
            </w:r>
            <w:r w:rsidRPr="003F059C">
              <w:rPr>
                <w:rFonts w:ascii="Segoe UI Emoji" w:eastAsia="Times New Roman" w:hAnsi="Segoe UI Emoji" w:cs="Segoe UI Emoji"/>
                <w:b/>
                <w:bCs/>
                <w:lang w:eastAsia="en-GB"/>
              </w:rPr>
              <w:t>🟥</w:t>
            </w:r>
          </w:p>
        </w:tc>
      </w:tr>
      <w:tr w:rsidR="003F059C" w:rsidRPr="003F059C" w14:paraId="4ACC84F6" w14:textId="77777777" w:rsidTr="000A4B34">
        <w:trPr>
          <w:trHeight w:val="1331"/>
          <w:tblCellSpacing w:w="15" w:type="dxa"/>
        </w:trPr>
        <w:tc>
          <w:tcPr>
            <w:tcW w:w="4350" w:type="dxa"/>
            <w:shd w:val="clear" w:color="auto" w:fill="auto"/>
            <w:vAlign w:val="center"/>
            <w:hideMark/>
          </w:tcPr>
          <w:p w14:paraId="066A8CC0" w14:textId="77777777" w:rsidR="003F059C" w:rsidRPr="003F059C" w:rsidRDefault="003F059C" w:rsidP="000A4B34">
            <w:pPr>
              <w:spacing w:after="0" w:line="360" w:lineRule="auto"/>
              <w:rPr>
                <w:rFonts w:ascii="Arial" w:eastAsia="Times New Roman" w:hAnsi="Arial" w:cs="Arial"/>
                <w:lang w:eastAsia="en-GB"/>
              </w:rPr>
            </w:pPr>
            <w:r w:rsidRPr="003F059C">
              <w:rPr>
                <w:rFonts w:ascii="Segoe UI Emoji" w:eastAsia="Times New Roman" w:hAnsi="Segoe UI Emoji" w:cs="Segoe UI Emoji"/>
                <w:lang w:eastAsia="en-GB"/>
              </w:rPr>
              <w:t>✅</w:t>
            </w:r>
            <w:r w:rsidRPr="003F059C">
              <w:rPr>
                <w:rFonts w:ascii="Arial" w:eastAsia="Times New Roman" w:hAnsi="Arial" w:cs="Arial"/>
                <w:lang w:eastAsia="en-GB"/>
              </w:rPr>
              <w:t xml:space="preserve"> </w:t>
            </w:r>
            <w:r w:rsidRPr="003F059C">
              <w:rPr>
                <w:rFonts w:ascii="Arial" w:eastAsia="Times New Roman" w:hAnsi="Arial" w:cs="Arial"/>
                <w:b/>
                <w:bCs/>
                <w:lang w:eastAsia="en-GB"/>
              </w:rPr>
              <w:t>World-Class Manufacturing</w:t>
            </w:r>
            <w:r w:rsidRPr="003F059C">
              <w:rPr>
                <w:rFonts w:ascii="Arial" w:eastAsia="Times New Roman" w:hAnsi="Arial" w:cs="Arial"/>
                <w:lang w:eastAsia="en-GB"/>
              </w:rPr>
              <w:t xml:space="preserve"> – Sunderland plant renowned for productivity and efficiency (SMMT, 2024).</w:t>
            </w:r>
          </w:p>
        </w:tc>
        <w:tc>
          <w:tcPr>
            <w:tcW w:w="4931" w:type="dxa"/>
            <w:shd w:val="clear" w:color="auto" w:fill="auto"/>
            <w:vAlign w:val="center"/>
            <w:hideMark/>
          </w:tcPr>
          <w:p w14:paraId="40A6670F" w14:textId="77777777" w:rsidR="003F059C" w:rsidRPr="003F059C" w:rsidRDefault="003F059C" w:rsidP="000A4B34">
            <w:pPr>
              <w:spacing w:after="0" w:line="360" w:lineRule="auto"/>
              <w:rPr>
                <w:rFonts w:ascii="Arial" w:eastAsia="Times New Roman" w:hAnsi="Arial" w:cs="Arial"/>
                <w:lang w:eastAsia="en-GB"/>
              </w:rPr>
            </w:pPr>
            <w:r w:rsidRPr="003F059C">
              <w:rPr>
                <w:rFonts w:ascii="Segoe UI Emoji" w:eastAsia="Times New Roman" w:hAnsi="Segoe UI Emoji" w:cs="Segoe UI Emoji"/>
                <w:lang w:eastAsia="en-GB"/>
              </w:rPr>
              <w:t>⚠️</w:t>
            </w:r>
            <w:r w:rsidRPr="003F059C">
              <w:rPr>
                <w:rFonts w:ascii="Arial" w:eastAsia="Times New Roman" w:hAnsi="Arial" w:cs="Arial"/>
                <w:lang w:eastAsia="en-GB"/>
              </w:rPr>
              <w:t xml:space="preserve"> </w:t>
            </w:r>
            <w:r w:rsidRPr="003F059C">
              <w:rPr>
                <w:rFonts w:ascii="Arial" w:eastAsia="Times New Roman" w:hAnsi="Arial" w:cs="Arial"/>
                <w:b/>
                <w:bCs/>
                <w:lang w:eastAsia="en-GB"/>
              </w:rPr>
              <w:t>Supply Chain Dependence</w:t>
            </w:r>
            <w:r w:rsidRPr="003F059C">
              <w:rPr>
                <w:rFonts w:ascii="Arial" w:eastAsia="Times New Roman" w:hAnsi="Arial" w:cs="Arial"/>
                <w:lang w:eastAsia="en-GB"/>
              </w:rPr>
              <w:t xml:space="preserve"> – Heavy reliance on EU imports for components exposes Nissan to Brexit-related trade barriers.</w:t>
            </w:r>
          </w:p>
        </w:tc>
      </w:tr>
      <w:tr w:rsidR="003F059C" w:rsidRPr="003F059C" w14:paraId="323272DF" w14:textId="77777777" w:rsidTr="000A4B34">
        <w:trPr>
          <w:trHeight w:val="1002"/>
          <w:tblCellSpacing w:w="15" w:type="dxa"/>
        </w:trPr>
        <w:tc>
          <w:tcPr>
            <w:tcW w:w="4350" w:type="dxa"/>
            <w:shd w:val="clear" w:color="auto" w:fill="auto"/>
            <w:vAlign w:val="center"/>
            <w:hideMark/>
          </w:tcPr>
          <w:p w14:paraId="2315BB65" w14:textId="77777777" w:rsidR="003F059C" w:rsidRPr="003F059C" w:rsidRDefault="003F059C" w:rsidP="000A4B34">
            <w:pPr>
              <w:spacing w:after="0" w:line="360" w:lineRule="auto"/>
              <w:rPr>
                <w:rFonts w:ascii="Arial" w:eastAsia="Times New Roman" w:hAnsi="Arial" w:cs="Arial"/>
                <w:lang w:eastAsia="en-GB"/>
              </w:rPr>
            </w:pPr>
            <w:r w:rsidRPr="003F059C">
              <w:rPr>
                <w:rFonts w:ascii="Segoe UI Emoji" w:eastAsia="Times New Roman" w:hAnsi="Segoe UI Emoji" w:cs="Segoe UI Emoji"/>
                <w:lang w:eastAsia="en-GB"/>
              </w:rPr>
              <w:t>✅</w:t>
            </w:r>
            <w:r w:rsidRPr="003F059C">
              <w:rPr>
                <w:rFonts w:ascii="Arial" w:eastAsia="Times New Roman" w:hAnsi="Arial" w:cs="Arial"/>
                <w:lang w:eastAsia="en-GB"/>
              </w:rPr>
              <w:t xml:space="preserve"> </w:t>
            </w:r>
            <w:r w:rsidRPr="003F059C">
              <w:rPr>
                <w:rFonts w:ascii="Arial" w:eastAsia="Times New Roman" w:hAnsi="Arial" w:cs="Arial"/>
                <w:b/>
                <w:bCs/>
                <w:lang w:eastAsia="en-GB"/>
              </w:rPr>
              <w:t>Strong EV Credentials</w:t>
            </w:r>
            <w:r w:rsidRPr="003F059C">
              <w:rPr>
                <w:rFonts w:ascii="Arial" w:eastAsia="Times New Roman" w:hAnsi="Arial" w:cs="Arial"/>
                <w:lang w:eastAsia="en-GB"/>
              </w:rPr>
              <w:t xml:space="preserve"> – Early leadership with the Nissan Leaf reinforces brand position in the electric vehicle market (Nissan, 2024).</w:t>
            </w:r>
          </w:p>
        </w:tc>
        <w:tc>
          <w:tcPr>
            <w:tcW w:w="4931" w:type="dxa"/>
            <w:shd w:val="clear" w:color="auto" w:fill="auto"/>
            <w:vAlign w:val="center"/>
            <w:hideMark/>
          </w:tcPr>
          <w:p w14:paraId="13C2C5FF" w14:textId="33A20AB6" w:rsidR="003F059C" w:rsidRPr="003F059C" w:rsidRDefault="003F059C" w:rsidP="000A4B34">
            <w:pPr>
              <w:spacing w:after="0" w:line="360" w:lineRule="auto"/>
              <w:rPr>
                <w:rFonts w:ascii="Arial" w:eastAsia="Times New Roman" w:hAnsi="Arial" w:cs="Arial"/>
                <w:lang w:eastAsia="en-GB"/>
              </w:rPr>
            </w:pPr>
            <w:r w:rsidRPr="003F059C">
              <w:rPr>
                <w:rFonts w:ascii="Segoe UI Emoji" w:eastAsia="Times New Roman" w:hAnsi="Segoe UI Emoji" w:cs="Segoe UI Emoji"/>
                <w:lang w:eastAsia="en-GB"/>
              </w:rPr>
              <w:t>⚠️</w:t>
            </w:r>
            <w:r w:rsidRPr="003F059C">
              <w:rPr>
                <w:rFonts w:ascii="Arial" w:eastAsia="Times New Roman" w:hAnsi="Arial" w:cs="Arial"/>
                <w:lang w:eastAsia="en-GB"/>
              </w:rPr>
              <w:t xml:space="preserve"> </w:t>
            </w:r>
            <w:r w:rsidRPr="003F059C">
              <w:rPr>
                <w:rFonts w:ascii="Arial" w:eastAsia="Times New Roman" w:hAnsi="Arial" w:cs="Arial"/>
                <w:b/>
                <w:bCs/>
                <w:lang w:eastAsia="en-GB"/>
              </w:rPr>
              <w:t>Limited EV Range</w:t>
            </w:r>
            <w:r w:rsidRPr="003F059C">
              <w:rPr>
                <w:rFonts w:ascii="Arial" w:eastAsia="Times New Roman" w:hAnsi="Arial" w:cs="Arial"/>
                <w:lang w:eastAsia="en-GB"/>
              </w:rPr>
              <w:t xml:space="preserve"> – Narrow electric model </w:t>
            </w:r>
            <w:r w:rsidR="000A4B34" w:rsidRPr="003F059C">
              <w:rPr>
                <w:rFonts w:ascii="Arial" w:eastAsia="Times New Roman" w:hAnsi="Arial" w:cs="Arial"/>
                <w:lang w:eastAsia="en-GB"/>
              </w:rPr>
              <w:t>line-up</w:t>
            </w:r>
            <w:r w:rsidRPr="003F059C">
              <w:rPr>
                <w:rFonts w:ascii="Arial" w:eastAsia="Times New Roman" w:hAnsi="Arial" w:cs="Arial"/>
                <w:lang w:eastAsia="en-GB"/>
              </w:rPr>
              <w:t xml:space="preserve"> compared to competitors such as Hyundai and VW.</w:t>
            </w:r>
          </w:p>
        </w:tc>
      </w:tr>
      <w:tr w:rsidR="003F059C" w:rsidRPr="003F059C" w14:paraId="2B74D4DD" w14:textId="77777777" w:rsidTr="000A4B34">
        <w:trPr>
          <w:trHeight w:val="1313"/>
          <w:tblCellSpacing w:w="15" w:type="dxa"/>
        </w:trPr>
        <w:tc>
          <w:tcPr>
            <w:tcW w:w="4350" w:type="dxa"/>
            <w:shd w:val="clear" w:color="auto" w:fill="auto"/>
            <w:vAlign w:val="center"/>
            <w:hideMark/>
          </w:tcPr>
          <w:p w14:paraId="546DA76F" w14:textId="77777777" w:rsidR="003F059C" w:rsidRPr="003F059C" w:rsidRDefault="003F059C" w:rsidP="000A4B34">
            <w:pPr>
              <w:spacing w:after="0" w:line="360" w:lineRule="auto"/>
              <w:rPr>
                <w:rFonts w:ascii="Arial" w:eastAsia="Times New Roman" w:hAnsi="Arial" w:cs="Arial"/>
                <w:lang w:eastAsia="en-GB"/>
              </w:rPr>
            </w:pPr>
            <w:r w:rsidRPr="003F059C">
              <w:rPr>
                <w:rFonts w:ascii="Segoe UI Emoji" w:eastAsia="Times New Roman" w:hAnsi="Segoe UI Emoji" w:cs="Segoe UI Emoji"/>
                <w:lang w:eastAsia="en-GB"/>
              </w:rPr>
              <w:t>✅</w:t>
            </w:r>
            <w:r w:rsidRPr="003F059C">
              <w:rPr>
                <w:rFonts w:ascii="Arial" w:eastAsia="Times New Roman" w:hAnsi="Arial" w:cs="Arial"/>
                <w:lang w:eastAsia="en-GB"/>
              </w:rPr>
              <w:t xml:space="preserve"> </w:t>
            </w:r>
            <w:r w:rsidRPr="003F059C">
              <w:rPr>
                <w:rFonts w:ascii="Arial" w:eastAsia="Times New Roman" w:hAnsi="Arial" w:cs="Arial"/>
                <w:b/>
                <w:bCs/>
                <w:lang w:eastAsia="en-GB"/>
              </w:rPr>
              <w:t>Global Alliance (Renault–Mitsubishi)</w:t>
            </w:r>
            <w:r w:rsidRPr="003F059C">
              <w:rPr>
                <w:rFonts w:ascii="Arial" w:eastAsia="Times New Roman" w:hAnsi="Arial" w:cs="Arial"/>
                <w:lang w:eastAsia="en-GB"/>
              </w:rPr>
              <w:t xml:space="preserve"> – Shared technology and R&amp;D generate economies of scale (Dyer, Kale and Singh, 2018).</w:t>
            </w:r>
          </w:p>
        </w:tc>
        <w:tc>
          <w:tcPr>
            <w:tcW w:w="4931" w:type="dxa"/>
            <w:shd w:val="clear" w:color="auto" w:fill="auto"/>
            <w:vAlign w:val="center"/>
            <w:hideMark/>
          </w:tcPr>
          <w:p w14:paraId="0DBD1FAC" w14:textId="77777777" w:rsidR="003F059C" w:rsidRPr="003F059C" w:rsidRDefault="003F059C" w:rsidP="000A4B34">
            <w:pPr>
              <w:spacing w:after="0" w:line="360" w:lineRule="auto"/>
              <w:rPr>
                <w:rFonts w:ascii="Arial" w:eastAsia="Times New Roman" w:hAnsi="Arial" w:cs="Arial"/>
                <w:lang w:eastAsia="en-GB"/>
              </w:rPr>
            </w:pPr>
            <w:r w:rsidRPr="003F059C">
              <w:rPr>
                <w:rFonts w:ascii="Segoe UI Emoji" w:eastAsia="Times New Roman" w:hAnsi="Segoe UI Emoji" w:cs="Segoe UI Emoji"/>
                <w:lang w:eastAsia="en-GB"/>
              </w:rPr>
              <w:t>⚠️</w:t>
            </w:r>
            <w:r w:rsidRPr="003F059C">
              <w:rPr>
                <w:rFonts w:ascii="Arial" w:eastAsia="Times New Roman" w:hAnsi="Arial" w:cs="Arial"/>
                <w:lang w:eastAsia="en-GB"/>
              </w:rPr>
              <w:t xml:space="preserve"> </w:t>
            </w:r>
            <w:r w:rsidRPr="003F059C">
              <w:rPr>
                <w:rFonts w:ascii="Arial" w:eastAsia="Times New Roman" w:hAnsi="Arial" w:cs="Arial"/>
                <w:b/>
                <w:bCs/>
                <w:lang w:eastAsia="en-GB"/>
              </w:rPr>
              <w:t>Slow Digital Transformation</w:t>
            </w:r>
            <w:r w:rsidRPr="003F059C">
              <w:rPr>
                <w:rFonts w:ascii="Arial" w:eastAsia="Times New Roman" w:hAnsi="Arial" w:cs="Arial"/>
                <w:lang w:eastAsia="en-GB"/>
              </w:rPr>
              <w:t xml:space="preserve"> – Delayed adoption of Industry 4.0 technologies limits agility and efficiency.</w:t>
            </w:r>
          </w:p>
        </w:tc>
      </w:tr>
      <w:tr w:rsidR="000A4B34" w:rsidRPr="000A4B34" w14:paraId="5791A1E7" w14:textId="77777777" w:rsidTr="000A4B34">
        <w:trPr>
          <w:trHeight w:val="1313"/>
          <w:tblCellSpacing w:w="15" w:type="dxa"/>
        </w:trPr>
        <w:tc>
          <w:tcPr>
            <w:tcW w:w="4350" w:type="dxa"/>
            <w:shd w:val="clear" w:color="auto" w:fill="auto"/>
            <w:vAlign w:val="center"/>
            <w:hideMark/>
          </w:tcPr>
          <w:p w14:paraId="3C057119" w14:textId="77777777" w:rsidR="000A4B34" w:rsidRPr="000A4B34" w:rsidRDefault="000A4B34" w:rsidP="000A4B34">
            <w:pPr>
              <w:spacing w:after="0" w:line="360" w:lineRule="auto"/>
              <w:rPr>
                <w:rFonts w:ascii="Arial" w:eastAsia="Times New Roman" w:hAnsi="Arial" w:cs="Arial"/>
                <w:b/>
                <w:bCs/>
                <w:lang w:eastAsia="en-GB"/>
              </w:rPr>
            </w:pPr>
            <w:r w:rsidRPr="000A4B34">
              <w:rPr>
                <w:rFonts w:ascii="Arial" w:eastAsia="Times New Roman" w:hAnsi="Arial" w:cs="Arial"/>
                <w:b/>
                <w:bCs/>
                <w:lang w:eastAsia="en-GB"/>
              </w:rPr>
              <w:t xml:space="preserve">OPPORTUNITIES </w:t>
            </w:r>
            <w:r w:rsidRPr="000A4B34">
              <w:rPr>
                <w:rFonts w:ascii="Segoe UI Emoji" w:eastAsia="Times New Roman" w:hAnsi="Segoe UI Emoji" w:cs="Segoe UI Emoji"/>
                <w:b/>
                <w:bCs/>
                <w:lang w:eastAsia="en-GB"/>
              </w:rPr>
              <w:t>🟦</w:t>
            </w:r>
          </w:p>
        </w:tc>
        <w:tc>
          <w:tcPr>
            <w:tcW w:w="4931" w:type="dxa"/>
            <w:shd w:val="clear" w:color="auto" w:fill="auto"/>
            <w:vAlign w:val="center"/>
            <w:hideMark/>
          </w:tcPr>
          <w:p w14:paraId="37D09284" w14:textId="77777777" w:rsidR="000A4B34" w:rsidRPr="000A4B34" w:rsidRDefault="000A4B34" w:rsidP="000A4B34">
            <w:pPr>
              <w:spacing w:after="0" w:line="360" w:lineRule="auto"/>
              <w:rPr>
                <w:rFonts w:ascii="Arial" w:eastAsia="Times New Roman" w:hAnsi="Arial" w:cs="Arial"/>
                <w:b/>
                <w:bCs/>
                <w:lang w:eastAsia="en-GB"/>
              </w:rPr>
            </w:pPr>
            <w:r w:rsidRPr="000A4B34">
              <w:rPr>
                <w:rFonts w:ascii="Arial" w:eastAsia="Times New Roman" w:hAnsi="Arial" w:cs="Arial"/>
                <w:b/>
                <w:bCs/>
                <w:lang w:eastAsia="en-GB"/>
              </w:rPr>
              <w:t xml:space="preserve">THREATS </w:t>
            </w:r>
            <w:r w:rsidRPr="000A4B34">
              <w:rPr>
                <w:rFonts w:ascii="Segoe UI Emoji" w:eastAsia="Times New Roman" w:hAnsi="Segoe UI Emoji" w:cs="Segoe UI Emoji"/>
                <w:b/>
                <w:bCs/>
                <w:lang w:eastAsia="en-GB"/>
              </w:rPr>
              <w:t>🟧</w:t>
            </w:r>
          </w:p>
        </w:tc>
      </w:tr>
      <w:tr w:rsidR="000A4B34" w:rsidRPr="000A4B34" w14:paraId="4333D3CD" w14:textId="77777777" w:rsidTr="000A4B34">
        <w:trPr>
          <w:trHeight w:val="1313"/>
          <w:tblCellSpacing w:w="15" w:type="dxa"/>
        </w:trPr>
        <w:tc>
          <w:tcPr>
            <w:tcW w:w="4350" w:type="dxa"/>
            <w:shd w:val="clear" w:color="auto" w:fill="auto"/>
            <w:vAlign w:val="center"/>
            <w:hideMark/>
          </w:tcPr>
          <w:p w14:paraId="08FCED7E" w14:textId="77777777" w:rsidR="000A4B34" w:rsidRPr="000A4B34" w:rsidRDefault="000A4B34" w:rsidP="000A4B34">
            <w:pPr>
              <w:spacing w:after="0" w:line="360" w:lineRule="auto"/>
              <w:rPr>
                <w:rFonts w:ascii="Arial" w:eastAsia="Times New Roman" w:hAnsi="Arial" w:cs="Arial"/>
                <w:lang w:eastAsia="en-GB"/>
              </w:rPr>
            </w:pPr>
            <w:r w:rsidRPr="000A4B34">
              <w:rPr>
                <w:rFonts w:ascii="Segoe UI Emoji" w:eastAsia="Times New Roman" w:hAnsi="Segoe UI Emoji" w:cs="Segoe UI Emoji"/>
                <w:lang w:eastAsia="en-GB"/>
              </w:rPr>
              <w:t>💡</w:t>
            </w:r>
            <w:r w:rsidRPr="000A4B34">
              <w:rPr>
                <w:rFonts w:ascii="Arial" w:eastAsia="Times New Roman" w:hAnsi="Arial" w:cs="Arial"/>
                <w:lang w:eastAsia="en-GB"/>
              </w:rPr>
              <w:t xml:space="preserve"> </w:t>
            </w:r>
            <w:r w:rsidRPr="000A4B34">
              <w:rPr>
                <w:rFonts w:ascii="Arial" w:eastAsia="Times New Roman" w:hAnsi="Arial" w:cs="Arial"/>
                <w:b/>
                <w:bCs/>
                <w:lang w:eastAsia="en-GB"/>
              </w:rPr>
              <w:t>EV Market Growth</w:t>
            </w:r>
            <w:r w:rsidRPr="000A4B34">
              <w:rPr>
                <w:rFonts w:ascii="Arial" w:eastAsia="Times New Roman" w:hAnsi="Arial" w:cs="Arial"/>
                <w:lang w:eastAsia="en-GB"/>
              </w:rPr>
              <w:t xml:space="preserve"> – Expanding demand for sustainable transport supports Nissan’s electrification strategy (UK Gov, 2023).</w:t>
            </w:r>
          </w:p>
        </w:tc>
        <w:tc>
          <w:tcPr>
            <w:tcW w:w="4931" w:type="dxa"/>
            <w:shd w:val="clear" w:color="auto" w:fill="auto"/>
            <w:vAlign w:val="center"/>
            <w:hideMark/>
          </w:tcPr>
          <w:p w14:paraId="6A2FB4B1" w14:textId="77777777" w:rsidR="000A4B34" w:rsidRPr="000A4B34" w:rsidRDefault="000A4B34" w:rsidP="000A4B34">
            <w:pPr>
              <w:spacing w:after="0" w:line="360" w:lineRule="auto"/>
              <w:rPr>
                <w:rFonts w:ascii="Arial" w:eastAsia="Times New Roman" w:hAnsi="Arial" w:cs="Arial"/>
                <w:lang w:eastAsia="en-GB"/>
              </w:rPr>
            </w:pPr>
            <w:r w:rsidRPr="000A4B34">
              <w:rPr>
                <w:rFonts w:ascii="Segoe UI Emoji" w:eastAsia="Times New Roman" w:hAnsi="Segoe UI Emoji" w:cs="Segoe UI Emoji"/>
                <w:lang w:eastAsia="en-GB"/>
              </w:rPr>
              <w:t>⚡</w:t>
            </w:r>
            <w:r w:rsidRPr="000A4B34">
              <w:rPr>
                <w:rFonts w:ascii="Arial" w:eastAsia="Times New Roman" w:hAnsi="Arial" w:cs="Arial"/>
                <w:lang w:eastAsia="en-GB"/>
              </w:rPr>
              <w:t xml:space="preserve"> </w:t>
            </w:r>
            <w:r w:rsidRPr="000A4B34">
              <w:rPr>
                <w:rFonts w:ascii="Arial" w:eastAsia="Times New Roman" w:hAnsi="Arial" w:cs="Arial"/>
                <w:b/>
                <w:bCs/>
                <w:lang w:eastAsia="en-GB"/>
              </w:rPr>
              <w:t xml:space="preserve">Intensifying Competition </w:t>
            </w:r>
            <w:r w:rsidRPr="000A4B34">
              <w:rPr>
                <w:rFonts w:ascii="Arial" w:eastAsia="Times New Roman" w:hAnsi="Arial" w:cs="Arial"/>
                <w:lang w:eastAsia="en-GB"/>
              </w:rPr>
              <w:t>– Major EV producers such as Tesla, BYD, and Volkswagen increase market rivalry.</w:t>
            </w:r>
          </w:p>
        </w:tc>
      </w:tr>
      <w:tr w:rsidR="000A4B34" w:rsidRPr="000A4B34" w14:paraId="2265AAAF" w14:textId="77777777" w:rsidTr="000A4B34">
        <w:trPr>
          <w:trHeight w:val="1313"/>
          <w:tblCellSpacing w:w="15" w:type="dxa"/>
        </w:trPr>
        <w:tc>
          <w:tcPr>
            <w:tcW w:w="4350" w:type="dxa"/>
            <w:shd w:val="clear" w:color="auto" w:fill="auto"/>
            <w:vAlign w:val="center"/>
            <w:hideMark/>
          </w:tcPr>
          <w:p w14:paraId="36512FB9" w14:textId="77777777" w:rsidR="000A4B34" w:rsidRPr="000A4B34" w:rsidRDefault="000A4B34" w:rsidP="000A4B34">
            <w:pPr>
              <w:spacing w:after="0" w:line="360" w:lineRule="auto"/>
              <w:rPr>
                <w:rFonts w:ascii="Arial" w:eastAsia="Times New Roman" w:hAnsi="Arial" w:cs="Arial"/>
                <w:lang w:eastAsia="en-GB"/>
              </w:rPr>
            </w:pPr>
            <w:r w:rsidRPr="000A4B34">
              <w:rPr>
                <w:rFonts w:ascii="Segoe UI Emoji" w:eastAsia="Times New Roman" w:hAnsi="Segoe UI Emoji" w:cs="Segoe UI Emoji"/>
                <w:lang w:eastAsia="en-GB"/>
              </w:rPr>
              <w:t>💡</w:t>
            </w:r>
            <w:r w:rsidRPr="000A4B34">
              <w:rPr>
                <w:rFonts w:ascii="Arial" w:eastAsia="Times New Roman" w:hAnsi="Arial" w:cs="Arial"/>
                <w:lang w:eastAsia="en-GB"/>
              </w:rPr>
              <w:t xml:space="preserve"> </w:t>
            </w:r>
            <w:r w:rsidRPr="000A4B34">
              <w:rPr>
                <w:rFonts w:ascii="Arial" w:eastAsia="Times New Roman" w:hAnsi="Arial" w:cs="Arial"/>
                <w:b/>
                <w:bCs/>
                <w:lang w:eastAsia="en-GB"/>
              </w:rPr>
              <w:t>Green Manufacturing Incentives</w:t>
            </w:r>
            <w:r w:rsidRPr="000A4B34">
              <w:rPr>
                <w:rFonts w:ascii="Arial" w:eastAsia="Times New Roman" w:hAnsi="Arial" w:cs="Arial"/>
                <w:lang w:eastAsia="en-GB"/>
              </w:rPr>
              <w:t xml:space="preserve"> – UK government support for battery and EV production offers growth potential (SMMT, 2024).</w:t>
            </w:r>
          </w:p>
        </w:tc>
        <w:tc>
          <w:tcPr>
            <w:tcW w:w="4931" w:type="dxa"/>
            <w:shd w:val="clear" w:color="auto" w:fill="auto"/>
            <w:vAlign w:val="center"/>
            <w:hideMark/>
          </w:tcPr>
          <w:p w14:paraId="63A09449" w14:textId="77777777" w:rsidR="000A4B34" w:rsidRPr="000A4B34" w:rsidRDefault="000A4B34" w:rsidP="000A4B34">
            <w:pPr>
              <w:spacing w:after="0" w:line="360" w:lineRule="auto"/>
              <w:rPr>
                <w:rFonts w:ascii="Arial" w:eastAsia="Times New Roman" w:hAnsi="Arial" w:cs="Arial"/>
                <w:lang w:eastAsia="en-GB"/>
              </w:rPr>
            </w:pPr>
            <w:r w:rsidRPr="000A4B34">
              <w:rPr>
                <w:rFonts w:ascii="Segoe UI Emoji" w:eastAsia="Times New Roman" w:hAnsi="Segoe UI Emoji" w:cs="Segoe UI Emoji"/>
                <w:lang w:eastAsia="en-GB"/>
              </w:rPr>
              <w:t>⚡</w:t>
            </w:r>
            <w:r w:rsidRPr="000A4B34">
              <w:rPr>
                <w:rFonts w:ascii="Arial" w:eastAsia="Times New Roman" w:hAnsi="Arial" w:cs="Arial"/>
                <w:lang w:eastAsia="en-GB"/>
              </w:rPr>
              <w:t xml:space="preserve"> </w:t>
            </w:r>
            <w:r w:rsidRPr="000A4B34">
              <w:rPr>
                <w:rFonts w:ascii="Arial" w:eastAsia="Times New Roman" w:hAnsi="Arial" w:cs="Arial"/>
                <w:b/>
                <w:bCs/>
                <w:lang w:eastAsia="en-GB"/>
              </w:rPr>
              <w:t>Economic Volatility</w:t>
            </w:r>
            <w:r w:rsidRPr="000A4B34">
              <w:rPr>
                <w:rFonts w:ascii="Arial" w:eastAsia="Times New Roman" w:hAnsi="Arial" w:cs="Arial"/>
                <w:lang w:eastAsia="en-GB"/>
              </w:rPr>
              <w:t xml:space="preserve"> – Inflation and currency fluctuations may suppress consumer demand.</w:t>
            </w:r>
          </w:p>
        </w:tc>
      </w:tr>
      <w:tr w:rsidR="000A4B34" w:rsidRPr="000A4B34" w14:paraId="5DE3500B" w14:textId="77777777" w:rsidTr="000A4B34">
        <w:trPr>
          <w:trHeight w:val="1313"/>
          <w:tblCellSpacing w:w="15" w:type="dxa"/>
        </w:trPr>
        <w:tc>
          <w:tcPr>
            <w:tcW w:w="4350" w:type="dxa"/>
            <w:shd w:val="clear" w:color="auto" w:fill="auto"/>
            <w:vAlign w:val="center"/>
            <w:hideMark/>
          </w:tcPr>
          <w:p w14:paraId="3151C036" w14:textId="77777777" w:rsidR="000A4B34" w:rsidRPr="000A4B34" w:rsidRDefault="000A4B34" w:rsidP="000A4B34">
            <w:pPr>
              <w:spacing w:after="0" w:line="360" w:lineRule="auto"/>
              <w:rPr>
                <w:rFonts w:ascii="Arial" w:eastAsia="Times New Roman" w:hAnsi="Arial" w:cs="Arial"/>
                <w:lang w:eastAsia="en-GB"/>
              </w:rPr>
            </w:pPr>
            <w:r w:rsidRPr="000A4B34">
              <w:rPr>
                <w:rFonts w:ascii="Segoe UI Emoji" w:eastAsia="Times New Roman" w:hAnsi="Segoe UI Emoji" w:cs="Segoe UI Emoji"/>
                <w:b/>
                <w:bCs/>
                <w:lang w:eastAsia="en-GB"/>
              </w:rPr>
              <w:t>💡</w:t>
            </w:r>
            <w:r w:rsidRPr="000A4B34">
              <w:rPr>
                <w:rFonts w:ascii="Arial" w:eastAsia="Times New Roman" w:hAnsi="Arial" w:cs="Arial"/>
                <w:b/>
                <w:bCs/>
                <w:lang w:eastAsia="en-GB"/>
              </w:rPr>
              <w:t xml:space="preserve"> Digital Innovation</w:t>
            </w:r>
            <w:r w:rsidRPr="000A4B34">
              <w:rPr>
                <w:rFonts w:ascii="Arial" w:eastAsia="Times New Roman" w:hAnsi="Arial" w:cs="Arial"/>
                <w:lang w:eastAsia="en-GB"/>
              </w:rPr>
              <w:t xml:space="preserve"> – Adoption of AI and smart manufacturing can enhance efficiency and cost control (Deloitte, 2023).</w:t>
            </w:r>
          </w:p>
        </w:tc>
        <w:tc>
          <w:tcPr>
            <w:tcW w:w="4931" w:type="dxa"/>
            <w:shd w:val="clear" w:color="auto" w:fill="auto"/>
            <w:vAlign w:val="center"/>
            <w:hideMark/>
          </w:tcPr>
          <w:p w14:paraId="284799C8" w14:textId="77777777" w:rsidR="000A4B34" w:rsidRPr="000A4B34" w:rsidRDefault="000A4B34" w:rsidP="000A4B34">
            <w:pPr>
              <w:spacing w:after="0" w:line="360" w:lineRule="auto"/>
              <w:rPr>
                <w:rFonts w:ascii="Arial" w:eastAsia="Times New Roman" w:hAnsi="Arial" w:cs="Arial"/>
                <w:lang w:eastAsia="en-GB"/>
              </w:rPr>
            </w:pPr>
            <w:r w:rsidRPr="000A4B34">
              <w:rPr>
                <w:rFonts w:ascii="Segoe UI Emoji" w:eastAsia="Times New Roman" w:hAnsi="Segoe UI Emoji" w:cs="Segoe UI Emoji"/>
                <w:lang w:eastAsia="en-GB"/>
              </w:rPr>
              <w:t>⚡</w:t>
            </w:r>
            <w:r w:rsidRPr="000A4B34">
              <w:rPr>
                <w:rFonts w:ascii="Arial" w:eastAsia="Times New Roman" w:hAnsi="Arial" w:cs="Arial"/>
                <w:lang w:eastAsia="en-GB"/>
              </w:rPr>
              <w:t xml:space="preserve"> </w:t>
            </w:r>
            <w:r w:rsidRPr="000A4B34">
              <w:rPr>
                <w:rFonts w:ascii="Arial" w:eastAsia="Times New Roman" w:hAnsi="Arial" w:cs="Arial"/>
                <w:b/>
                <w:bCs/>
                <w:lang w:eastAsia="en-GB"/>
              </w:rPr>
              <w:t>Supply Chain Risks</w:t>
            </w:r>
            <w:r w:rsidRPr="000A4B34">
              <w:rPr>
                <w:rFonts w:ascii="Arial" w:eastAsia="Times New Roman" w:hAnsi="Arial" w:cs="Arial"/>
                <w:lang w:eastAsia="en-GB"/>
              </w:rPr>
              <w:t xml:space="preserve"> – Semiconductor shortages and global logistics challenges threaten production continuity.</w:t>
            </w:r>
          </w:p>
        </w:tc>
      </w:tr>
    </w:tbl>
    <w:p w14:paraId="433FEB14" w14:textId="19DFD932" w:rsidR="000A4B34" w:rsidRDefault="000A4B34" w:rsidP="000A4B34">
      <w:pPr>
        <w:spacing w:line="240" w:lineRule="auto"/>
      </w:pPr>
    </w:p>
    <w:p w14:paraId="3B9C0870" w14:textId="6BFC9025" w:rsidR="000A4B34" w:rsidRDefault="000A4B34" w:rsidP="000A4B34">
      <w:pPr>
        <w:spacing w:line="240" w:lineRule="auto"/>
      </w:pPr>
    </w:p>
    <w:p w14:paraId="5332C504" w14:textId="0639EBEF" w:rsidR="000A4B34" w:rsidRDefault="000A4B34" w:rsidP="000A4B34">
      <w:pPr>
        <w:spacing w:line="240" w:lineRule="auto"/>
      </w:pPr>
      <w:r w:rsidRPr="000A4B34">
        <w:rPr>
          <w:rFonts w:ascii="Arial" w:hAnsi="Arial" w:cs="Arial"/>
          <w:b/>
          <w:bCs/>
        </w:rPr>
        <w:t>Tab. Nr 3.</w:t>
      </w:r>
      <w:r>
        <w:t xml:space="preserve"> </w:t>
      </w:r>
      <w:r w:rsidRPr="000A4B34">
        <w:rPr>
          <w:rFonts w:ascii="Arial" w:hAnsi="Arial" w:cs="Arial"/>
        </w:rPr>
        <w:t>Source of</w:t>
      </w:r>
      <w:r>
        <w:t xml:space="preserve">: </w:t>
      </w:r>
      <w:r w:rsidR="00AC7176" w:rsidRPr="00AC7176">
        <w:rPr>
          <w:rFonts w:ascii="Arial" w:hAnsi="Arial" w:cs="Arial"/>
          <w:i/>
          <w:iCs/>
        </w:rPr>
        <w:t>(</w:t>
      </w:r>
      <w:r w:rsidRPr="00AC7176">
        <w:rPr>
          <w:rFonts w:ascii="Arial" w:hAnsi="Arial" w:cs="Arial"/>
          <w:i/>
          <w:iCs/>
        </w:rPr>
        <w:t>Nissan Annual Report, 2024; SMMT, 2024; Grant, 2021</w:t>
      </w:r>
      <w:r w:rsidR="00AC7176" w:rsidRPr="00AC7176">
        <w:rPr>
          <w:rFonts w:ascii="Arial" w:hAnsi="Arial" w:cs="Arial"/>
          <w:i/>
          <w:iCs/>
        </w:rPr>
        <w:t>)</w:t>
      </w:r>
    </w:p>
    <w:p w14:paraId="5887A7F5" w14:textId="77777777" w:rsidR="000A4B34" w:rsidRDefault="000A4B34" w:rsidP="000A4B34">
      <w:pPr>
        <w:spacing w:line="240" w:lineRule="auto"/>
      </w:pPr>
    </w:p>
    <w:p w14:paraId="062A3290" w14:textId="77777777" w:rsidR="000A4B34" w:rsidRPr="00AC7176" w:rsidRDefault="000A4B34" w:rsidP="000A4B34">
      <w:pPr>
        <w:rPr>
          <w:sz w:val="24"/>
          <w:szCs w:val="24"/>
        </w:rPr>
      </w:pPr>
      <w:r w:rsidRPr="00AC7176">
        <w:rPr>
          <w:rStyle w:val="Strong"/>
          <w:rFonts w:ascii="Arial" w:hAnsi="Arial" w:cs="Arial"/>
          <w:color w:val="000000" w:themeColor="text1"/>
          <w:sz w:val="24"/>
          <w:szCs w:val="24"/>
        </w:rPr>
        <w:lastRenderedPageBreak/>
        <w:t>Strategic Interpretation</w:t>
      </w:r>
    </w:p>
    <w:p w14:paraId="1BE27F0E" w14:textId="73E7422B" w:rsidR="000A4B34" w:rsidRPr="000A4B34" w:rsidRDefault="000A4B34" w:rsidP="000A4B34">
      <w:pPr>
        <w:pStyle w:val="NormalWeb"/>
        <w:spacing w:line="360" w:lineRule="auto"/>
        <w:ind w:firstLine="720"/>
        <w:rPr>
          <w:rFonts w:ascii="Arial" w:hAnsi="Arial" w:cs="Arial"/>
          <w:sz w:val="22"/>
          <w:szCs w:val="22"/>
        </w:rPr>
      </w:pPr>
      <w:r w:rsidRPr="000A4B34">
        <w:rPr>
          <w:rFonts w:ascii="Arial" w:hAnsi="Arial" w:cs="Arial"/>
          <w:sz w:val="22"/>
          <w:szCs w:val="22"/>
        </w:rPr>
        <w:t xml:space="preserve">Nissan UK’s </w:t>
      </w:r>
      <w:r w:rsidRPr="000A4B34">
        <w:rPr>
          <w:rStyle w:val="Strong"/>
          <w:rFonts w:ascii="Arial" w:hAnsi="Arial" w:cs="Arial"/>
          <w:sz w:val="22"/>
          <w:szCs w:val="22"/>
        </w:rPr>
        <w:t>strengths</w:t>
      </w:r>
      <w:r w:rsidRPr="000A4B34">
        <w:rPr>
          <w:rFonts w:ascii="Arial" w:hAnsi="Arial" w:cs="Arial"/>
          <w:sz w:val="22"/>
          <w:szCs w:val="22"/>
        </w:rPr>
        <w:t xml:space="preserve"> lie in operational excellence, EV expertise, and strategic alliances, which provide a solid base for competitive advantage. However, internal </w:t>
      </w:r>
      <w:r w:rsidRPr="000A4B34">
        <w:rPr>
          <w:rStyle w:val="Strong"/>
          <w:rFonts w:ascii="Arial" w:hAnsi="Arial" w:cs="Arial"/>
          <w:sz w:val="22"/>
          <w:szCs w:val="22"/>
        </w:rPr>
        <w:t>weaknesses</w:t>
      </w:r>
      <w:r>
        <w:rPr>
          <w:rFonts w:ascii="Arial" w:hAnsi="Arial" w:cs="Arial"/>
          <w:sz w:val="22"/>
          <w:szCs w:val="22"/>
        </w:rPr>
        <w:t>-</w:t>
      </w:r>
      <w:r w:rsidRPr="000A4B34">
        <w:rPr>
          <w:rFonts w:ascii="Arial" w:hAnsi="Arial" w:cs="Arial"/>
          <w:sz w:val="22"/>
          <w:szCs w:val="22"/>
        </w:rPr>
        <w:t>notably supply chain dependency and limited digitalisation</w:t>
      </w:r>
      <w:r>
        <w:rPr>
          <w:rFonts w:ascii="Arial" w:hAnsi="Arial" w:cs="Arial"/>
          <w:sz w:val="22"/>
          <w:szCs w:val="22"/>
        </w:rPr>
        <w:t>-</w:t>
      </w:r>
      <w:r w:rsidRPr="000A4B34">
        <w:rPr>
          <w:rFonts w:ascii="Arial" w:hAnsi="Arial" w:cs="Arial"/>
          <w:sz w:val="22"/>
          <w:szCs w:val="22"/>
        </w:rPr>
        <w:t>must be addressed to maintain leadership.</w:t>
      </w:r>
    </w:p>
    <w:p w14:paraId="5B30ED2A" w14:textId="77674312" w:rsidR="000A4B34" w:rsidRPr="006C167A" w:rsidRDefault="000A4B34" w:rsidP="006C167A">
      <w:pPr>
        <w:pStyle w:val="NormalWeb"/>
        <w:spacing w:line="360" w:lineRule="auto"/>
        <w:ind w:firstLine="720"/>
        <w:rPr>
          <w:rFonts w:ascii="Arial" w:hAnsi="Arial" w:cs="Arial"/>
          <w:sz w:val="22"/>
          <w:szCs w:val="22"/>
        </w:rPr>
      </w:pPr>
      <w:r w:rsidRPr="000A4B34">
        <w:rPr>
          <w:rFonts w:ascii="Arial" w:hAnsi="Arial" w:cs="Arial"/>
          <w:sz w:val="22"/>
          <w:szCs w:val="22"/>
        </w:rPr>
        <w:t xml:space="preserve">Externally, </w:t>
      </w:r>
      <w:r w:rsidRPr="000A4B34">
        <w:rPr>
          <w:rStyle w:val="Strong"/>
          <w:rFonts w:ascii="Arial" w:hAnsi="Arial" w:cs="Arial"/>
          <w:sz w:val="22"/>
          <w:szCs w:val="22"/>
        </w:rPr>
        <w:t>opportunities</w:t>
      </w:r>
      <w:r w:rsidRPr="000A4B34">
        <w:rPr>
          <w:rFonts w:ascii="Arial" w:hAnsi="Arial" w:cs="Arial"/>
          <w:sz w:val="22"/>
          <w:szCs w:val="22"/>
        </w:rPr>
        <w:t xml:space="preserve"> in EV expansion and digital transformation align with Nissan’s sustainability vision, while </w:t>
      </w:r>
      <w:r w:rsidRPr="000A4B34">
        <w:rPr>
          <w:rStyle w:val="Strong"/>
          <w:rFonts w:ascii="Arial" w:hAnsi="Arial" w:cs="Arial"/>
          <w:sz w:val="22"/>
          <w:szCs w:val="22"/>
        </w:rPr>
        <w:t>threats</w:t>
      </w:r>
      <w:r w:rsidRPr="000A4B34">
        <w:rPr>
          <w:rFonts w:ascii="Arial" w:hAnsi="Arial" w:cs="Arial"/>
          <w:sz w:val="22"/>
          <w:szCs w:val="22"/>
        </w:rPr>
        <w:t xml:space="preserve"> such as competition and economic instability require agility and innovation. Overall, success depends on aligning manufacturing strength </w:t>
      </w:r>
      <w:r w:rsidRPr="006C167A">
        <w:rPr>
          <w:rFonts w:ascii="Arial" w:hAnsi="Arial" w:cs="Arial"/>
          <w:sz w:val="22"/>
          <w:szCs w:val="22"/>
        </w:rPr>
        <w:t>with future mobility trends and accelerating technological adaptation.</w:t>
      </w:r>
    </w:p>
    <w:p w14:paraId="0259260B" w14:textId="7EBC0A62" w:rsidR="006C167A" w:rsidRDefault="006C167A" w:rsidP="006C167A">
      <w:pPr>
        <w:pStyle w:val="Heading1"/>
        <w:jc w:val="center"/>
        <w:rPr>
          <w:rStyle w:val="Strong"/>
          <w:rFonts w:ascii="Arial" w:hAnsi="Arial" w:cs="Arial"/>
          <w:color w:val="000000" w:themeColor="text1"/>
          <w:sz w:val="28"/>
          <w:szCs w:val="28"/>
        </w:rPr>
      </w:pPr>
      <w:bookmarkStart w:id="10" w:name="_Toc211848554"/>
      <w:r w:rsidRPr="006C167A">
        <w:rPr>
          <w:rStyle w:val="Strong"/>
          <w:rFonts w:ascii="Arial" w:hAnsi="Arial" w:cs="Arial"/>
          <w:color w:val="000000" w:themeColor="text1"/>
          <w:sz w:val="28"/>
          <w:szCs w:val="28"/>
        </w:rPr>
        <w:t>3. Strategy Formulation</w:t>
      </w:r>
      <w:bookmarkEnd w:id="10"/>
    </w:p>
    <w:p w14:paraId="0EE7569A" w14:textId="64B369F2" w:rsidR="006567F7" w:rsidRDefault="0089026F" w:rsidP="006567F7">
      <w:r>
        <w:rPr>
          <w:noProof/>
        </w:rPr>
        <w:drawing>
          <wp:inline distT="0" distB="0" distL="0" distR="0" wp14:anchorId="1129016A" wp14:editId="57EC852E">
            <wp:extent cx="5991225" cy="3223895"/>
            <wp:effectExtent l="0" t="0" r="9525" b="0"/>
            <wp:docPr id="4" name="Picture 4" descr="Infographic about 3 electric vehicles - Hyper Punk, Hyper Urban and Chill-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fographic about 3 electric vehicles - Hyper Punk, Hyper Urban and Chill-Ou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91225" cy="3223895"/>
                    </a:xfrm>
                    <a:prstGeom prst="rect">
                      <a:avLst/>
                    </a:prstGeom>
                    <a:noFill/>
                    <a:ln>
                      <a:noFill/>
                    </a:ln>
                  </pic:spPr>
                </pic:pic>
              </a:graphicData>
            </a:graphic>
          </wp:inline>
        </w:drawing>
      </w:r>
    </w:p>
    <w:p w14:paraId="51F45A48" w14:textId="7F5052F5" w:rsidR="0089026F" w:rsidRDefault="0089026F" w:rsidP="006567F7">
      <w:r w:rsidRPr="0089026F">
        <w:rPr>
          <w:rFonts w:ascii="Arial" w:hAnsi="Arial" w:cs="Arial"/>
          <w:b/>
          <w:bCs/>
        </w:rPr>
        <w:t>Image nr.2:</w:t>
      </w:r>
      <w:r w:rsidRPr="0089026F">
        <w:rPr>
          <w:rFonts w:ascii="Arial" w:hAnsi="Arial" w:cs="Arial"/>
        </w:rPr>
        <w:t xml:space="preserve"> source of</w:t>
      </w:r>
      <w:r>
        <w:t xml:space="preserve"> </w:t>
      </w:r>
      <w:hyperlink r:id="rId10" w:history="1">
        <w:r w:rsidRPr="007B77E7">
          <w:rPr>
            <w:rStyle w:val="Hyperlink"/>
          </w:rPr>
          <w:t>https://europe.nissannews.com/en-GB/releases/three-is-the-magic-number-as-nissan-accelerates-the-switch-to-full-electric</w:t>
        </w:r>
      </w:hyperlink>
    </w:p>
    <w:p w14:paraId="31151950" w14:textId="77777777" w:rsidR="006C167A" w:rsidRPr="006C167A" w:rsidRDefault="006C167A" w:rsidP="006C167A">
      <w:pPr>
        <w:pStyle w:val="NormalWeb"/>
        <w:spacing w:line="360" w:lineRule="auto"/>
        <w:ind w:firstLine="720"/>
        <w:rPr>
          <w:rFonts w:ascii="Arial" w:hAnsi="Arial" w:cs="Arial"/>
          <w:sz w:val="22"/>
          <w:szCs w:val="22"/>
        </w:rPr>
      </w:pPr>
      <w:r w:rsidRPr="006C167A">
        <w:rPr>
          <w:rFonts w:ascii="Arial" w:hAnsi="Arial" w:cs="Arial"/>
          <w:sz w:val="22"/>
          <w:szCs w:val="22"/>
        </w:rPr>
        <w:t>Strategic formulation is the process through which an organisation determines the most effective approach to achieving a sustainable competitive advantage by aligning its internal strengths with external opportunities (Porter, 1985; Johnson, Scholes and Whittington, 2020). For Nissan UK, the formulation of forward-looking strategies must address the challenges identified in the environmental and internal analyses while capitalising on emerging opportunities in electrification, digitalisation, and sustainability.</w:t>
      </w:r>
    </w:p>
    <w:p w14:paraId="1178D714" w14:textId="77777777" w:rsidR="006C167A" w:rsidRPr="006C167A" w:rsidRDefault="006C167A" w:rsidP="006C167A">
      <w:pPr>
        <w:pStyle w:val="Heading2"/>
        <w:rPr>
          <w:color w:val="000000" w:themeColor="text1"/>
          <w:sz w:val="24"/>
          <w:szCs w:val="24"/>
        </w:rPr>
      </w:pPr>
      <w:bookmarkStart w:id="11" w:name="_Toc211848555"/>
      <w:r w:rsidRPr="006C167A">
        <w:rPr>
          <w:rStyle w:val="Strong"/>
          <w:rFonts w:ascii="Arial" w:hAnsi="Arial" w:cs="Arial"/>
          <w:color w:val="000000" w:themeColor="text1"/>
          <w:sz w:val="24"/>
          <w:szCs w:val="24"/>
        </w:rPr>
        <w:lastRenderedPageBreak/>
        <w:t>3.1 Strategic Priorities</w:t>
      </w:r>
      <w:bookmarkEnd w:id="11"/>
    </w:p>
    <w:p w14:paraId="63DFC98B" w14:textId="77777777" w:rsidR="006C167A" w:rsidRPr="006C167A" w:rsidRDefault="006C167A" w:rsidP="006C167A">
      <w:pPr>
        <w:pStyle w:val="NormalWeb"/>
        <w:spacing w:line="360" w:lineRule="auto"/>
        <w:ind w:firstLine="720"/>
        <w:rPr>
          <w:rFonts w:ascii="Arial" w:hAnsi="Arial" w:cs="Arial"/>
          <w:sz w:val="22"/>
          <w:szCs w:val="22"/>
        </w:rPr>
      </w:pPr>
      <w:r w:rsidRPr="006C167A">
        <w:rPr>
          <w:rFonts w:ascii="Arial" w:hAnsi="Arial" w:cs="Arial"/>
          <w:sz w:val="22"/>
          <w:szCs w:val="22"/>
        </w:rPr>
        <w:t>Based on the preceding PESTLE and SWOT analyses, several strategic priorities emerge for Nissan UK.</w:t>
      </w:r>
      <w:r w:rsidRPr="006C167A">
        <w:rPr>
          <w:rFonts w:ascii="Arial" w:hAnsi="Arial" w:cs="Arial"/>
          <w:sz w:val="22"/>
          <w:szCs w:val="22"/>
        </w:rPr>
        <w:br/>
        <w:t xml:space="preserve">First, the company must </w:t>
      </w:r>
      <w:r w:rsidRPr="006C167A">
        <w:rPr>
          <w:rStyle w:val="Strong"/>
          <w:rFonts w:ascii="Arial" w:hAnsi="Arial" w:cs="Arial"/>
          <w:sz w:val="22"/>
          <w:szCs w:val="22"/>
        </w:rPr>
        <w:t>accelerate its electrification and product innovation</w:t>
      </w:r>
      <w:r w:rsidRPr="006C167A">
        <w:rPr>
          <w:rFonts w:ascii="Arial" w:hAnsi="Arial" w:cs="Arial"/>
          <w:sz w:val="22"/>
          <w:szCs w:val="22"/>
        </w:rPr>
        <w:t xml:space="preserve"> agenda. Expanding its electric vehicle (EV) range and investing in next-generation battery technologies will enable Nissan to remain competitive as the automotive industry transitions towards zero-emission mobility (UK Government, 2023).</w:t>
      </w:r>
    </w:p>
    <w:p w14:paraId="1B43CAF1" w14:textId="77777777" w:rsidR="006C167A" w:rsidRPr="006C167A" w:rsidRDefault="006C167A" w:rsidP="006C167A">
      <w:pPr>
        <w:pStyle w:val="NormalWeb"/>
        <w:spacing w:line="360" w:lineRule="auto"/>
        <w:ind w:firstLine="720"/>
        <w:rPr>
          <w:rFonts w:ascii="Arial" w:hAnsi="Arial" w:cs="Arial"/>
          <w:sz w:val="22"/>
          <w:szCs w:val="22"/>
        </w:rPr>
      </w:pPr>
      <w:r w:rsidRPr="006C167A">
        <w:rPr>
          <w:rFonts w:ascii="Arial" w:hAnsi="Arial" w:cs="Arial"/>
          <w:sz w:val="22"/>
          <w:szCs w:val="22"/>
        </w:rPr>
        <w:t xml:space="preserve">Second, </w:t>
      </w:r>
      <w:r w:rsidRPr="006C167A">
        <w:rPr>
          <w:rStyle w:val="Strong"/>
          <w:rFonts w:ascii="Arial" w:hAnsi="Arial" w:cs="Arial"/>
          <w:sz w:val="22"/>
          <w:szCs w:val="22"/>
        </w:rPr>
        <w:t>digital transformation</w:t>
      </w:r>
      <w:r w:rsidRPr="006C167A">
        <w:rPr>
          <w:rFonts w:ascii="Arial" w:hAnsi="Arial" w:cs="Arial"/>
          <w:sz w:val="22"/>
          <w:szCs w:val="22"/>
        </w:rPr>
        <w:t xml:space="preserve"> should be central to Nissan’s operational strategy. Integrating artificial intelligence, robotics, and advanced data analytics into manufacturing and logistics processes can enhance efficiency, flexibility, and supply chain resilience (Deloitte, 2023).</w:t>
      </w:r>
    </w:p>
    <w:p w14:paraId="12CD332E" w14:textId="52B90441" w:rsidR="006C167A" w:rsidRPr="006C167A" w:rsidRDefault="0089026F" w:rsidP="006C167A">
      <w:pPr>
        <w:pStyle w:val="NormalWeb"/>
        <w:spacing w:line="360" w:lineRule="auto"/>
        <w:ind w:firstLine="720"/>
        <w:rPr>
          <w:rFonts w:ascii="Arial" w:hAnsi="Arial" w:cs="Arial"/>
          <w:sz w:val="22"/>
          <w:szCs w:val="22"/>
        </w:rPr>
      </w:pPr>
      <w:r>
        <w:rPr>
          <w:noProof/>
        </w:rPr>
        <w:drawing>
          <wp:anchor distT="0" distB="0" distL="114300" distR="114300" simplePos="0" relativeHeight="251659264" behindDoc="1" locked="0" layoutInCell="1" allowOverlap="1" wp14:anchorId="1D6A6617" wp14:editId="20320EAE">
            <wp:simplePos x="0" y="0"/>
            <wp:positionH relativeFrom="margin">
              <wp:align>left</wp:align>
            </wp:positionH>
            <wp:positionV relativeFrom="paragraph">
              <wp:posOffset>1307465</wp:posOffset>
            </wp:positionV>
            <wp:extent cx="3981450" cy="2514600"/>
            <wp:effectExtent l="0" t="0" r="0" b="0"/>
            <wp:wrapTight wrapText="bothSides">
              <wp:wrapPolygon edited="0">
                <wp:start x="0" y="0"/>
                <wp:lineTo x="0" y="21436"/>
                <wp:lineTo x="21497" y="21436"/>
                <wp:lineTo x="21497" y="0"/>
                <wp:lineTo x="0" y="0"/>
              </wp:wrapPolygon>
            </wp:wrapTight>
            <wp:docPr id="2" name="Picture 2" descr="The wheel of Nissan Sustainability with two programs and nine i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wheel of Nissan Sustainability with two programs and nine item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81450" cy="2514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167A" w:rsidRPr="006C167A">
        <w:rPr>
          <w:rFonts w:ascii="Arial" w:hAnsi="Arial" w:cs="Arial"/>
          <w:sz w:val="22"/>
          <w:szCs w:val="22"/>
        </w:rPr>
        <w:t xml:space="preserve">Third, the firm needs to </w:t>
      </w:r>
      <w:r w:rsidR="006C167A" w:rsidRPr="006C167A">
        <w:rPr>
          <w:rStyle w:val="Strong"/>
          <w:rFonts w:ascii="Arial" w:hAnsi="Arial" w:cs="Arial"/>
          <w:sz w:val="22"/>
          <w:szCs w:val="22"/>
        </w:rPr>
        <w:t>strengthen localisation and supply chain resilience</w:t>
      </w:r>
      <w:r w:rsidR="006C167A" w:rsidRPr="006C167A">
        <w:rPr>
          <w:rFonts w:ascii="Arial" w:hAnsi="Arial" w:cs="Arial"/>
          <w:sz w:val="22"/>
          <w:szCs w:val="22"/>
        </w:rPr>
        <w:t>. The post-Brexit environment has highlighted the risks of over-reliance on imported components from the EU. By building stronger partnerships with UK-based suppliers and investing in local component manufacturing, Nissan can mitigate supply chain vulnerabilities and improve production continuity (SMMT, 2024).</w:t>
      </w:r>
    </w:p>
    <w:p w14:paraId="653124F4" w14:textId="45B765D2" w:rsidR="006C167A" w:rsidRDefault="006C167A" w:rsidP="006C167A">
      <w:pPr>
        <w:pStyle w:val="NormalWeb"/>
        <w:spacing w:line="360" w:lineRule="auto"/>
        <w:ind w:firstLine="720"/>
        <w:rPr>
          <w:rFonts w:ascii="Arial" w:hAnsi="Arial" w:cs="Arial"/>
          <w:sz w:val="22"/>
          <w:szCs w:val="22"/>
        </w:rPr>
      </w:pPr>
      <w:r w:rsidRPr="006C167A">
        <w:rPr>
          <w:rFonts w:ascii="Arial" w:hAnsi="Arial" w:cs="Arial"/>
          <w:sz w:val="22"/>
          <w:szCs w:val="22"/>
        </w:rPr>
        <w:t xml:space="preserve">Additionally, </w:t>
      </w:r>
      <w:r w:rsidRPr="006C167A">
        <w:rPr>
          <w:rStyle w:val="Strong"/>
          <w:rFonts w:ascii="Arial" w:hAnsi="Arial" w:cs="Arial"/>
          <w:sz w:val="22"/>
          <w:szCs w:val="22"/>
        </w:rPr>
        <w:t>sustainability and circular economy principles</w:t>
      </w:r>
      <w:r w:rsidRPr="006C167A">
        <w:rPr>
          <w:rFonts w:ascii="Arial" w:hAnsi="Arial" w:cs="Arial"/>
          <w:sz w:val="22"/>
          <w:szCs w:val="22"/>
        </w:rPr>
        <w:t xml:space="preserve"> should be embedded within Nissan’s operations. The company can enhance its environmental credentials by implementing closed-loop production systems and expanding battery recycling initiatives, which align with both consumer expectations and national carbon reduction targets (Nissan, 2024). Finally, a </w:t>
      </w:r>
      <w:r w:rsidRPr="006C167A">
        <w:rPr>
          <w:rStyle w:val="Strong"/>
          <w:rFonts w:ascii="Arial" w:hAnsi="Arial" w:cs="Arial"/>
          <w:sz w:val="22"/>
          <w:szCs w:val="22"/>
        </w:rPr>
        <w:t>customer-centric innovation strategy</w:t>
      </w:r>
      <w:r w:rsidRPr="006C167A">
        <w:rPr>
          <w:rFonts w:ascii="Arial" w:hAnsi="Arial" w:cs="Arial"/>
          <w:sz w:val="22"/>
          <w:szCs w:val="22"/>
        </w:rPr>
        <w:t xml:space="preserve"> focused on connected, autonomous, and intelligent mobility solutions will allow Nissan to address evolving consumer needs in a digitalised market (Grant, 2021).</w:t>
      </w:r>
    </w:p>
    <w:p w14:paraId="27C9F0EC" w14:textId="77777777" w:rsidR="00B0662B" w:rsidRPr="006C167A" w:rsidRDefault="00B0662B" w:rsidP="006C167A">
      <w:pPr>
        <w:pStyle w:val="NormalWeb"/>
        <w:spacing w:line="360" w:lineRule="auto"/>
        <w:ind w:firstLine="720"/>
        <w:rPr>
          <w:rFonts w:ascii="Arial" w:hAnsi="Arial" w:cs="Arial"/>
          <w:sz w:val="22"/>
          <w:szCs w:val="22"/>
        </w:rPr>
      </w:pPr>
    </w:p>
    <w:p w14:paraId="29639C27" w14:textId="77777777" w:rsidR="006C167A" w:rsidRPr="006C167A" w:rsidRDefault="006C167A" w:rsidP="006C167A">
      <w:pPr>
        <w:pStyle w:val="Heading2"/>
        <w:rPr>
          <w:color w:val="000000" w:themeColor="text1"/>
          <w:sz w:val="24"/>
          <w:szCs w:val="24"/>
        </w:rPr>
      </w:pPr>
      <w:bookmarkStart w:id="12" w:name="_Toc211848556"/>
      <w:r w:rsidRPr="006C167A">
        <w:rPr>
          <w:rStyle w:val="Strong"/>
          <w:rFonts w:ascii="Arial" w:hAnsi="Arial" w:cs="Arial"/>
          <w:color w:val="000000" w:themeColor="text1"/>
          <w:sz w:val="24"/>
          <w:szCs w:val="24"/>
        </w:rPr>
        <w:lastRenderedPageBreak/>
        <w:t>3.2 Strategic Options</w:t>
      </w:r>
      <w:bookmarkEnd w:id="12"/>
    </w:p>
    <w:p w14:paraId="6D6A5324" w14:textId="42798635" w:rsidR="006C167A" w:rsidRPr="006C167A" w:rsidRDefault="006C167A" w:rsidP="007F418B">
      <w:pPr>
        <w:pStyle w:val="NormalWeb"/>
        <w:spacing w:line="360" w:lineRule="auto"/>
        <w:ind w:firstLine="720"/>
        <w:rPr>
          <w:rFonts w:ascii="Arial" w:hAnsi="Arial" w:cs="Arial"/>
          <w:sz w:val="22"/>
          <w:szCs w:val="22"/>
        </w:rPr>
      </w:pPr>
      <w:r w:rsidRPr="006C167A">
        <w:rPr>
          <w:rFonts w:ascii="Arial" w:hAnsi="Arial" w:cs="Arial"/>
          <w:sz w:val="22"/>
          <w:szCs w:val="22"/>
        </w:rPr>
        <w:t>Using the TOWS framework (</w:t>
      </w:r>
      <w:proofErr w:type="spellStart"/>
      <w:r w:rsidRPr="006C167A">
        <w:rPr>
          <w:rFonts w:ascii="Arial" w:hAnsi="Arial" w:cs="Arial"/>
          <w:sz w:val="22"/>
          <w:szCs w:val="22"/>
        </w:rPr>
        <w:t>Weihrich</w:t>
      </w:r>
      <w:proofErr w:type="spellEnd"/>
      <w:r w:rsidRPr="006C167A">
        <w:rPr>
          <w:rFonts w:ascii="Arial" w:hAnsi="Arial" w:cs="Arial"/>
          <w:sz w:val="22"/>
          <w:szCs w:val="22"/>
        </w:rPr>
        <w:t>, 1982),</w:t>
      </w:r>
      <w:r w:rsidRPr="00B47788">
        <w:rPr>
          <w:rFonts w:ascii="Arial" w:hAnsi="Arial" w:cs="Arial"/>
          <w:sz w:val="22"/>
          <w:szCs w:val="22"/>
        </w:rPr>
        <w:t xml:space="preserve"> </w:t>
      </w:r>
      <w:r w:rsidR="00B47788" w:rsidRPr="00B47788">
        <w:rPr>
          <w:rFonts w:ascii="Arial" w:hAnsi="Arial" w:cs="Arial"/>
          <w:sz w:val="22"/>
          <w:szCs w:val="22"/>
        </w:rPr>
        <w:t>Nissan can develop strategic alternatives by aligning its internal capabilities and limitations with external opportunities and challenges.</w:t>
      </w:r>
      <w:r w:rsidRPr="00B47788">
        <w:rPr>
          <w:rFonts w:ascii="Arial" w:hAnsi="Arial" w:cs="Arial"/>
          <w:sz w:val="22"/>
          <w:szCs w:val="22"/>
        </w:rPr>
        <w:t xml:space="preserve"> </w:t>
      </w:r>
      <w:r w:rsidRPr="006C167A">
        <w:rPr>
          <w:rFonts w:ascii="Arial" w:hAnsi="Arial" w:cs="Arial"/>
          <w:sz w:val="22"/>
          <w:szCs w:val="22"/>
        </w:rPr>
        <w:t>The company’s operational excellence and strong alliances can be leveraged to capitalise on opportunities in the EV and green technology markets. Similarly, its R&amp;D and innovation capabilities can help counter threats such as rising competition and market volatility. To address weaknesses such as limited digital adoption, Nissan should pursue technology partnerships and invest in digital upskilling. Strengthening supplier networks and localisation can also reduce exposure to global disruptions.</w:t>
      </w:r>
    </w:p>
    <w:p w14:paraId="23047727" w14:textId="77777777" w:rsidR="006C167A" w:rsidRPr="006C167A" w:rsidRDefault="006C167A" w:rsidP="006C167A">
      <w:pPr>
        <w:pStyle w:val="Heading3"/>
        <w:spacing w:line="360" w:lineRule="auto"/>
        <w:rPr>
          <w:rFonts w:ascii="Arial" w:hAnsi="Arial" w:cs="Arial"/>
          <w:color w:val="000000" w:themeColor="text1"/>
        </w:rPr>
      </w:pPr>
      <w:bookmarkStart w:id="13" w:name="_Toc211848557"/>
      <w:r w:rsidRPr="006C167A">
        <w:rPr>
          <w:rStyle w:val="Strong"/>
          <w:rFonts w:ascii="Arial" w:hAnsi="Arial" w:cs="Arial"/>
          <w:color w:val="000000" w:themeColor="text1"/>
        </w:rPr>
        <w:t>3.3 Recommended Strategic Direction</w:t>
      </w:r>
      <w:bookmarkEnd w:id="13"/>
    </w:p>
    <w:p w14:paraId="7D5BDC5F" w14:textId="77777777" w:rsidR="006C167A" w:rsidRPr="006C167A" w:rsidRDefault="006C167A" w:rsidP="006C167A">
      <w:pPr>
        <w:pStyle w:val="NormalWeb"/>
        <w:spacing w:line="360" w:lineRule="auto"/>
        <w:ind w:firstLine="720"/>
        <w:rPr>
          <w:rFonts w:ascii="Arial" w:hAnsi="Arial" w:cs="Arial"/>
          <w:sz w:val="22"/>
          <w:szCs w:val="22"/>
        </w:rPr>
      </w:pPr>
      <w:r w:rsidRPr="006C167A">
        <w:rPr>
          <w:rFonts w:ascii="Arial" w:hAnsi="Arial" w:cs="Arial"/>
          <w:sz w:val="22"/>
          <w:szCs w:val="22"/>
        </w:rPr>
        <w:t xml:space="preserve">Nissan UK should pursue a </w:t>
      </w:r>
      <w:r w:rsidRPr="006C167A">
        <w:rPr>
          <w:rStyle w:val="Strong"/>
          <w:rFonts w:ascii="Arial" w:hAnsi="Arial" w:cs="Arial"/>
          <w:sz w:val="22"/>
          <w:szCs w:val="22"/>
        </w:rPr>
        <w:t>hybrid competitive strategy</w:t>
      </w:r>
      <w:r w:rsidRPr="006C167A">
        <w:rPr>
          <w:rFonts w:ascii="Arial" w:hAnsi="Arial" w:cs="Arial"/>
          <w:sz w:val="22"/>
          <w:szCs w:val="22"/>
        </w:rPr>
        <w:t xml:space="preserve">, combining </w:t>
      </w:r>
      <w:r w:rsidRPr="006C167A">
        <w:rPr>
          <w:rStyle w:val="Strong"/>
          <w:rFonts w:ascii="Arial" w:hAnsi="Arial" w:cs="Arial"/>
          <w:sz w:val="22"/>
          <w:szCs w:val="22"/>
        </w:rPr>
        <w:t>differentiation through innovation</w:t>
      </w:r>
      <w:r w:rsidRPr="006C167A">
        <w:rPr>
          <w:rFonts w:ascii="Arial" w:hAnsi="Arial" w:cs="Arial"/>
          <w:sz w:val="22"/>
          <w:szCs w:val="22"/>
        </w:rPr>
        <w:t xml:space="preserve"> with </w:t>
      </w:r>
      <w:r w:rsidRPr="006C167A">
        <w:rPr>
          <w:rStyle w:val="Strong"/>
          <w:rFonts w:ascii="Arial" w:hAnsi="Arial" w:cs="Arial"/>
          <w:sz w:val="22"/>
          <w:szCs w:val="22"/>
        </w:rPr>
        <w:t>cost efficiency</w:t>
      </w:r>
      <w:r w:rsidRPr="006C167A">
        <w:rPr>
          <w:rFonts w:ascii="Arial" w:hAnsi="Arial" w:cs="Arial"/>
          <w:sz w:val="22"/>
          <w:szCs w:val="22"/>
        </w:rPr>
        <w:t xml:space="preserve"> (Porter, 1985). This approach would allow the company to offer technologically advanced and sustainable vehicles while maintaining the productivity and cost advantages of its lean manufacturing system. Innovation-driven differentiation will be achieved through continual product development, enhanced battery technology, and customer-focused digital features. Operational excellence, meanwhile, will ensure that efficiency and quality remain key competitive levers.</w:t>
      </w:r>
    </w:p>
    <w:p w14:paraId="4822141C" w14:textId="77777777" w:rsidR="006C167A" w:rsidRPr="006C167A" w:rsidRDefault="006C167A" w:rsidP="006C167A">
      <w:pPr>
        <w:pStyle w:val="NormalWeb"/>
        <w:spacing w:line="360" w:lineRule="auto"/>
        <w:ind w:firstLine="720"/>
        <w:rPr>
          <w:rFonts w:ascii="Arial" w:hAnsi="Arial" w:cs="Arial"/>
          <w:sz w:val="22"/>
          <w:szCs w:val="22"/>
        </w:rPr>
      </w:pPr>
      <w:r w:rsidRPr="006C167A">
        <w:rPr>
          <w:rFonts w:ascii="Arial" w:hAnsi="Arial" w:cs="Arial"/>
          <w:sz w:val="22"/>
          <w:szCs w:val="22"/>
        </w:rPr>
        <w:t xml:space="preserve">Furthermore, collaboration within the </w:t>
      </w:r>
      <w:r w:rsidRPr="006C167A">
        <w:rPr>
          <w:rStyle w:val="Strong"/>
          <w:rFonts w:ascii="Arial" w:hAnsi="Arial" w:cs="Arial"/>
          <w:sz w:val="22"/>
          <w:szCs w:val="22"/>
        </w:rPr>
        <w:t>Renault–Mitsubishi Alliance</w:t>
      </w:r>
      <w:r w:rsidRPr="006C167A">
        <w:rPr>
          <w:rFonts w:ascii="Arial" w:hAnsi="Arial" w:cs="Arial"/>
          <w:sz w:val="22"/>
          <w:szCs w:val="22"/>
        </w:rPr>
        <w:t xml:space="preserve"> should be strengthened to share technological expertise, pool R&amp;D resources, and achieve greater economies of scale. A deeper integration of </w:t>
      </w:r>
      <w:r w:rsidRPr="006C167A">
        <w:rPr>
          <w:rStyle w:val="Strong"/>
          <w:rFonts w:ascii="Arial" w:hAnsi="Arial" w:cs="Arial"/>
          <w:sz w:val="22"/>
          <w:szCs w:val="22"/>
        </w:rPr>
        <w:t>environmental, social, and governance (ESG)</w:t>
      </w:r>
      <w:r w:rsidRPr="006C167A">
        <w:rPr>
          <w:rFonts w:ascii="Arial" w:hAnsi="Arial" w:cs="Arial"/>
          <w:sz w:val="22"/>
          <w:szCs w:val="22"/>
        </w:rPr>
        <w:t xml:space="preserve"> principles will also enhance Nissan’s reputation and compliance with global sustainability standards.</w:t>
      </w:r>
    </w:p>
    <w:p w14:paraId="5E6A49B7" w14:textId="77777777" w:rsidR="006C167A" w:rsidRPr="006C167A" w:rsidRDefault="006C167A" w:rsidP="006C167A">
      <w:pPr>
        <w:pStyle w:val="Heading2"/>
        <w:rPr>
          <w:color w:val="000000" w:themeColor="text1"/>
          <w:sz w:val="24"/>
          <w:szCs w:val="24"/>
        </w:rPr>
      </w:pPr>
      <w:bookmarkStart w:id="14" w:name="_Toc211848558"/>
      <w:r w:rsidRPr="006C167A">
        <w:rPr>
          <w:rStyle w:val="Strong"/>
          <w:rFonts w:ascii="Arial" w:hAnsi="Arial" w:cs="Arial"/>
          <w:color w:val="000000" w:themeColor="text1"/>
          <w:sz w:val="24"/>
          <w:szCs w:val="24"/>
        </w:rPr>
        <w:t>3.4 Strategic Outlook</w:t>
      </w:r>
      <w:bookmarkEnd w:id="14"/>
    </w:p>
    <w:p w14:paraId="2E9ADFA0" w14:textId="77777777" w:rsidR="006C167A" w:rsidRPr="006C167A" w:rsidRDefault="006C167A" w:rsidP="007F418B">
      <w:pPr>
        <w:pStyle w:val="NormalWeb"/>
        <w:spacing w:line="360" w:lineRule="auto"/>
        <w:ind w:firstLine="720"/>
        <w:rPr>
          <w:rFonts w:ascii="Arial" w:hAnsi="Arial" w:cs="Arial"/>
          <w:sz w:val="22"/>
          <w:szCs w:val="22"/>
        </w:rPr>
      </w:pPr>
      <w:r w:rsidRPr="006C167A">
        <w:rPr>
          <w:rFonts w:ascii="Arial" w:hAnsi="Arial" w:cs="Arial"/>
          <w:sz w:val="22"/>
          <w:szCs w:val="22"/>
        </w:rPr>
        <w:t>In summary, Nissan UK’s strategic direction should focus on innovation, localisation, and sustainability. The automotive sector is evolving rapidly, and success will depend on the company’s ability to adapt to regulatory, technological, and market shifts. By executing a hybrid strategy, Nissan can expand its presence in the EV market, enhance brand differentiation, and build long-term resilience. Effective implementation of these strategies will position the company not only as a leader in the UK automotive industry but also as a global innovator in sustainable mobility.</w:t>
      </w:r>
    </w:p>
    <w:p w14:paraId="5420E032" w14:textId="77777777" w:rsidR="0089026F" w:rsidRPr="006C167A" w:rsidRDefault="0089026F" w:rsidP="00762E21">
      <w:pPr>
        <w:pStyle w:val="NormalWeb"/>
        <w:spacing w:line="360" w:lineRule="auto"/>
        <w:rPr>
          <w:rFonts w:ascii="Arial" w:hAnsi="Arial" w:cs="Arial"/>
          <w:sz w:val="22"/>
          <w:szCs w:val="22"/>
        </w:rPr>
      </w:pPr>
    </w:p>
    <w:p w14:paraId="7036AEE5" w14:textId="033DFD2D" w:rsidR="006C167A" w:rsidRDefault="006C167A" w:rsidP="00FF626D">
      <w:pPr>
        <w:pStyle w:val="Heading1"/>
        <w:jc w:val="center"/>
        <w:rPr>
          <w:rStyle w:val="Strong"/>
          <w:rFonts w:ascii="Arial" w:hAnsi="Arial" w:cs="Arial"/>
          <w:color w:val="000000" w:themeColor="text1"/>
          <w:sz w:val="28"/>
          <w:szCs w:val="28"/>
        </w:rPr>
      </w:pPr>
      <w:bookmarkStart w:id="15" w:name="_Toc211848559"/>
      <w:r w:rsidRPr="007F418B">
        <w:rPr>
          <w:rStyle w:val="Strong"/>
          <w:rFonts w:ascii="Arial" w:hAnsi="Arial" w:cs="Arial"/>
          <w:color w:val="000000" w:themeColor="text1"/>
          <w:sz w:val="28"/>
          <w:szCs w:val="28"/>
        </w:rPr>
        <w:lastRenderedPageBreak/>
        <w:t>4. Conclusion and Recommendations</w:t>
      </w:r>
      <w:bookmarkEnd w:id="15"/>
    </w:p>
    <w:p w14:paraId="44F07DC2" w14:textId="77777777" w:rsidR="00FF626D" w:rsidRPr="00FF626D" w:rsidRDefault="00FF626D" w:rsidP="00FF626D">
      <w:pPr>
        <w:spacing w:before="100" w:beforeAutospacing="1" w:after="100" w:afterAutospacing="1" w:line="360" w:lineRule="auto"/>
        <w:ind w:firstLine="720"/>
        <w:rPr>
          <w:rFonts w:ascii="Arial" w:eastAsia="Times New Roman" w:hAnsi="Arial" w:cs="Arial"/>
          <w:lang w:eastAsia="en-GB"/>
        </w:rPr>
      </w:pPr>
      <w:r w:rsidRPr="00FF626D">
        <w:rPr>
          <w:rFonts w:ascii="Arial" w:eastAsia="Times New Roman" w:hAnsi="Arial" w:cs="Arial"/>
          <w:lang w:eastAsia="en-GB"/>
        </w:rPr>
        <w:t>Nissan UK stands as a central figure within the British automotive industry, known for its strong manufacturing performance, innovation capability, and contribution to the UK economy. However, the sector is facing profound transformation driven by technological change, environmental regulation, and global market uncertainty. The strategic analysis in this report highlights that while Nissan UK benefits from strengths such as operational efficiency, skilled labour, and a strong brand, it also faces challenges including supply chain vulnerability, digitalisation gaps, and increasing competition within the electric vehicle (EV) market.</w:t>
      </w:r>
    </w:p>
    <w:p w14:paraId="59154AAD" w14:textId="77777777" w:rsidR="00FF626D" w:rsidRPr="00FF626D" w:rsidRDefault="00FF626D" w:rsidP="00FF626D">
      <w:pPr>
        <w:spacing w:before="100" w:beforeAutospacing="1" w:after="100" w:afterAutospacing="1" w:line="360" w:lineRule="auto"/>
        <w:ind w:firstLine="720"/>
        <w:rPr>
          <w:rFonts w:ascii="Arial" w:eastAsia="Times New Roman" w:hAnsi="Arial" w:cs="Arial"/>
          <w:lang w:eastAsia="en-GB"/>
        </w:rPr>
      </w:pPr>
      <w:r w:rsidRPr="00FF626D">
        <w:rPr>
          <w:rFonts w:ascii="Arial" w:eastAsia="Times New Roman" w:hAnsi="Arial" w:cs="Arial"/>
          <w:lang w:eastAsia="en-GB"/>
        </w:rPr>
        <w:t xml:space="preserve">To secure long-term competitiveness, Nissan must adopt a </w:t>
      </w:r>
      <w:r w:rsidRPr="00FF626D">
        <w:rPr>
          <w:rFonts w:ascii="Arial" w:eastAsia="Times New Roman" w:hAnsi="Arial" w:cs="Arial"/>
          <w:b/>
          <w:bCs/>
          <w:lang w:eastAsia="en-GB"/>
        </w:rPr>
        <w:t>strategic direction that balances cost efficiency with innovation-led differentiation</w:t>
      </w:r>
      <w:r w:rsidRPr="00FF626D">
        <w:rPr>
          <w:rFonts w:ascii="Arial" w:eastAsia="Times New Roman" w:hAnsi="Arial" w:cs="Arial"/>
          <w:lang w:eastAsia="en-GB"/>
        </w:rPr>
        <w:t>. This hybrid approach enables the company to maintain its production advantage while advancing in electrification, sustainability, and digital transformation. Investment in next-generation battery technologies, expansion of EV offerings, and enhanced R&amp;D collaboration within the Renault–Mitsubishi Alliance will be critical to achieving these goals.</w:t>
      </w:r>
    </w:p>
    <w:p w14:paraId="20DEA877" w14:textId="6E229AB8" w:rsidR="00FF626D" w:rsidRPr="00FF626D" w:rsidRDefault="00FF626D" w:rsidP="00FF626D">
      <w:pPr>
        <w:spacing w:before="100" w:beforeAutospacing="1" w:after="100" w:afterAutospacing="1" w:line="360" w:lineRule="auto"/>
        <w:ind w:firstLine="720"/>
        <w:rPr>
          <w:rFonts w:ascii="Arial" w:eastAsia="Times New Roman" w:hAnsi="Arial" w:cs="Arial"/>
          <w:lang w:eastAsia="en-GB"/>
        </w:rPr>
      </w:pPr>
      <w:r w:rsidRPr="00FF626D">
        <w:rPr>
          <w:rFonts w:ascii="Arial" w:eastAsia="Times New Roman" w:hAnsi="Arial" w:cs="Arial"/>
          <w:lang w:eastAsia="en-GB"/>
        </w:rPr>
        <w:t xml:space="preserve">Furthermore, Nissan should strengthen its </w:t>
      </w:r>
      <w:r w:rsidRPr="00FF626D">
        <w:rPr>
          <w:rFonts w:ascii="Arial" w:eastAsia="Times New Roman" w:hAnsi="Arial" w:cs="Arial"/>
          <w:b/>
          <w:bCs/>
          <w:lang w:eastAsia="en-GB"/>
        </w:rPr>
        <w:t>local supply chain</w:t>
      </w:r>
      <w:r w:rsidRPr="00FF626D">
        <w:rPr>
          <w:rFonts w:ascii="Arial" w:eastAsia="Times New Roman" w:hAnsi="Arial" w:cs="Arial"/>
          <w:lang w:eastAsia="en-GB"/>
        </w:rPr>
        <w:t xml:space="preserve"> to mitigate post-Brexit trade risks and improve operational resilience. Embracing </w:t>
      </w:r>
      <w:r w:rsidRPr="00FF626D">
        <w:rPr>
          <w:rFonts w:ascii="Arial" w:eastAsia="Times New Roman" w:hAnsi="Arial" w:cs="Arial"/>
          <w:b/>
          <w:bCs/>
          <w:lang w:eastAsia="en-GB"/>
        </w:rPr>
        <w:t>Industry 4.0 technologies</w:t>
      </w:r>
      <w:r w:rsidRPr="00FF626D">
        <w:rPr>
          <w:rFonts w:ascii="Arial" w:eastAsia="Times New Roman" w:hAnsi="Arial" w:cs="Arial"/>
          <w:lang w:eastAsia="en-GB"/>
        </w:rPr>
        <w:t xml:space="preserve">, such as artificial intelligence, automation, and data analytics, can boost productivity and support evidence-based decision-making. At the same time, embedding </w:t>
      </w:r>
      <w:r w:rsidRPr="00FF626D">
        <w:rPr>
          <w:rFonts w:ascii="Arial" w:eastAsia="Times New Roman" w:hAnsi="Arial" w:cs="Arial"/>
          <w:b/>
          <w:bCs/>
          <w:lang w:eastAsia="en-GB"/>
        </w:rPr>
        <w:t>sustainability and circular economy principles</w:t>
      </w:r>
      <w:r w:rsidRPr="00FF626D">
        <w:rPr>
          <w:rFonts w:ascii="Arial" w:eastAsia="Times New Roman" w:hAnsi="Arial" w:cs="Arial"/>
          <w:lang w:eastAsia="en-GB"/>
        </w:rPr>
        <w:t xml:space="preserve"> into operations—through initiatives like battery recycling and carbon reduction</w:t>
      </w:r>
      <w:r w:rsidR="00AE5640">
        <w:rPr>
          <w:rFonts w:ascii="Arial" w:eastAsia="Times New Roman" w:hAnsi="Arial" w:cs="Arial"/>
          <w:lang w:eastAsia="en-GB"/>
        </w:rPr>
        <w:t>-</w:t>
      </w:r>
      <w:r w:rsidRPr="00FF626D">
        <w:rPr>
          <w:rFonts w:ascii="Arial" w:eastAsia="Times New Roman" w:hAnsi="Arial" w:cs="Arial"/>
          <w:lang w:eastAsia="en-GB"/>
        </w:rPr>
        <w:t>will reinforce Nissan’s environmental reputation and compliance with national policies on green mobility.</w:t>
      </w:r>
    </w:p>
    <w:p w14:paraId="18F19A00" w14:textId="77777777" w:rsidR="00FF626D" w:rsidRPr="00FF626D" w:rsidRDefault="00FF626D" w:rsidP="00AE5640">
      <w:pPr>
        <w:spacing w:before="100" w:beforeAutospacing="1" w:after="100" w:afterAutospacing="1" w:line="360" w:lineRule="auto"/>
        <w:ind w:firstLine="720"/>
        <w:rPr>
          <w:rFonts w:ascii="Arial" w:eastAsia="Times New Roman" w:hAnsi="Arial" w:cs="Arial"/>
          <w:lang w:eastAsia="en-GB"/>
        </w:rPr>
      </w:pPr>
      <w:r w:rsidRPr="00FF626D">
        <w:rPr>
          <w:rFonts w:ascii="Arial" w:eastAsia="Times New Roman" w:hAnsi="Arial" w:cs="Arial"/>
          <w:lang w:eastAsia="en-GB"/>
        </w:rPr>
        <w:t>In conclusion, Nissan UK’s future success depends on its ability to integrate innovation, sustainability, and operational excellence. By pursuing these strategies, Nissan will not only enhance its market position but also contribute significantly to the UK’s transition towards a competitive and sustainable automotive future.</w:t>
      </w:r>
    </w:p>
    <w:p w14:paraId="7C2661B7" w14:textId="77777777" w:rsidR="00FF626D" w:rsidRPr="00FF626D" w:rsidRDefault="00FF626D" w:rsidP="00FF626D"/>
    <w:p w14:paraId="448135C5" w14:textId="7DE981D5" w:rsidR="000A4B34" w:rsidRDefault="000A4B34" w:rsidP="003F059C"/>
    <w:p w14:paraId="0226B0E8" w14:textId="215D76BF" w:rsidR="0089026F" w:rsidRDefault="0089026F" w:rsidP="003F059C"/>
    <w:p w14:paraId="19A1354A" w14:textId="58860F54" w:rsidR="0089026F" w:rsidRDefault="0089026F" w:rsidP="003F059C"/>
    <w:p w14:paraId="2A06F33E" w14:textId="67AE5050" w:rsidR="0089026F" w:rsidRDefault="0089026F" w:rsidP="003F059C"/>
    <w:p w14:paraId="254BEF25" w14:textId="6D222F5D" w:rsidR="0089026F" w:rsidRDefault="0089026F" w:rsidP="003F059C"/>
    <w:bookmarkStart w:id="16" w:name="_Toc211848560" w:displacedByCustomXml="next"/>
    <w:sdt>
      <w:sdtPr>
        <w:rPr>
          <w:rFonts w:asciiTheme="minorHAnsi" w:eastAsiaTheme="minorHAnsi" w:hAnsiTheme="minorHAnsi" w:cstheme="minorBidi"/>
          <w:color w:val="auto"/>
          <w:sz w:val="22"/>
          <w:szCs w:val="22"/>
        </w:rPr>
        <w:id w:val="601230130"/>
        <w:docPartObj>
          <w:docPartGallery w:val="Bibliographies"/>
          <w:docPartUnique/>
        </w:docPartObj>
      </w:sdtPr>
      <w:sdtEndPr>
        <w:rPr>
          <w:rFonts w:ascii="Arial" w:hAnsi="Arial" w:cs="Arial"/>
          <w:sz w:val="20"/>
          <w:szCs w:val="20"/>
        </w:rPr>
      </w:sdtEndPr>
      <w:sdtContent>
        <w:p w14:paraId="25B1124A" w14:textId="618DA476" w:rsidR="0089026F" w:rsidRPr="00B0662B" w:rsidRDefault="0089026F">
          <w:pPr>
            <w:pStyle w:val="Heading1"/>
            <w:rPr>
              <w:rFonts w:ascii="Arial" w:hAnsi="Arial" w:cs="Arial"/>
              <w:b/>
              <w:bCs/>
              <w:color w:val="auto"/>
            </w:rPr>
          </w:pPr>
          <w:r w:rsidRPr="00B0662B">
            <w:rPr>
              <w:rFonts w:ascii="Arial" w:hAnsi="Arial" w:cs="Arial"/>
              <w:b/>
              <w:bCs/>
              <w:color w:val="auto"/>
            </w:rPr>
            <w:t>References</w:t>
          </w:r>
          <w:bookmarkEnd w:id="16"/>
        </w:p>
        <w:sdt>
          <w:sdtPr>
            <w:id w:val="-573587230"/>
            <w:bibliography/>
          </w:sdtPr>
          <w:sdtEndPr>
            <w:rPr>
              <w:rFonts w:ascii="Arial" w:hAnsi="Arial" w:cs="Arial"/>
              <w:sz w:val="20"/>
              <w:szCs w:val="20"/>
            </w:rPr>
          </w:sdtEndPr>
          <w:sdtContent>
            <w:p w14:paraId="3E069751" w14:textId="25FF919B" w:rsidR="0089026F" w:rsidRPr="003F059C" w:rsidRDefault="0089026F" w:rsidP="0089026F"/>
            <w:p w14:paraId="390FF2DD" w14:textId="3D0D4934" w:rsidR="00977ECB" w:rsidRDefault="00977ECB">
              <w:pPr>
                <w:rPr>
                  <w:rFonts w:ascii="Arial" w:hAnsi="Arial" w:cs="Arial"/>
                  <w:sz w:val="20"/>
                  <w:szCs w:val="20"/>
                </w:rPr>
              </w:pPr>
              <w:r w:rsidRPr="00977ECB">
                <w:rPr>
                  <w:rFonts w:ascii="Arial" w:hAnsi="Arial" w:cs="Arial"/>
                  <w:sz w:val="20"/>
                  <w:szCs w:val="20"/>
                </w:rPr>
                <w:t xml:space="preserve">Barney, J. (1991) ‘Firm resources and sustained competitive advantage’, </w:t>
              </w:r>
              <w:r w:rsidRPr="00977ECB">
                <w:rPr>
                  <w:rStyle w:val="Emphasis"/>
                  <w:rFonts w:ascii="Arial" w:hAnsi="Arial" w:cs="Arial"/>
                  <w:sz w:val="20"/>
                  <w:szCs w:val="20"/>
                </w:rPr>
                <w:t>Journal of Management</w:t>
              </w:r>
              <w:r w:rsidRPr="00977ECB">
                <w:rPr>
                  <w:rFonts w:ascii="Arial" w:hAnsi="Arial" w:cs="Arial"/>
                  <w:sz w:val="20"/>
                  <w:szCs w:val="20"/>
                </w:rPr>
                <w:t>, 17(1), pp. 99–120.</w:t>
              </w:r>
              <w:r w:rsidRPr="00977ECB">
                <w:rPr>
                  <w:rFonts w:ascii="Arial" w:hAnsi="Arial" w:cs="Arial"/>
                  <w:sz w:val="20"/>
                  <w:szCs w:val="20"/>
                </w:rPr>
                <w:br/>
                <w:t xml:space="preserve">Christopher, M. (2020) </w:t>
              </w:r>
              <w:r w:rsidRPr="00977ECB">
                <w:rPr>
                  <w:rStyle w:val="Emphasis"/>
                  <w:rFonts w:ascii="Arial" w:hAnsi="Arial" w:cs="Arial"/>
                  <w:sz w:val="20"/>
                  <w:szCs w:val="20"/>
                </w:rPr>
                <w:t>Logistics &amp; Supply Chain Management</w:t>
              </w:r>
              <w:r w:rsidRPr="00977ECB">
                <w:rPr>
                  <w:rFonts w:ascii="Arial" w:hAnsi="Arial" w:cs="Arial"/>
                  <w:sz w:val="20"/>
                  <w:szCs w:val="20"/>
                </w:rPr>
                <w:t>. 6th ed. Harlow: Pearson.</w:t>
              </w:r>
              <w:r w:rsidRPr="00977ECB">
                <w:rPr>
                  <w:rFonts w:ascii="Arial" w:hAnsi="Arial" w:cs="Arial"/>
                  <w:sz w:val="20"/>
                  <w:szCs w:val="20"/>
                </w:rPr>
                <w:br/>
                <w:t xml:space="preserve">Deloitte (2023) </w:t>
              </w:r>
              <w:r w:rsidRPr="00977ECB">
                <w:rPr>
                  <w:rStyle w:val="Emphasis"/>
                  <w:rFonts w:ascii="Arial" w:hAnsi="Arial" w:cs="Arial"/>
                  <w:sz w:val="20"/>
                  <w:szCs w:val="20"/>
                </w:rPr>
                <w:t>Digital Transformation in Automotive Manufacturing</w:t>
              </w:r>
              <w:r w:rsidRPr="00977ECB">
                <w:rPr>
                  <w:rFonts w:ascii="Arial" w:hAnsi="Arial" w:cs="Arial"/>
                  <w:sz w:val="20"/>
                  <w:szCs w:val="20"/>
                </w:rPr>
                <w:t xml:space="preserve">. [Online] Available at: </w:t>
              </w:r>
              <w:hyperlink r:id="rId12" w:history="1">
                <w:r w:rsidRPr="00AD540E">
                  <w:rPr>
                    <w:rStyle w:val="Hyperlink"/>
                    <w:rFonts w:ascii="Arial" w:hAnsi="Arial" w:cs="Arial"/>
                    <w:sz w:val="20"/>
                    <w:szCs w:val="20"/>
                  </w:rPr>
                  <w:t>https://www.deloitte.com/</w:t>
                </w:r>
              </w:hyperlink>
              <w:r w:rsidRPr="00977ECB">
                <w:rPr>
                  <w:rFonts w:ascii="Arial" w:hAnsi="Arial" w:cs="Arial"/>
                  <w:sz w:val="20"/>
                  <w:szCs w:val="20"/>
                </w:rPr>
                <w:t xml:space="preserve"> (Accessed: 10 October 2025)</w:t>
              </w:r>
              <w:r>
                <w:rPr>
                  <w:rFonts w:ascii="Arial" w:hAnsi="Arial" w:cs="Arial"/>
                  <w:sz w:val="20"/>
                  <w:szCs w:val="20"/>
                </w:rPr>
                <w:t>.</w:t>
              </w:r>
              <w:r w:rsidRPr="00977ECB">
                <w:rPr>
                  <w:rFonts w:ascii="Arial" w:hAnsi="Arial" w:cs="Arial"/>
                  <w:sz w:val="20"/>
                  <w:szCs w:val="20"/>
                </w:rPr>
                <w:br/>
                <w:t xml:space="preserve">Dyer, J., Kale, P. and Singh, H. (2018) </w:t>
              </w:r>
              <w:r w:rsidRPr="00977ECB">
                <w:rPr>
                  <w:rStyle w:val="Emphasis"/>
                  <w:rFonts w:ascii="Arial" w:hAnsi="Arial" w:cs="Arial"/>
                  <w:sz w:val="20"/>
                  <w:szCs w:val="20"/>
                </w:rPr>
                <w:t>Strategic Alliances: Managing the Networked Firm</w:t>
              </w:r>
              <w:r w:rsidRPr="00977ECB">
                <w:rPr>
                  <w:rFonts w:ascii="Arial" w:hAnsi="Arial" w:cs="Arial"/>
                  <w:sz w:val="20"/>
                  <w:szCs w:val="20"/>
                </w:rPr>
                <w:t>. Oxford: Oxford University Press.</w:t>
              </w:r>
              <w:r w:rsidRPr="00977ECB">
                <w:rPr>
                  <w:rFonts w:ascii="Arial" w:hAnsi="Arial" w:cs="Arial"/>
                  <w:sz w:val="20"/>
                  <w:szCs w:val="20"/>
                </w:rPr>
                <w:br/>
                <w:t xml:space="preserve">Grant, R. (2021) </w:t>
              </w:r>
              <w:r w:rsidRPr="00977ECB">
                <w:rPr>
                  <w:rStyle w:val="Emphasis"/>
                  <w:rFonts w:ascii="Arial" w:hAnsi="Arial" w:cs="Arial"/>
                  <w:sz w:val="20"/>
                  <w:szCs w:val="20"/>
                </w:rPr>
                <w:t>Contemporary Strategy Analysis</w:t>
              </w:r>
              <w:r w:rsidRPr="00977ECB">
                <w:rPr>
                  <w:rFonts w:ascii="Arial" w:hAnsi="Arial" w:cs="Arial"/>
                  <w:sz w:val="20"/>
                  <w:szCs w:val="20"/>
                </w:rPr>
                <w:t>. 11th ed. Wiley.</w:t>
              </w:r>
              <w:r w:rsidRPr="00977ECB">
                <w:rPr>
                  <w:rFonts w:ascii="Arial" w:hAnsi="Arial" w:cs="Arial"/>
                  <w:sz w:val="20"/>
                  <w:szCs w:val="20"/>
                </w:rPr>
                <w:br/>
                <w:t xml:space="preserve">Johnson, G., Scholes, K. and Whittington, R. (2020) </w:t>
              </w:r>
              <w:r w:rsidRPr="00977ECB">
                <w:rPr>
                  <w:rStyle w:val="Emphasis"/>
                  <w:rFonts w:ascii="Arial" w:hAnsi="Arial" w:cs="Arial"/>
                  <w:sz w:val="20"/>
                  <w:szCs w:val="20"/>
                </w:rPr>
                <w:t>Exploring Corporate Strategy</w:t>
              </w:r>
              <w:r w:rsidRPr="00977ECB">
                <w:rPr>
                  <w:rFonts w:ascii="Arial" w:hAnsi="Arial" w:cs="Arial"/>
                  <w:sz w:val="20"/>
                  <w:szCs w:val="20"/>
                </w:rPr>
                <w:t>. 12th ed. Pearson Education.</w:t>
              </w:r>
              <w:r w:rsidRPr="00977ECB">
                <w:rPr>
                  <w:rFonts w:ascii="Arial" w:hAnsi="Arial" w:cs="Arial"/>
                  <w:sz w:val="20"/>
                  <w:szCs w:val="20"/>
                </w:rPr>
                <w:br/>
                <w:t xml:space="preserve">McKinsey &amp; Company (2024) </w:t>
              </w:r>
              <w:r w:rsidRPr="00977ECB">
                <w:rPr>
                  <w:rStyle w:val="Emphasis"/>
                  <w:rFonts w:ascii="Arial" w:hAnsi="Arial" w:cs="Arial"/>
                  <w:sz w:val="20"/>
                  <w:szCs w:val="20"/>
                </w:rPr>
                <w:t>The Future of Electric Mobility: Europe Outlook</w:t>
              </w:r>
              <w:r w:rsidRPr="00977ECB">
                <w:rPr>
                  <w:rFonts w:ascii="Arial" w:hAnsi="Arial" w:cs="Arial"/>
                  <w:sz w:val="20"/>
                  <w:szCs w:val="20"/>
                </w:rPr>
                <w:t xml:space="preserve">. [Online] Available at: </w:t>
              </w:r>
              <w:hyperlink r:id="rId13" w:history="1">
                <w:r w:rsidRPr="00AD540E">
                  <w:rPr>
                    <w:rStyle w:val="Hyperlink"/>
                    <w:rFonts w:ascii="Arial" w:hAnsi="Arial" w:cs="Arial"/>
                    <w:sz w:val="20"/>
                    <w:szCs w:val="20"/>
                  </w:rPr>
                  <w:t>https://www.mckinsey.com/</w:t>
                </w:r>
              </w:hyperlink>
            </w:p>
            <w:p w14:paraId="3EB4730A" w14:textId="41BE2CCD" w:rsidR="00977ECB" w:rsidRDefault="00977ECB">
              <w:pPr>
                <w:rPr>
                  <w:rFonts w:ascii="Arial" w:hAnsi="Arial" w:cs="Arial"/>
                  <w:sz w:val="20"/>
                  <w:szCs w:val="20"/>
                </w:rPr>
              </w:pPr>
              <w:r w:rsidRPr="00977ECB">
                <w:rPr>
                  <w:rFonts w:ascii="Arial" w:hAnsi="Arial" w:cs="Arial"/>
                  <w:sz w:val="20"/>
                  <w:szCs w:val="20"/>
                </w:rPr>
                <w:t xml:space="preserve">Mintzberg, H. (2019) </w:t>
              </w:r>
              <w:r w:rsidRPr="00977ECB">
                <w:rPr>
                  <w:rStyle w:val="Emphasis"/>
                  <w:rFonts w:ascii="Arial" w:hAnsi="Arial" w:cs="Arial"/>
                  <w:sz w:val="20"/>
                  <w:szCs w:val="20"/>
                </w:rPr>
                <w:t>Strategy Safari: A Guided Tour Through the Wilds of Strategic Management</w:t>
              </w:r>
              <w:r w:rsidRPr="00977ECB">
                <w:rPr>
                  <w:rFonts w:ascii="Arial" w:hAnsi="Arial" w:cs="Arial"/>
                  <w:sz w:val="20"/>
                  <w:szCs w:val="20"/>
                </w:rPr>
                <w:t>. 3rd ed. Pearson.</w:t>
              </w:r>
              <w:r w:rsidRPr="00977ECB">
                <w:rPr>
                  <w:rFonts w:ascii="Arial" w:hAnsi="Arial" w:cs="Arial"/>
                  <w:sz w:val="20"/>
                  <w:szCs w:val="20"/>
                </w:rPr>
                <w:br/>
                <w:t xml:space="preserve">Nissan Motor Corporation (2024) </w:t>
              </w:r>
              <w:r w:rsidRPr="00977ECB">
                <w:rPr>
                  <w:rStyle w:val="Emphasis"/>
                  <w:rFonts w:ascii="Arial" w:hAnsi="Arial" w:cs="Arial"/>
                  <w:sz w:val="20"/>
                  <w:szCs w:val="20"/>
                </w:rPr>
                <w:t>Annual Report 2024</w:t>
              </w:r>
              <w:r w:rsidRPr="00977ECB">
                <w:rPr>
                  <w:rFonts w:ascii="Arial" w:hAnsi="Arial" w:cs="Arial"/>
                  <w:sz w:val="20"/>
                  <w:szCs w:val="20"/>
                </w:rPr>
                <w:t xml:space="preserve">. [Online] Available at: </w:t>
              </w:r>
              <w:hyperlink r:id="rId14" w:history="1">
                <w:r w:rsidRPr="00AD540E">
                  <w:rPr>
                    <w:rStyle w:val="Hyperlink"/>
                    <w:rFonts w:ascii="Arial" w:hAnsi="Arial" w:cs="Arial"/>
                    <w:sz w:val="20"/>
                    <w:szCs w:val="20"/>
                  </w:rPr>
                  <w:t>https://www.nissan-global.com/</w:t>
                </w:r>
              </w:hyperlink>
            </w:p>
            <w:p w14:paraId="661341A1" w14:textId="62A0831C" w:rsidR="00977ECB" w:rsidRDefault="00977ECB">
              <w:pPr>
                <w:rPr>
                  <w:rFonts w:ascii="Arial" w:hAnsi="Arial" w:cs="Arial"/>
                  <w:sz w:val="20"/>
                  <w:szCs w:val="20"/>
                </w:rPr>
              </w:pPr>
              <w:r w:rsidRPr="00977ECB">
                <w:rPr>
                  <w:rFonts w:ascii="Arial" w:hAnsi="Arial" w:cs="Arial"/>
                  <w:sz w:val="20"/>
                  <w:szCs w:val="20"/>
                </w:rPr>
                <w:t xml:space="preserve">Nissan Motor Manufacturing UK (2024) </w:t>
              </w:r>
              <w:r w:rsidRPr="00977ECB">
                <w:rPr>
                  <w:rStyle w:val="Emphasis"/>
                  <w:rFonts w:ascii="Arial" w:hAnsi="Arial" w:cs="Arial"/>
                  <w:sz w:val="20"/>
                  <w:szCs w:val="20"/>
                </w:rPr>
                <w:t>Sustainability and Innovation Report</w:t>
              </w:r>
              <w:r w:rsidRPr="00977ECB">
                <w:rPr>
                  <w:rFonts w:ascii="Arial" w:hAnsi="Arial" w:cs="Arial"/>
                  <w:sz w:val="20"/>
                  <w:szCs w:val="20"/>
                </w:rPr>
                <w:t>. Sunderland: Nissan UK.</w:t>
              </w:r>
              <w:r w:rsidRPr="00977ECB">
                <w:rPr>
                  <w:rFonts w:ascii="Arial" w:hAnsi="Arial" w:cs="Arial"/>
                  <w:sz w:val="20"/>
                  <w:szCs w:val="20"/>
                </w:rPr>
                <w:br/>
                <w:t xml:space="preserve">OICA (2024) </w:t>
              </w:r>
              <w:r w:rsidRPr="00977ECB">
                <w:rPr>
                  <w:rStyle w:val="Emphasis"/>
                  <w:rFonts w:ascii="Arial" w:hAnsi="Arial" w:cs="Arial"/>
                  <w:sz w:val="20"/>
                  <w:szCs w:val="20"/>
                </w:rPr>
                <w:t>Automotive Industry Data and Statistics</w:t>
              </w:r>
              <w:r w:rsidRPr="00977ECB">
                <w:rPr>
                  <w:rFonts w:ascii="Arial" w:hAnsi="Arial" w:cs="Arial"/>
                  <w:sz w:val="20"/>
                  <w:szCs w:val="20"/>
                </w:rPr>
                <w:t xml:space="preserve">. [Online] Available at: </w:t>
              </w:r>
              <w:hyperlink r:id="rId15" w:history="1">
                <w:r w:rsidRPr="00AD540E">
                  <w:rPr>
                    <w:rStyle w:val="Hyperlink"/>
                    <w:rFonts w:ascii="Arial" w:hAnsi="Arial" w:cs="Arial"/>
                    <w:sz w:val="20"/>
                    <w:szCs w:val="20"/>
                  </w:rPr>
                  <w:t>https://www.oica.net/</w:t>
                </w:r>
              </w:hyperlink>
            </w:p>
            <w:p w14:paraId="5FD7FC90" w14:textId="7C7A53CC" w:rsidR="00977ECB" w:rsidRDefault="00977ECB">
              <w:pPr>
                <w:rPr>
                  <w:rFonts w:ascii="Arial" w:hAnsi="Arial" w:cs="Arial"/>
                  <w:sz w:val="20"/>
                  <w:szCs w:val="20"/>
                </w:rPr>
              </w:pPr>
              <w:proofErr w:type="spellStart"/>
              <w:r w:rsidRPr="00977ECB">
                <w:rPr>
                  <w:rFonts w:ascii="Arial" w:hAnsi="Arial" w:cs="Arial"/>
                  <w:sz w:val="20"/>
                  <w:szCs w:val="20"/>
                </w:rPr>
                <w:t>Peteraf</w:t>
              </w:r>
              <w:proofErr w:type="spellEnd"/>
              <w:r w:rsidRPr="00977ECB">
                <w:rPr>
                  <w:rFonts w:ascii="Arial" w:hAnsi="Arial" w:cs="Arial"/>
                  <w:sz w:val="20"/>
                  <w:szCs w:val="20"/>
                </w:rPr>
                <w:t xml:space="preserve">, M. (1993) ‘The cornerstones of competitive advantage: A resource-based view’, </w:t>
              </w:r>
              <w:r w:rsidRPr="00977ECB">
                <w:rPr>
                  <w:rStyle w:val="Emphasis"/>
                  <w:rFonts w:ascii="Arial" w:hAnsi="Arial" w:cs="Arial"/>
                  <w:sz w:val="20"/>
                  <w:szCs w:val="20"/>
                </w:rPr>
                <w:t>Strategic Management Journal</w:t>
              </w:r>
              <w:r w:rsidRPr="00977ECB">
                <w:rPr>
                  <w:rFonts w:ascii="Arial" w:hAnsi="Arial" w:cs="Arial"/>
                  <w:sz w:val="20"/>
                  <w:szCs w:val="20"/>
                </w:rPr>
                <w:t>, 14(3), pp. 179–191.</w:t>
              </w:r>
              <w:r w:rsidRPr="00977ECB">
                <w:rPr>
                  <w:rFonts w:ascii="Arial" w:hAnsi="Arial" w:cs="Arial"/>
                  <w:sz w:val="20"/>
                  <w:szCs w:val="20"/>
                </w:rPr>
                <w:br/>
                <w:t xml:space="preserve">Porter, M.E. (1985) </w:t>
              </w:r>
              <w:r w:rsidRPr="00977ECB">
                <w:rPr>
                  <w:rStyle w:val="Emphasis"/>
                  <w:rFonts w:ascii="Arial" w:hAnsi="Arial" w:cs="Arial"/>
                  <w:sz w:val="20"/>
                  <w:szCs w:val="20"/>
                </w:rPr>
                <w:t>Competitive Advantage: Creating and Sustaining Superior Performance</w:t>
              </w:r>
              <w:r w:rsidRPr="00977ECB">
                <w:rPr>
                  <w:rFonts w:ascii="Arial" w:hAnsi="Arial" w:cs="Arial"/>
                  <w:sz w:val="20"/>
                  <w:szCs w:val="20"/>
                </w:rPr>
                <w:t>. New York: Free Press.</w:t>
              </w:r>
              <w:r w:rsidRPr="00977ECB">
                <w:rPr>
                  <w:rFonts w:ascii="Arial" w:hAnsi="Arial" w:cs="Arial"/>
                  <w:sz w:val="20"/>
                  <w:szCs w:val="20"/>
                </w:rPr>
                <w:br/>
                <w:t xml:space="preserve">Porter, M.E. (2008) </w:t>
              </w:r>
              <w:r w:rsidRPr="00977ECB">
                <w:rPr>
                  <w:rStyle w:val="Emphasis"/>
                  <w:rFonts w:ascii="Arial" w:hAnsi="Arial" w:cs="Arial"/>
                  <w:sz w:val="20"/>
                  <w:szCs w:val="20"/>
                </w:rPr>
                <w:t>The Five Competitive Forces that Shape Strategy</w:t>
              </w:r>
              <w:r w:rsidRPr="00977ECB">
                <w:rPr>
                  <w:rFonts w:ascii="Arial" w:hAnsi="Arial" w:cs="Arial"/>
                  <w:sz w:val="20"/>
                  <w:szCs w:val="20"/>
                </w:rPr>
                <w:t xml:space="preserve">, </w:t>
              </w:r>
              <w:r w:rsidRPr="00977ECB">
                <w:rPr>
                  <w:rStyle w:val="Emphasis"/>
                  <w:rFonts w:ascii="Arial" w:hAnsi="Arial" w:cs="Arial"/>
                  <w:sz w:val="20"/>
                  <w:szCs w:val="20"/>
                </w:rPr>
                <w:t>Harvard Business Review</w:t>
              </w:r>
              <w:r w:rsidRPr="00977ECB">
                <w:rPr>
                  <w:rFonts w:ascii="Arial" w:hAnsi="Arial" w:cs="Arial"/>
                  <w:sz w:val="20"/>
                  <w:szCs w:val="20"/>
                </w:rPr>
                <w:t>, 86(1), pp. 78–93.</w:t>
              </w:r>
              <w:r w:rsidRPr="00977ECB">
                <w:rPr>
                  <w:rFonts w:ascii="Arial" w:hAnsi="Arial" w:cs="Arial"/>
                  <w:sz w:val="20"/>
                  <w:szCs w:val="20"/>
                </w:rPr>
                <w:br/>
                <w:t xml:space="preserve">Porter, M.E. and </w:t>
              </w:r>
              <w:proofErr w:type="spellStart"/>
              <w:r w:rsidRPr="00977ECB">
                <w:rPr>
                  <w:rFonts w:ascii="Arial" w:hAnsi="Arial" w:cs="Arial"/>
                  <w:sz w:val="20"/>
                  <w:szCs w:val="20"/>
                </w:rPr>
                <w:t>Heppelmann</w:t>
              </w:r>
              <w:proofErr w:type="spellEnd"/>
              <w:r w:rsidRPr="00977ECB">
                <w:rPr>
                  <w:rFonts w:ascii="Arial" w:hAnsi="Arial" w:cs="Arial"/>
                  <w:sz w:val="20"/>
                  <w:szCs w:val="20"/>
                </w:rPr>
                <w:t xml:space="preserve">, J.E. (2014) ‘How smart, connected products are transforming competition’, </w:t>
              </w:r>
              <w:r w:rsidRPr="00977ECB">
                <w:rPr>
                  <w:rStyle w:val="Emphasis"/>
                  <w:rFonts w:ascii="Arial" w:hAnsi="Arial" w:cs="Arial"/>
                  <w:sz w:val="20"/>
                  <w:szCs w:val="20"/>
                </w:rPr>
                <w:t>Harvard Business Review</w:t>
              </w:r>
              <w:r w:rsidRPr="00977ECB">
                <w:rPr>
                  <w:rFonts w:ascii="Arial" w:hAnsi="Arial" w:cs="Arial"/>
                  <w:sz w:val="20"/>
                  <w:szCs w:val="20"/>
                </w:rPr>
                <w:t>, 92(11), pp. 64–88.</w:t>
              </w:r>
              <w:r w:rsidRPr="00977ECB">
                <w:rPr>
                  <w:rFonts w:ascii="Arial" w:hAnsi="Arial" w:cs="Arial"/>
                  <w:sz w:val="20"/>
                  <w:szCs w:val="20"/>
                </w:rPr>
                <w:br/>
                <w:t xml:space="preserve">SMMT (2024) </w:t>
              </w:r>
              <w:r w:rsidRPr="00977ECB">
                <w:rPr>
                  <w:rStyle w:val="Emphasis"/>
                  <w:rFonts w:ascii="Arial" w:hAnsi="Arial" w:cs="Arial"/>
                  <w:sz w:val="20"/>
                  <w:szCs w:val="20"/>
                </w:rPr>
                <w:t>UK Automotive Industry Outlook 2024</w:t>
              </w:r>
              <w:r w:rsidRPr="00977ECB">
                <w:rPr>
                  <w:rFonts w:ascii="Arial" w:hAnsi="Arial" w:cs="Arial"/>
                  <w:sz w:val="20"/>
                  <w:szCs w:val="20"/>
                </w:rPr>
                <w:t>. London: Society of Motor Manufacturers and Traders.</w:t>
              </w:r>
              <w:r w:rsidRPr="00977ECB">
                <w:rPr>
                  <w:rFonts w:ascii="Arial" w:hAnsi="Arial" w:cs="Arial"/>
                  <w:sz w:val="20"/>
                  <w:szCs w:val="20"/>
                </w:rPr>
                <w:br/>
                <w:t xml:space="preserve">UK Government (2023) </w:t>
              </w:r>
              <w:r w:rsidRPr="00977ECB">
                <w:rPr>
                  <w:rStyle w:val="Emphasis"/>
                  <w:rFonts w:ascii="Arial" w:hAnsi="Arial" w:cs="Arial"/>
                  <w:sz w:val="20"/>
                  <w:szCs w:val="20"/>
                </w:rPr>
                <w:t>Road to Zero Strategy: Clean Growth and Future Mobility</w:t>
              </w:r>
              <w:r w:rsidRPr="00977ECB">
                <w:rPr>
                  <w:rFonts w:ascii="Arial" w:hAnsi="Arial" w:cs="Arial"/>
                  <w:sz w:val="20"/>
                  <w:szCs w:val="20"/>
                </w:rPr>
                <w:t>. London: Department for Transport.</w:t>
              </w:r>
              <w:r w:rsidRPr="00977ECB">
                <w:rPr>
                  <w:rFonts w:ascii="Arial" w:hAnsi="Arial" w:cs="Arial"/>
                  <w:sz w:val="20"/>
                  <w:szCs w:val="20"/>
                </w:rPr>
                <w:br/>
                <w:t xml:space="preserve">Statista (2024) </w:t>
              </w:r>
              <w:r w:rsidRPr="00977ECB">
                <w:rPr>
                  <w:rStyle w:val="Emphasis"/>
                  <w:rFonts w:ascii="Arial" w:hAnsi="Arial" w:cs="Arial"/>
                  <w:sz w:val="20"/>
                  <w:szCs w:val="20"/>
                </w:rPr>
                <w:t>UK Automotive Market Report 2024</w:t>
              </w:r>
              <w:r w:rsidRPr="00977ECB">
                <w:rPr>
                  <w:rFonts w:ascii="Arial" w:hAnsi="Arial" w:cs="Arial"/>
                  <w:sz w:val="20"/>
                  <w:szCs w:val="20"/>
                </w:rPr>
                <w:t xml:space="preserve">. [Online] Available at: </w:t>
              </w:r>
              <w:hyperlink r:id="rId16" w:history="1">
                <w:r w:rsidRPr="00AD540E">
                  <w:rPr>
                    <w:rStyle w:val="Hyperlink"/>
                    <w:rFonts w:ascii="Arial" w:hAnsi="Arial" w:cs="Arial"/>
                    <w:sz w:val="20"/>
                    <w:szCs w:val="20"/>
                  </w:rPr>
                  <w:t>https://www.statista.com/</w:t>
                </w:r>
              </w:hyperlink>
            </w:p>
          </w:sdtContent>
        </w:sdt>
        <w:p w14:paraId="15176525" w14:textId="4BBE5537" w:rsidR="0089026F" w:rsidRPr="00977ECB" w:rsidRDefault="00BB2FAE">
          <w:pPr>
            <w:rPr>
              <w:rFonts w:ascii="Arial" w:hAnsi="Arial" w:cs="Arial"/>
              <w:sz w:val="20"/>
              <w:szCs w:val="20"/>
            </w:rPr>
          </w:pPr>
        </w:p>
      </w:sdtContent>
    </w:sdt>
    <w:p w14:paraId="7985A487" w14:textId="7D50F417" w:rsidR="0089026F" w:rsidRDefault="0089026F"/>
    <w:p w14:paraId="1A2E18B8" w14:textId="0859BBD7" w:rsidR="0089026F" w:rsidRDefault="0089026F"/>
    <w:p w14:paraId="537FE338" w14:textId="36E5B939" w:rsidR="0089026F" w:rsidRPr="003F059C" w:rsidRDefault="0089026F" w:rsidP="003F059C"/>
    <w:sectPr w:rsidR="0089026F" w:rsidRPr="003F059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8DFFE" w14:textId="77777777" w:rsidR="00BB2FAE" w:rsidRDefault="00BB2FAE" w:rsidP="00EC49FC">
      <w:pPr>
        <w:spacing w:after="0" w:line="240" w:lineRule="auto"/>
      </w:pPr>
      <w:r>
        <w:separator/>
      </w:r>
    </w:p>
  </w:endnote>
  <w:endnote w:type="continuationSeparator" w:id="0">
    <w:p w14:paraId="363B6B9D" w14:textId="77777777" w:rsidR="00BB2FAE" w:rsidRDefault="00BB2FAE" w:rsidP="00EC4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506841"/>
      <w:docPartObj>
        <w:docPartGallery w:val="Page Numbers (Bottom of Page)"/>
        <w:docPartUnique/>
      </w:docPartObj>
    </w:sdtPr>
    <w:sdtEndPr>
      <w:rPr>
        <w:noProof/>
      </w:rPr>
    </w:sdtEndPr>
    <w:sdtContent>
      <w:p w14:paraId="28F5ABCA" w14:textId="7DBB1F88" w:rsidR="00EC49FC" w:rsidRDefault="00EC49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10483F" w14:textId="77777777" w:rsidR="00EC49FC" w:rsidRDefault="00EC49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65162" w14:textId="77777777" w:rsidR="00BB2FAE" w:rsidRDefault="00BB2FAE" w:rsidP="00EC49FC">
      <w:pPr>
        <w:spacing w:after="0" w:line="240" w:lineRule="auto"/>
      </w:pPr>
      <w:r>
        <w:separator/>
      </w:r>
    </w:p>
  </w:footnote>
  <w:footnote w:type="continuationSeparator" w:id="0">
    <w:p w14:paraId="1F76ACC0" w14:textId="77777777" w:rsidR="00BB2FAE" w:rsidRDefault="00BB2FAE" w:rsidP="00EC49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5230E"/>
    <w:multiLevelType w:val="multilevel"/>
    <w:tmpl w:val="2D46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02025"/>
    <w:multiLevelType w:val="hybridMultilevel"/>
    <w:tmpl w:val="B238B346"/>
    <w:lvl w:ilvl="0" w:tplc="0809000D">
      <w:start w:val="1"/>
      <w:numFmt w:val="bullet"/>
      <w:lvlText w:val=""/>
      <w:lvlJc w:val="left"/>
      <w:pPr>
        <w:ind w:left="1935" w:hanging="360"/>
      </w:pPr>
      <w:rPr>
        <w:rFonts w:ascii="Wingdings" w:hAnsi="Wingdings" w:hint="default"/>
      </w:rPr>
    </w:lvl>
    <w:lvl w:ilvl="1" w:tplc="08090003" w:tentative="1">
      <w:start w:val="1"/>
      <w:numFmt w:val="bullet"/>
      <w:lvlText w:val="o"/>
      <w:lvlJc w:val="left"/>
      <w:pPr>
        <w:ind w:left="2655" w:hanging="360"/>
      </w:pPr>
      <w:rPr>
        <w:rFonts w:ascii="Courier New" w:hAnsi="Courier New" w:cs="Courier New" w:hint="default"/>
      </w:rPr>
    </w:lvl>
    <w:lvl w:ilvl="2" w:tplc="08090005" w:tentative="1">
      <w:start w:val="1"/>
      <w:numFmt w:val="bullet"/>
      <w:lvlText w:val=""/>
      <w:lvlJc w:val="left"/>
      <w:pPr>
        <w:ind w:left="3375" w:hanging="360"/>
      </w:pPr>
      <w:rPr>
        <w:rFonts w:ascii="Wingdings" w:hAnsi="Wingdings" w:hint="default"/>
      </w:rPr>
    </w:lvl>
    <w:lvl w:ilvl="3" w:tplc="08090001" w:tentative="1">
      <w:start w:val="1"/>
      <w:numFmt w:val="bullet"/>
      <w:lvlText w:val=""/>
      <w:lvlJc w:val="left"/>
      <w:pPr>
        <w:ind w:left="4095" w:hanging="360"/>
      </w:pPr>
      <w:rPr>
        <w:rFonts w:ascii="Symbol" w:hAnsi="Symbol" w:hint="default"/>
      </w:rPr>
    </w:lvl>
    <w:lvl w:ilvl="4" w:tplc="08090003" w:tentative="1">
      <w:start w:val="1"/>
      <w:numFmt w:val="bullet"/>
      <w:lvlText w:val="o"/>
      <w:lvlJc w:val="left"/>
      <w:pPr>
        <w:ind w:left="4815" w:hanging="360"/>
      </w:pPr>
      <w:rPr>
        <w:rFonts w:ascii="Courier New" w:hAnsi="Courier New" w:cs="Courier New" w:hint="default"/>
      </w:rPr>
    </w:lvl>
    <w:lvl w:ilvl="5" w:tplc="08090005" w:tentative="1">
      <w:start w:val="1"/>
      <w:numFmt w:val="bullet"/>
      <w:lvlText w:val=""/>
      <w:lvlJc w:val="left"/>
      <w:pPr>
        <w:ind w:left="5535" w:hanging="360"/>
      </w:pPr>
      <w:rPr>
        <w:rFonts w:ascii="Wingdings" w:hAnsi="Wingdings" w:hint="default"/>
      </w:rPr>
    </w:lvl>
    <w:lvl w:ilvl="6" w:tplc="08090001" w:tentative="1">
      <w:start w:val="1"/>
      <w:numFmt w:val="bullet"/>
      <w:lvlText w:val=""/>
      <w:lvlJc w:val="left"/>
      <w:pPr>
        <w:ind w:left="6255" w:hanging="360"/>
      </w:pPr>
      <w:rPr>
        <w:rFonts w:ascii="Symbol" w:hAnsi="Symbol" w:hint="default"/>
      </w:rPr>
    </w:lvl>
    <w:lvl w:ilvl="7" w:tplc="08090003" w:tentative="1">
      <w:start w:val="1"/>
      <w:numFmt w:val="bullet"/>
      <w:lvlText w:val="o"/>
      <w:lvlJc w:val="left"/>
      <w:pPr>
        <w:ind w:left="6975" w:hanging="360"/>
      </w:pPr>
      <w:rPr>
        <w:rFonts w:ascii="Courier New" w:hAnsi="Courier New" w:cs="Courier New" w:hint="default"/>
      </w:rPr>
    </w:lvl>
    <w:lvl w:ilvl="8" w:tplc="08090005" w:tentative="1">
      <w:start w:val="1"/>
      <w:numFmt w:val="bullet"/>
      <w:lvlText w:val=""/>
      <w:lvlJc w:val="left"/>
      <w:pPr>
        <w:ind w:left="7695" w:hanging="360"/>
      </w:pPr>
      <w:rPr>
        <w:rFonts w:ascii="Wingdings" w:hAnsi="Wingdings" w:hint="default"/>
      </w:rPr>
    </w:lvl>
  </w:abstractNum>
  <w:abstractNum w:abstractNumId="2" w15:restartNumberingAfterBreak="0">
    <w:nsid w:val="1A5A263E"/>
    <w:multiLevelType w:val="multilevel"/>
    <w:tmpl w:val="202221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38664B"/>
    <w:multiLevelType w:val="multilevel"/>
    <w:tmpl w:val="288CC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4321A"/>
    <w:multiLevelType w:val="hybridMultilevel"/>
    <w:tmpl w:val="B8840F4A"/>
    <w:lvl w:ilvl="0" w:tplc="0809000D">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5" w15:restartNumberingAfterBreak="0">
    <w:nsid w:val="24550BAF"/>
    <w:multiLevelType w:val="hybridMultilevel"/>
    <w:tmpl w:val="C364554A"/>
    <w:lvl w:ilvl="0" w:tplc="0809000D">
      <w:start w:val="1"/>
      <w:numFmt w:val="bullet"/>
      <w:lvlText w:val=""/>
      <w:lvlJc w:val="left"/>
      <w:pPr>
        <w:ind w:left="1215" w:hanging="360"/>
      </w:pPr>
      <w:rPr>
        <w:rFonts w:ascii="Wingdings" w:hAnsi="Wingdings"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6" w15:restartNumberingAfterBreak="0">
    <w:nsid w:val="2EC03DA6"/>
    <w:multiLevelType w:val="hybridMultilevel"/>
    <w:tmpl w:val="82E02A36"/>
    <w:lvl w:ilvl="0" w:tplc="0809000D">
      <w:start w:val="1"/>
      <w:numFmt w:val="bullet"/>
      <w:lvlText w:val=""/>
      <w:lvlJc w:val="left"/>
      <w:pPr>
        <w:ind w:left="1935" w:hanging="360"/>
      </w:pPr>
      <w:rPr>
        <w:rFonts w:ascii="Wingdings" w:hAnsi="Wingdings" w:hint="default"/>
      </w:rPr>
    </w:lvl>
    <w:lvl w:ilvl="1" w:tplc="08090003" w:tentative="1">
      <w:start w:val="1"/>
      <w:numFmt w:val="bullet"/>
      <w:lvlText w:val="o"/>
      <w:lvlJc w:val="left"/>
      <w:pPr>
        <w:ind w:left="2655" w:hanging="360"/>
      </w:pPr>
      <w:rPr>
        <w:rFonts w:ascii="Courier New" w:hAnsi="Courier New" w:cs="Courier New" w:hint="default"/>
      </w:rPr>
    </w:lvl>
    <w:lvl w:ilvl="2" w:tplc="08090005" w:tentative="1">
      <w:start w:val="1"/>
      <w:numFmt w:val="bullet"/>
      <w:lvlText w:val=""/>
      <w:lvlJc w:val="left"/>
      <w:pPr>
        <w:ind w:left="3375" w:hanging="360"/>
      </w:pPr>
      <w:rPr>
        <w:rFonts w:ascii="Wingdings" w:hAnsi="Wingdings" w:hint="default"/>
      </w:rPr>
    </w:lvl>
    <w:lvl w:ilvl="3" w:tplc="08090001" w:tentative="1">
      <w:start w:val="1"/>
      <w:numFmt w:val="bullet"/>
      <w:lvlText w:val=""/>
      <w:lvlJc w:val="left"/>
      <w:pPr>
        <w:ind w:left="4095" w:hanging="360"/>
      </w:pPr>
      <w:rPr>
        <w:rFonts w:ascii="Symbol" w:hAnsi="Symbol" w:hint="default"/>
      </w:rPr>
    </w:lvl>
    <w:lvl w:ilvl="4" w:tplc="08090003" w:tentative="1">
      <w:start w:val="1"/>
      <w:numFmt w:val="bullet"/>
      <w:lvlText w:val="o"/>
      <w:lvlJc w:val="left"/>
      <w:pPr>
        <w:ind w:left="4815" w:hanging="360"/>
      </w:pPr>
      <w:rPr>
        <w:rFonts w:ascii="Courier New" w:hAnsi="Courier New" w:cs="Courier New" w:hint="default"/>
      </w:rPr>
    </w:lvl>
    <w:lvl w:ilvl="5" w:tplc="08090005" w:tentative="1">
      <w:start w:val="1"/>
      <w:numFmt w:val="bullet"/>
      <w:lvlText w:val=""/>
      <w:lvlJc w:val="left"/>
      <w:pPr>
        <w:ind w:left="5535" w:hanging="360"/>
      </w:pPr>
      <w:rPr>
        <w:rFonts w:ascii="Wingdings" w:hAnsi="Wingdings" w:hint="default"/>
      </w:rPr>
    </w:lvl>
    <w:lvl w:ilvl="6" w:tplc="08090001" w:tentative="1">
      <w:start w:val="1"/>
      <w:numFmt w:val="bullet"/>
      <w:lvlText w:val=""/>
      <w:lvlJc w:val="left"/>
      <w:pPr>
        <w:ind w:left="6255" w:hanging="360"/>
      </w:pPr>
      <w:rPr>
        <w:rFonts w:ascii="Symbol" w:hAnsi="Symbol" w:hint="default"/>
      </w:rPr>
    </w:lvl>
    <w:lvl w:ilvl="7" w:tplc="08090003" w:tentative="1">
      <w:start w:val="1"/>
      <w:numFmt w:val="bullet"/>
      <w:lvlText w:val="o"/>
      <w:lvlJc w:val="left"/>
      <w:pPr>
        <w:ind w:left="6975" w:hanging="360"/>
      </w:pPr>
      <w:rPr>
        <w:rFonts w:ascii="Courier New" w:hAnsi="Courier New" w:cs="Courier New" w:hint="default"/>
      </w:rPr>
    </w:lvl>
    <w:lvl w:ilvl="8" w:tplc="08090005" w:tentative="1">
      <w:start w:val="1"/>
      <w:numFmt w:val="bullet"/>
      <w:lvlText w:val=""/>
      <w:lvlJc w:val="left"/>
      <w:pPr>
        <w:ind w:left="7695" w:hanging="360"/>
      </w:pPr>
      <w:rPr>
        <w:rFonts w:ascii="Wingdings" w:hAnsi="Wingdings" w:hint="default"/>
      </w:rPr>
    </w:lvl>
  </w:abstractNum>
  <w:abstractNum w:abstractNumId="7" w15:restartNumberingAfterBreak="0">
    <w:nsid w:val="44787409"/>
    <w:multiLevelType w:val="hybridMultilevel"/>
    <w:tmpl w:val="A2D8E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D86D8B"/>
    <w:multiLevelType w:val="multilevel"/>
    <w:tmpl w:val="4A2E13F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2E1233"/>
    <w:multiLevelType w:val="hybridMultilevel"/>
    <w:tmpl w:val="C5281ACC"/>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7CD13AFB"/>
    <w:multiLevelType w:val="hybridMultilevel"/>
    <w:tmpl w:val="D93C76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0"/>
  </w:num>
  <w:num w:numId="4">
    <w:abstractNumId w:val="6"/>
  </w:num>
  <w:num w:numId="5">
    <w:abstractNumId w:val="1"/>
  </w:num>
  <w:num w:numId="6">
    <w:abstractNumId w:val="5"/>
  </w:num>
  <w:num w:numId="7">
    <w:abstractNumId w:val="4"/>
  </w:num>
  <w:num w:numId="8">
    <w:abstractNumId w:val="3"/>
  </w:num>
  <w:num w:numId="9">
    <w:abstractNumId w:val="0"/>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11E"/>
    <w:rsid w:val="0006325F"/>
    <w:rsid w:val="0009211E"/>
    <w:rsid w:val="000A4B34"/>
    <w:rsid w:val="000F56EE"/>
    <w:rsid w:val="00153503"/>
    <w:rsid w:val="00197003"/>
    <w:rsid w:val="001F4EF9"/>
    <w:rsid w:val="002E0473"/>
    <w:rsid w:val="003A252D"/>
    <w:rsid w:val="003F059C"/>
    <w:rsid w:val="004A5227"/>
    <w:rsid w:val="004A6467"/>
    <w:rsid w:val="0056047D"/>
    <w:rsid w:val="006567F7"/>
    <w:rsid w:val="006827FE"/>
    <w:rsid w:val="006C167A"/>
    <w:rsid w:val="006D154C"/>
    <w:rsid w:val="00762E21"/>
    <w:rsid w:val="007F418B"/>
    <w:rsid w:val="00837A72"/>
    <w:rsid w:val="0089026F"/>
    <w:rsid w:val="008B3B5C"/>
    <w:rsid w:val="008F6AC7"/>
    <w:rsid w:val="00977ECB"/>
    <w:rsid w:val="00AC7176"/>
    <w:rsid w:val="00AE5640"/>
    <w:rsid w:val="00B0662B"/>
    <w:rsid w:val="00B47788"/>
    <w:rsid w:val="00B50DBC"/>
    <w:rsid w:val="00BB2FAE"/>
    <w:rsid w:val="00D76A4E"/>
    <w:rsid w:val="00E316E8"/>
    <w:rsid w:val="00EC49FC"/>
    <w:rsid w:val="00F0275C"/>
    <w:rsid w:val="00F9130D"/>
    <w:rsid w:val="00FC3D00"/>
    <w:rsid w:val="00FF6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FE9FB"/>
  <w15:chartTrackingRefBased/>
  <w15:docId w15:val="{156FD658-6BA9-4672-920C-0E3FAEB78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9FC"/>
    <w:pPr>
      <w:spacing w:line="256" w:lineRule="auto"/>
    </w:pPr>
  </w:style>
  <w:style w:type="paragraph" w:styleId="Heading1">
    <w:name w:val="heading 1"/>
    <w:basedOn w:val="Normal"/>
    <w:next w:val="Normal"/>
    <w:link w:val="Heading1Char"/>
    <w:uiPriority w:val="9"/>
    <w:qFormat/>
    <w:rsid w:val="00EC49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49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F4E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F4EF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49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9FC"/>
  </w:style>
  <w:style w:type="paragraph" w:styleId="Footer">
    <w:name w:val="footer"/>
    <w:basedOn w:val="Normal"/>
    <w:link w:val="FooterChar"/>
    <w:uiPriority w:val="99"/>
    <w:unhideWhenUsed/>
    <w:rsid w:val="00EC4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9FC"/>
  </w:style>
  <w:style w:type="character" w:customStyle="1" w:styleId="Heading1Char">
    <w:name w:val="Heading 1 Char"/>
    <w:basedOn w:val="DefaultParagraphFont"/>
    <w:link w:val="Heading1"/>
    <w:uiPriority w:val="9"/>
    <w:rsid w:val="00EC49F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49FC"/>
    <w:pPr>
      <w:spacing w:line="259" w:lineRule="auto"/>
      <w:outlineLvl w:val="9"/>
    </w:pPr>
    <w:rPr>
      <w:lang w:val="en-US"/>
    </w:rPr>
  </w:style>
  <w:style w:type="character" w:customStyle="1" w:styleId="Heading2Char">
    <w:name w:val="Heading 2 Char"/>
    <w:basedOn w:val="DefaultParagraphFont"/>
    <w:link w:val="Heading2"/>
    <w:uiPriority w:val="9"/>
    <w:rsid w:val="00EC49FC"/>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EC49FC"/>
    <w:rPr>
      <w:b/>
      <w:bCs/>
    </w:rPr>
  </w:style>
  <w:style w:type="paragraph" w:styleId="NormalWeb">
    <w:name w:val="Normal (Web)"/>
    <w:basedOn w:val="Normal"/>
    <w:uiPriority w:val="99"/>
    <w:semiHidden/>
    <w:unhideWhenUsed/>
    <w:rsid w:val="00EC49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1F4EF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F4EF9"/>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1F4EF9"/>
    <w:rPr>
      <w:i/>
      <w:iCs/>
    </w:rPr>
  </w:style>
  <w:style w:type="table" w:styleId="TableGrid">
    <w:name w:val="Table Grid"/>
    <w:basedOn w:val="TableNormal"/>
    <w:uiPriority w:val="39"/>
    <w:rsid w:val="001F4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50DBC"/>
    <w:pPr>
      <w:spacing w:after="100"/>
      <w:ind w:left="220"/>
    </w:pPr>
  </w:style>
  <w:style w:type="paragraph" w:styleId="TOC1">
    <w:name w:val="toc 1"/>
    <w:basedOn w:val="Normal"/>
    <w:next w:val="Normal"/>
    <w:autoRedefine/>
    <w:uiPriority w:val="39"/>
    <w:unhideWhenUsed/>
    <w:rsid w:val="00B50DBC"/>
    <w:pPr>
      <w:spacing w:after="100"/>
    </w:pPr>
  </w:style>
  <w:style w:type="paragraph" w:styleId="TOC3">
    <w:name w:val="toc 3"/>
    <w:basedOn w:val="Normal"/>
    <w:next w:val="Normal"/>
    <w:autoRedefine/>
    <w:uiPriority w:val="39"/>
    <w:unhideWhenUsed/>
    <w:rsid w:val="00B50DBC"/>
    <w:pPr>
      <w:spacing w:after="100"/>
      <w:ind w:left="440"/>
    </w:pPr>
  </w:style>
  <w:style w:type="character" w:styleId="Hyperlink">
    <w:name w:val="Hyperlink"/>
    <w:basedOn w:val="DefaultParagraphFont"/>
    <w:uiPriority w:val="99"/>
    <w:unhideWhenUsed/>
    <w:rsid w:val="00B50DBC"/>
    <w:rPr>
      <w:color w:val="0563C1" w:themeColor="hyperlink"/>
      <w:u w:val="single"/>
    </w:rPr>
  </w:style>
  <w:style w:type="paragraph" w:styleId="ListParagraph">
    <w:name w:val="List Paragraph"/>
    <w:basedOn w:val="Normal"/>
    <w:uiPriority w:val="34"/>
    <w:qFormat/>
    <w:rsid w:val="00197003"/>
    <w:pPr>
      <w:ind w:left="720"/>
      <w:contextualSpacing/>
    </w:pPr>
  </w:style>
  <w:style w:type="character" w:styleId="UnresolvedMention">
    <w:name w:val="Unresolved Mention"/>
    <w:basedOn w:val="DefaultParagraphFont"/>
    <w:uiPriority w:val="99"/>
    <w:semiHidden/>
    <w:unhideWhenUsed/>
    <w:rsid w:val="00890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49019">
      <w:bodyDiv w:val="1"/>
      <w:marLeft w:val="0"/>
      <w:marRight w:val="0"/>
      <w:marTop w:val="0"/>
      <w:marBottom w:val="0"/>
      <w:divBdr>
        <w:top w:val="none" w:sz="0" w:space="0" w:color="auto"/>
        <w:left w:val="none" w:sz="0" w:space="0" w:color="auto"/>
        <w:bottom w:val="none" w:sz="0" w:space="0" w:color="auto"/>
        <w:right w:val="none" w:sz="0" w:space="0" w:color="auto"/>
      </w:divBdr>
    </w:div>
    <w:div w:id="252051534">
      <w:bodyDiv w:val="1"/>
      <w:marLeft w:val="0"/>
      <w:marRight w:val="0"/>
      <w:marTop w:val="0"/>
      <w:marBottom w:val="0"/>
      <w:divBdr>
        <w:top w:val="none" w:sz="0" w:space="0" w:color="auto"/>
        <w:left w:val="none" w:sz="0" w:space="0" w:color="auto"/>
        <w:bottom w:val="none" w:sz="0" w:space="0" w:color="auto"/>
        <w:right w:val="none" w:sz="0" w:space="0" w:color="auto"/>
      </w:divBdr>
    </w:div>
    <w:div w:id="370881878">
      <w:bodyDiv w:val="1"/>
      <w:marLeft w:val="0"/>
      <w:marRight w:val="0"/>
      <w:marTop w:val="0"/>
      <w:marBottom w:val="0"/>
      <w:divBdr>
        <w:top w:val="none" w:sz="0" w:space="0" w:color="auto"/>
        <w:left w:val="none" w:sz="0" w:space="0" w:color="auto"/>
        <w:bottom w:val="none" w:sz="0" w:space="0" w:color="auto"/>
        <w:right w:val="none" w:sz="0" w:space="0" w:color="auto"/>
      </w:divBdr>
    </w:div>
    <w:div w:id="420219935">
      <w:bodyDiv w:val="1"/>
      <w:marLeft w:val="0"/>
      <w:marRight w:val="0"/>
      <w:marTop w:val="0"/>
      <w:marBottom w:val="0"/>
      <w:divBdr>
        <w:top w:val="none" w:sz="0" w:space="0" w:color="auto"/>
        <w:left w:val="none" w:sz="0" w:space="0" w:color="auto"/>
        <w:bottom w:val="none" w:sz="0" w:space="0" w:color="auto"/>
        <w:right w:val="none" w:sz="0" w:space="0" w:color="auto"/>
      </w:divBdr>
    </w:div>
    <w:div w:id="503977303">
      <w:bodyDiv w:val="1"/>
      <w:marLeft w:val="0"/>
      <w:marRight w:val="0"/>
      <w:marTop w:val="0"/>
      <w:marBottom w:val="0"/>
      <w:divBdr>
        <w:top w:val="none" w:sz="0" w:space="0" w:color="auto"/>
        <w:left w:val="none" w:sz="0" w:space="0" w:color="auto"/>
        <w:bottom w:val="none" w:sz="0" w:space="0" w:color="auto"/>
        <w:right w:val="none" w:sz="0" w:space="0" w:color="auto"/>
      </w:divBdr>
    </w:div>
    <w:div w:id="614748330">
      <w:bodyDiv w:val="1"/>
      <w:marLeft w:val="0"/>
      <w:marRight w:val="0"/>
      <w:marTop w:val="0"/>
      <w:marBottom w:val="0"/>
      <w:divBdr>
        <w:top w:val="none" w:sz="0" w:space="0" w:color="auto"/>
        <w:left w:val="none" w:sz="0" w:space="0" w:color="auto"/>
        <w:bottom w:val="none" w:sz="0" w:space="0" w:color="auto"/>
        <w:right w:val="none" w:sz="0" w:space="0" w:color="auto"/>
      </w:divBdr>
    </w:div>
    <w:div w:id="623927574">
      <w:bodyDiv w:val="1"/>
      <w:marLeft w:val="0"/>
      <w:marRight w:val="0"/>
      <w:marTop w:val="0"/>
      <w:marBottom w:val="0"/>
      <w:divBdr>
        <w:top w:val="none" w:sz="0" w:space="0" w:color="auto"/>
        <w:left w:val="none" w:sz="0" w:space="0" w:color="auto"/>
        <w:bottom w:val="none" w:sz="0" w:space="0" w:color="auto"/>
        <w:right w:val="none" w:sz="0" w:space="0" w:color="auto"/>
      </w:divBdr>
    </w:div>
    <w:div w:id="670523049">
      <w:bodyDiv w:val="1"/>
      <w:marLeft w:val="0"/>
      <w:marRight w:val="0"/>
      <w:marTop w:val="0"/>
      <w:marBottom w:val="0"/>
      <w:divBdr>
        <w:top w:val="none" w:sz="0" w:space="0" w:color="auto"/>
        <w:left w:val="none" w:sz="0" w:space="0" w:color="auto"/>
        <w:bottom w:val="none" w:sz="0" w:space="0" w:color="auto"/>
        <w:right w:val="none" w:sz="0" w:space="0" w:color="auto"/>
      </w:divBdr>
    </w:div>
    <w:div w:id="726027415">
      <w:bodyDiv w:val="1"/>
      <w:marLeft w:val="0"/>
      <w:marRight w:val="0"/>
      <w:marTop w:val="0"/>
      <w:marBottom w:val="0"/>
      <w:divBdr>
        <w:top w:val="none" w:sz="0" w:space="0" w:color="auto"/>
        <w:left w:val="none" w:sz="0" w:space="0" w:color="auto"/>
        <w:bottom w:val="none" w:sz="0" w:space="0" w:color="auto"/>
        <w:right w:val="none" w:sz="0" w:space="0" w:color="auto"/>
      </w:divBdr>
      <w:divsChild>
        <w:div w:id="590116099">
          <w:marLeft w:val="0"/>
          <w:marRight w:val="0"/>
          <w:marTop w:val="0"/>
          <w:marBottom w:val="0"/>
          <w:divBdr>
            <w:top w:val="none" w:sz="0" w:space="0" w:color="auto"/>
            <w:left w:val="none" w:sz="0" w:space="0" w:color="auto"/>
            <w:bottom w:val="none" w:sz="0" w:space="0" w:color="auto"/>
            <w:right w:val="none" w:sz="0" w:space="0" w:color="auto"/>
          </w:divBdr>
          <w:divsChild>
            <w:div w:id="120810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17244">
      <w:bodyDiv w:val="1"/>
      <w:marLeft w:val="0"/>
      <w:marRight w:val="0"/>
      <w:marTop w:val="0"/>
      <w:marBottom w:val="0"/>
      <w:divBdr>
        <w:top w:val="none" w:sz="0" w:space="0" w:color="auto"/>
        <w:left w:val="none" w:sz="0" w:space="0" w:color="auto"/>
        <w:bottom w:val="none" w:sz="0" w:space="0" w:color="auto"/>
        <w:right w:val="none" w:sz="0" w:space="0" w:color="auto"/>
      </w:divBdr>
    </w:div>
    <w:div w:id="749470869">
      <w:bodyDiv w:val="1"/>
      <w:marLeft w:val="0"/>
      <w:marRight w:val="0"/>
      <w:marTop w:val="0"/>
      <w:marBottom w:val="0"/>
      <w:divBdr>
        <w:top w:val="none" w:sz="0" w:space="0" w:color="auto"/>
        <w:left w:val="none" w:sz="0" w:space="0" w:color="auto"/>
        <w:bottom w:val="none" w:sz="0" w:space="0" w:color="auto"/>
        <w:right w:val="none" w:sz="0" w:space="0" w:color="auto"/>
      </w:divBdr>
    </w:div>
    <w:div w:id="795637351">
      <w:bodyDiv w:val="1"/>
      <w:marLeft w:val="0"/>
      <w:marRight w:val="0"/>
      <w:marTop w:val="0"/>
      <w:marBottom w:val="0"/>
      <w:divBdr>
        <w:top w:val="none" w:sz="0" w:space="0" w:color="auto"/>
        <w:left w:val="none" w:sz="0" w:space="0" w:color="auto"/>
        <w:bottom w:val="none" w:sz="0" w:space="0" w:color="auto"/>
        <w:right w:val="none" w:sz="0" w:space="0" w:color="auto"/>
      </w:divBdr>
    </w:div>
    <w:div w:id="836385055">
      <w:bodyDiv w:val="1"/>
      <w:marLeft w:val="0"/>
      <w:marRight w:val="0"/>
      <w:marTop w:val="0"/>
      <w:marBottom w:val="0"/>
      <w:divBdr>
        <w:top w:val="none" w:sz="0" w:space="0" w:color="auto"/>
        <w:left w:val="none" w:sz="0" w:space="0" w:color="auto"/>
        <w:bottom w:val="none" w:sz="0" w:space="0" w:color="auto"/>
        <w:right w:val="none" w:sz="0" w:space="0" w:color="auto"/>
      </w:divBdr>
    </w:div>
    <w:div w:id="1180582025">
      <w:bodyDiv w:val="1"/>
      <w:marLeft w:val="0"/>
      <w:marRight w:val="0"/>
      <w:marTop w:val="0"/>
      <w:marBottom w:val="0"/>
      <w:divBdr>
        <w:top w:val="none" w:sz="0" w:space="0" w:color="auto"/>
        <w:left w:val="none" w:sz="0" w:space="0" w:color="auto"/>
        <w:bottom w:val="none" w:sz="0" w:space="0" w:color="auto"/>
        <w:right w:val="none" w:sz="0" w:space="0" w:color="auto"/>
      </w:divBdr>
    </w:div>
    <w:div w:id="1228998696">
      <w:bodyDiv w:val="1"/>
      <w:marLeft w:val="0"/>
      <w:marRight w:val="0"/>
      <w:marTop w:val="0"/>
      <w:marBottom w:val="0"/>
      <w:divBdr>
        <w:top w:val="none" w:sz="0" w:space="0" w:color="auto"/>
        <w:left w:val="none" w:sz="0" w:space="0" w:color="auto"/>
        <w:bottom w:val="none" w:sz="0" w:space="0" w:color="auto"/>
        <w:right w:val="none" w:sz="0" w:space="0" w:color="auto"/>
      </w:divBdr>
    </w:div>
    <w:div w:id="1240142444">
      <w:bodyDiv w:val="1"/>
      <w:marLeft w:val="0"/>
      <w:marRight w:val="0"/>
      <w:marTop w:val="0"/>
      <w:marBottom w:val="0"/>
      <w:divBdr>
        <w:top w:val="none" w:sz="0" w:space="0" w:color="auto"/>
        <w:left w:val="none" w:sz="0" w:space="0" w:color="auto"/>
        <w:bottom w:val="none" w:sz="0" w:space="0" w:color="auto"/>
        <w:right w:val="none" w:sz="0" w:space="0" w:color="auto"/>
      </w:divBdr>
    </w:div>
    <w:div w:id="1590428030">
      <w:bodyDiv w:val="1"/>
      <w:marLeft w:val="0"/>
      <w:marRight w:val="0"/>
      <w:marTop w:val="0"/>
      <w:marBottom w:val="0"/>
      <w:divBdr>
        <w:top w:val="none" w:sz="0" w:space="0" w:color="auto"/>
        <w:left w:val="none" w:sz="0" w:space="0" w:color="auto"/>
        <w:bottom w:val="none" w:sz="0" w:space="0" w:color="auto"/>
        <w:right w:val="none" w:sz="0" w:space="0" w:color="auto"/>
      </w:divBdr>
    </w:div>
    <w:div w:id="1729911596">
      <w:bodyDiv w:val="1"/>
      <w:marLeft w:val="0"/>
      <w:marRight w:val="0"/>
      <w:marTop w:val="0"/>
      <w:marBottom w:val="0"/>
      <w:divBdr>
        <w:top w:val="none" w:sz="0" w:space="0" w:color="auto"/>
        <w:left w:val="none" w:sz="0" w:space="0" w:color="auto"/>
        <w:bottom w:val="none" w:sz="0" w:space="0" w:color="auto"/>
        <w:right w:val="none" w:sz="0" w:space="0" w:color="auto"/>
      </w:divBdr>
    </w:div>
    <w:div w:id="1866944230">
      <w:bodyDiv w:val="1"/>
      <w:marLeft w:val="0"/>
      <w:marRight w:val="0"/>
      <w:marTop w:val="0"/>
      <w:marBottom w:val="0"/>
      <w:divBdr>
        <w:top w:val="none" w:sz="0" w:space="0" w:color="auto"/>
        <w:left w:val="none" w:sz="0" w:space="0" w:color="auto"/>
        <w:bottom w:val="none" w:sz="0" w:space="0" w:color="auto"/>
        <w:right w:val="none" w:sz="0" w:space="0" w:color="auto"/>
      </w:divBdr>
    </w:div>
    <w:div w:id="1892383375">
      <w:bodyDiv w:val="1"/>
      <w:marLeft w:val="0"/>
      <w:marRight w:val="0"/>
      <w:marTop w:val="0"/>
      <w:marBottom w:val="0"/>
      <w:divBdr>
        <w:top w:val="none" w:sz="0" w:space="0" w:color="auto"/>
        <w:left w:val="none" w:sz="0" w:space="0" w:color="auto"/>
        <w:bottom w:val="none" w:sz="0" w:space="0" w:color="auto"/>
        <w:right w:val="none" w:sz="0" w:space="0" w:color="auto"/>
      </w:divBdr>
    </w:div>
    <w:div w:id="2094819466">
      <w:bodyDiv w:val="1"/>
      <w:marLeft w:val="0"/>
      <w:marRight w:val="0"/>
      <w:marTop w:val="0"/>
      <w:marBottom w:val="0"/>
      <w:divBdr>
        <w:top w:val="none" w:sz="0" w:space="0" w:color="auto"/>
        <w:left w:val="none" w:sz="0" w:space="0" w:color="auto"/>
        <w:bottom w:val="none" w:sz="0" w:space="0" w:color="auto"/>
        <w:right w:val="none" w:sz="0" w:space="0" w:color="auto"/>
      </w:divBdr>
    </w:div>
    <w:div w:id="2130585828">
      <w:bodyDiv w:val="1"/>
      <w:marLeft w:val="0"/>
      <w:marRight w:val="0"/>
      <w:marTop w:val="0"/>
      <w:marBottom w:val="0"/>
      <w:divBdr>
        <w:top w:val="none" w:sz="0" w:space="0" w:color="auto"/>
        <w:left w:val="none" w:sz="0" w:space="0" w:color="auto"/>
        <w:bottom w:val="none" w:sz="0" w:space="0" w:color="auto"/>
        <w:right w:val="none" w:sz="0" w:space="0" w:color="auto"/>
      </w:divBdr>
    </w:div>
    <w:div w:id="2139489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ckinsey.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eloitte.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tatist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oica.net/" TargetMode="External"/><Relationship Id="rId10" Type="http://schemas.openxmlformats.org/officeDocument/2006/relationships/hyperlink" Target="https://europe.nissannews.com/en-GB/releases/three-is-the-magic-number-as-nissan-accelerates-the-switch-to-full-electri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nissan-glob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1E83F0-169E-4F25-892F-81FD8A627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14</Pages>
  <Words>3682</Words>
  <Characters>20991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15</cp:revision>
  <dcterms:created xsi:type="dcterms:W3CDTF">2025-10-15T19:53:00Z</dcterms:created>
  <dcterms:modified xsi:type="dcterms:W3CDTF">2025-10-20T11:30:00Z</dcterms:modified>
</cp:coreProperties>
</file>