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D9212B" w14:textId="3059E6EC" w:rsidR="00BF6F71" w:rsidRPr="00605694" w:rsidRDefault="00BF6F71" w:rsidP="00BF6F71">
      <w:pPr>
        <w:rPr>
          <w:sz w:val="52"/>
          <w:szCs w:val="52"/>
        </w:rPr>
      </w:pPr>
      <w:r w:rsidRPr="00605694">
        <w:rPr>
          <w:sz w:val="52"/>
          <w:szCs w:val="52"/>
        </w:rPr>
        <w:t xml:space="preserve">Living Well: The Older Person in Context  </w:t>
      </w:r>
      <w:r>
        <w:rPr>
          <w:sz w:val="52"/>
          <w:szCs w:val="52"/>
        </w:rPr>
        <w:t xml:space="preserve">                 </w:t>
      </w:r>
    </w:p>
    <w:p w14:paraId="0CDA32CF" w14:textId="77777777" w:rsidR="00BF6F71" w:rsidRDefault="00BF6F71" w:rsidP="00BF6F71">
      <w:r>
        <w:t xml:space="preserve">                                                  </w:t>
      </w:r>
      <w:r w:rsidRPr="00605694">
        <w:rPr>
          <w:sz w:val="52"/>
          <w:szCs w:val="52"/>
        </w:rPr>
        <w:t>(BMNS5003)</w:t>
      </w:r>
    </w:p>
    <w:p w14:paraId="29DBEDEA" w14:textId="77777777" w:rsidR="00BF6F71" w:rsidRDefault="00BF6F71" w:rsidP="00BF6F71"/>
    <w:p w14:paraId="7543051E" w14:textId="77777777" w:rsidR="00BF6F71" w:rsidRDefault="00BF6F71" w:rsidP="00BF6F71"/>
    <w:p w14:paraId="27284B4F" w14:textId="77777777" w:rsidR="00BF6F71" w:rsidRDefault="00BF6F71" w:rsidP="00BF6F71">
      <w:pPr>
        <w:rPr>
          <w:sz w:val="36"/>
          <w:szCs w:val="36"/>
        </w:rPr>
      </w:pPr>
    </w:p>
    <w:p w14:paraId="4FDDCF78" w14:textId="77777777" w:rsidR="00BF6F71" w:rsidRDefault="00BF6F71" w:rsidP="00BF6F71">
      <w:pPr>
        <w:rPr>
          <w:sz w:val="36"/>
          <w:szCs w:val="36"/>
        </w:rPr>
      </w:pPr>
    </w:p>
    <w:p w14:paraId="0B6D0A29" w14:textId="77777777" w:rsidR="00BF6F71" w:rsidRDefault="00BF6F71" w:rsidP="00BF6F71">
      <w:pPr>
        <w:rPr>
          <w:sz w:val="36"/>
          <w:szCs w:val="36"/>
        </w:rPr>
      </w:pPr>
    </w:p>
    <w:p w14:paraId="712B7905" w14:textId="77777777" w:rsidR="00BF6F71" w:rsidRDefault="00BF6F71" w:rsidP="00BF6F71">
      <w:pPr>
        <w:rPr>
          <w:sz w:val="36"/>
          <w:szCs w:val="36"/>
        </w:rPr>
      </w:pPr>
    </w:p>
    <w:p w14:paraId="2BCEA283" w14:textId="77777777" w:rsidR="00BF6F71" w:rsidRDefault="00BF6F71" w:rsidP="00BF6F71">
      <w:pPr>
        <w:rPr>
          <w:sz w:val="36"/>
          <w:szCs w:val="36"/>
        </w:rPr>
      </w:pPr>
    </w:p>
    <w:p w14:paraId="313D526F" w14:textId="77777777" w:rsidR="00BF6F71" w:rsidRDefault="00BF6F71" w:rsidP="00BF6F71">
      <w:pPr>
        <w:rPr>
          <w:sz w:val="36"/>
          <w:szCs w:val="36"/>
        </w:rPr>
      </w:pPr>
    </w:p>
    <w:p w14:paraId="189033CF" w14:textId="77777777" w:rsidR="00BF6F71" w:rsidRDefault="00BF6F71" w:rsidP="00BF6F71">
      <w:pPr>
        <w:rPr>
          <w:sz w:val="36"/>
          <w:szCs w:val="36"/>
        </w:rPr>
      </w:pPr>
    </w:p>
    <w:p w14:paraId="6F204A9D" w14:textId="77777777" w:rsidR="00BF6F71" w:rsidRDefault="00BF6F71" w:rsidP="00BF6F71">
      <w:pPr>
        <w:rPr>
          <w:sz w:val="36"/>
          <w:szCs w:val="36"/>
        </w:rPr>
      </w:pPr>
    </w:p>
    <w:p w14:paraId="44DB4EA3" w14:textId="77777777" w:rsidR="00BF6F71" w:rsidRDefault="00BF6F71" w:rsidP="00BF6F71">
      <w:pPr>
        <w:rPr>
          <w:sz w:val="36"/>
          <w:szCs w:val="36"/>
        </w:rPr>
      </w:pPr>
    </w:p>
    <w:p w14:paraId="2C64A8BF" w14:textId="77777777" w:rsidR="00BF6F71" w:rsidRDefault="00BF6F71" w:rsidP="00BF6F71">
      <w:pPr>
        <w:rPr>
          <w:sz w:val="36"/>
          <w:szCs w:val="36"/>
        </w:rPr>
      </w:pPr>
    </w:p>
    <w:p w14:paraId="2CAA5F96" w14:textId="77777777" w:rsidR="00BF6F71" w:rsidRDefault="00BF6F71" w:rsidP="00BF6F71">
      <w:pPr>
        <w:rPr>
          <w:sz w:val="36"/>
          <w:szCs w:val="36"/>
        </w:rPr>
      </w:pPr>
    </w:p>
    <w:p w14:paraId="1F21B9D0" w14:textId="77777777" w:rsidR="00BF6F71" w:rsidRPr="00605694" w:rsidRDefault="00BF6F71" w:rsidP="00BF6F71">
      <w:pPr>
        <w:rPr>
          <w:sz w:val="36"/>
          <w:szCs w:val="36"/>
        </w:rPr>
      </w:pPr>
      <w:r w:rsidRPr="00605694">
        <w:rPr>
          <w:sz w:val="36"/>
          <w:szCs w:val="36"/>
        </w:rPr>
        <w:t xml:space="preserve">Tutor: Amanda Owens </w:t>
      </w:r>
    </w:p>
    <w:p w14:paraId="6BE21C81" w14:textId="77777777" w:rsidR="00BF6F71" w:rsidRPr="00605694" w:rsidRDefault="00BF6F71" w:rsidP="00BF6F71">
      <w:pPr>
        <w:rPr>
          <w:sz w:val="36"/>
          <w:szCs w:val="36"/>
        </w:rPr>
      </w:pPr>
    </w:p>
    <w:p w14:paraId="5C6C66B0" w14:textId="77777777" w:rsidR="00BF6F71" w:rsidRPr="00605694" w:rsidRDefault="00BF6F71" w:rsidP="00BF6F71">
      <w:pPr>
        <w:rPr>
          <w:sz w:val="36"/>
          <w:szCs w:val="36"/>
        </w:rPr>
      </w:pPr>
      <w:r w:rsidRPr="00605694">
        <w:rPr>
          <w:sz w:val="36"/>
          <w:szCs w:val="36"/>
        </w:rPr>
        <w:t>Word count: 2000</w:t>
      </w:r>
    </w:p>
    <w:p w14:paraId="45AC6872" w14:textId="77777777" w:rsidR="00BF6F71" w:rsidRPr="00605694" w:rsidRDefault="00BF6F71" w:rsidP="00BF6F71">
      <w:pPr>
        <w:rPr>
          <w:sz w:val="36"/>
          <w:szCs w:val="36"/>
        </w:rPr>
      </w:pPr>
    </w:p>
    <w:p w14:paraId="022FB695" w14:textId="77777777" w:rsidR="00BF6F71" w:rsidRPr="00605694" w:rsidRDefault="00BF6F71" w:rsidP="00BF6F71">
      <w:pPr>
        <w:rPr>
          <w:sz w:val="36"/>
          <w:szCs w:val="36"/>
        </w:rPr>
      </w:pPr>
      <w:r w:rsidRPr="00605694">
        <w:rPr>
          <w:sz w:val="36"/>
          <w:szCs w:val="36"/>
        </w:rPr>
        <w:t>Jenna Wray (1807585)</w:t>
      </w:r>
    </w:p>
    <w:p w14:paraId="7B7C2B72" w14:textId="77777777" w:rsidR="00BF6F71" w:rsidRDefault="00BF6F71" w:rsidP="00BF6F71"/>
    <w:p w14:paraId="659BB2E5" w14:textId="77777777" w:rsidR="00BF6F71" w:rsidRDefault="00BF6F71" w:rsidP="00BF6F71"/>
    <w:p w14:paraId="212ADD20" w14:textId="77777777" w:rsidR="00BF6F71" w:rsidRDefault="00BF6F71" w:rsidP="00BF6F71"/>
    <w:p w14:paraId="0471D79D" w14:textId="77777777" w:rsidR="00BF6F71" w:rsidRDefault="00BF6F71" w:rsidP="00BF6F71"/>
    <w:p w14:paraId="1E696459" w14:textId="033181EE" w:rsidR="00BF6F71" w:rsidRDefault="00BF6F71" w:rsidP="00BF6F71">
      <w:pPr>
        <w:rPr>
          <w:sz w:val="36"/>
          <w:szCs w:val="36"/>
        </w:rPr>
      </w:pPr>
      <w:r w:rsidRPr="00605694">
        <w:rPr>
          <w:sz w:val="36"/>
          <w:szCs w:val="36"/>
        </w:rPr>
        <w:t>Contents Page</w:t>
      </w:r>
    </w:p>
    <w:p w14:paraId="1D524AF9" w14:textId="7912FF2F" w:rsidR="005F305F" w:rsidRDefault="005F305F" w:rsidP="00BF6F71">
      <w:pPr>
        <w:rPr>
          <w:sz w:val="36"/>
          <w:szCs w:val="36"/>
        </w:rPr>
      </w:pPr>
    </w:p>
    <w:p w14:paraId="68D49EEA" w14:textId="0720F6C9" w:rsidR="005F305F" w:rsidRPr="005F305F" w:rsidRDefault="005F305F" w:rsidP="00BF6F71">
      <w:pPr>
        <w:rPr>
          <w:sz w:val="24"/>
          <w:szCs w:val="24"/>
        </w:rPr>
      </w:pPr>
      <w:r w:rsidRPr="005F305F">
        <w:rPr>
          <w:sz w:val="24"/>
          <w:szCs w:val="24"/>
        </w:rPr>
        <w:t>Page 1…………</w:t>
      </w:r>
      <w:r>
        <w:rPr>
          <w:sz w:val="24"/>
          <w:szCs w:val="24"/>
        </w:rPr>
        <w:t>. Heading Page</w:t>
      </w:r>
    </w:p>
    <w:p w14:paraId="090F7844" w14:textId="77777777" w:rsidR="005F305F" w:rsidRDefault="005F305F" w:rsidP="00BF6F71">
      <w:pPr>
        <w:rPr>
          <w:sz w:val="24"/>
          <w:szCs w:val="24"/>
        </w:rPr>
      </w:pPr>
    </w:p>
    <w:p w14:paraId="6D251584" w14:textId="494A16AB" w:rsidR="005F305F" w:rsidRPr="005F305F" w:rsidRDefault="005F305F" w:rsidP="00BF6F71">
      <w:pPr>
        <w:rPr>
          <w:sz w:val="24"/>
          <w:szCs w:val="24"/>
        </w:rPr>
      </w:pPr>
      <w:r w:rsidRPr="005F305F">
        <w:rPr>
          <w:sz w:val="24"/>
          <w:szCs w:val="24"/>
        </w:rPr>
        <w:t>Page 2…………</w:t>
      </w:r>
      <w:r>
        <w:rPr>
          <w:sz w:val="24"/>
          <w:szCs w:val="24"/>
        </w:rPr>
        <w:t xml:space="preserve">  Contents page</w:t>
      </w:r>
    </w:p>
    <w:p w14:paraId="164A8C4B" w14:textId="44F4E765" w:rsidR="005F305F" w:rsidRPr="005F305F" w:rsidRDefault="005F305F" w:rsidP="00BF6F71">
      <w:pPr>
        <w:rPr>
          <w:sz w:val="24"/>
          <w:szCs w:val="24"/>
        </w:rPr>
      </w:pPr>
    </w:p>
    <w:p w14:paraId="025DF8D8" w14:textId="491C8E73" w:rsidR="005F305F" w:rsidRPr="005F305F" w:rsidRDefault="005F305F" w:rsidP="00BF6F71">
      <w:pPr>
        <w:rPr>
          <w:sz w:val="24"/>
          <w:szCs w:val="24"/>
        </w:rPr>
      </w:pPr>
      <w:r w:rsidRPr="005F305F">
        <w:rPr>
          <w:sz w:val="24"/>
          <w:szCs w:val="24"/>
        </w:rPr>
        <w:t>Page 3…………</w:t>
      </w:r>
      <w:r>
        <w:rPr>
          <w:sz w:val="24"/>
          <w:szCs w:val="24"/>
        </w:rPr>
        <w:t xml:space="preserve"> Abstrac</w:t>
      </w:r>
      <w:r w:rsidR="00C80854">
        <w:rPr>
          <w:sz w:val="24"/>
          <w:szCs w:val="24"/>
        </w:rPr>
        <w:t>t, Introduction</w:t>
      </w:r>
      <w:r>
        <w:rPr>
          <w:sz w:val="24"/>
          <w:szCs w:val="24"/>
        </w:rPr>
        <w:t xml:space="preserve"> and Main body</w:t>
      </w:r>
    </w:p>
    <w:p w14:paraId="3043BAEC" w14:textId="3166C60E" w:rsidR="005F305F" w:rsidRPr="005F305F" w:rsidRDefault="005F305F" w:rsidP="00BF6F71">
      <w:pPr>
        <w:rPr>
          <w:sz w:val="24"/>
          <w:szCs w:val="24"/>
        </w:rPr>
      </w:pPr>
    </w:p>
    <w:p w14:paraId="4EC8C427" w14:textId="6CAB0A83" w:rsidR="005F305F" w:rsidRPr="005F305F" w:rsidRDefault="005F305F" w:rsidP="00BF6F71">
      <w:pPr>
        <w:rPr>
          <w:sz w:val="24"/>
          <w:szCs w:val="24"/>
        </w:rPr>
      </w:pPr>
      <w:r w:rsidRPr="005F305F">
        <w:rPr>
          <w:sz w:val="24"/>
          <w:szCs w:val="24"/>
        </w:rPr>
        <w:t>Page 4…………</w:t>
      </w:r>
      <w:r>
        <w:rPr>
          <w:sz w:val="24"/>
          <w:szCs w:val="24"/>
        </w:rPr>
        <w:t xml:space="preserve"> Main body</w:t>
      </w:r>
    </w:p>
    <w:p w14:paraId="6A427E6E" w14:textId="13F93BA6" w:rsidR="005F305F" w:rsidRPr="005F305F" w:rsidRDefault="005F305F" w:rsidP="00BF6F71">
      <w:pPr>
        <w:rPr>
          <w:sz w:val="24"/>
          <w:szCs w:val="24"/>
        </w:rPr>
      </w:pPr>
    </w:p>
    <w:p w14:paraId="5B72022E" w14:textId="63BD4375" w:rsidR="005F305F" w:rsidRPr="005F305F" w:rsidRDefault="005F305F" w:rsidP="00BF6F71">
      <w:pPr>
        <w:rPr>
          <w:sz w:val="24"/>
          <w:szCs w:val="24"/>
        </w:rPr>
      </w:pPr>
      <w:r w:rsidRPr="005F305F">
        <w:rPr>
          <w:sz w:val="24"/>
          <w:szCs w:val="24"/>
        </w:rPr>
        <w:t>Page 5…………</w:t>
      </w:r>
      <w:r>
        <w:rPr>
          <w:sz w:val="24"/>
          <w:szCs w:val="24"/>
        </w:rPr>
        <w:t xml:space="preserve"> Main body</w:t>
      </w:r>
    </w:p>
    <w:p w14:paraId="2B852AA3" w14:textId="2EC16EC1" w:rsidR="005F305F" w:rsidRPr="005F305F" w:rsidRDefault="005F305F" w:rsidP="00BF6F71">
      <w:pPr>
        <w:rPr>
          <w:sz w:val="24"/>
          <w:szCs w:val="24"/>
        </w:rPr>
      </w:pPr>
    </w:p>
    <w:p w14:paraId="4DC2BD27" w14:textId="41A50D93" w:rsidR="005F305F" w:rsidRPr="005F305F" w:rsidRDefault="005F305F" w:rsidP="00BF6F71">
      <w:pPr>
        <w:rPr>
          <w:sz w:val="24"/>
          <w:szCs w:val="24"/>
        </w:rPr>
      </w:pPr>
      <w:r w:rsidRPr="005F305F">
        <w:rPr>
          <w:sz w:val="24"/>
          <w:szCs w:val="24"/>
        </w:rPr>
        <w:t>Page 6…………</w:t>
      </w:r>
      <w:r>
        <w:rPr>
          <w:sz w:val="24"/>
          <w:szCs w:val="24"/>
        </w:rPr>
        <w:t xml:space="preserve"> Conclusion</w:t>
      </w:r>
    </w:p>
    <w:p w14:paraId="47EA6C38" w14:textId="074674DE" w:rsidR="005F305F" w:rsidRPr="005F305F" w:rsidRDefault="005F305F" w:rsidP="00BF6F71">
      <w:pPr>
        <w:rPr>
          <w:sz w:val="24"/>
          <w:szCs w:val="24"/>
        </w:rPr>
      </w:pPr>
    </w:p>
    <w:p w14:paraId="34FE17EE" w14:textId="61E8C7B1" w:rsidR="005F305F" w:rsidRPr="005F305F" w:rsidRDefault="005F305F" w:rsidP="00BF6F71">
      <w:pPr>
        <w:rPr>
          <w:sz w:val="24"/>
          <w:szCs w:val="24"/>
        </w:rPr>
      </w:pPr>
      <w:r w:rsidRPr="005F305F">
        <w:rPr>
          <w:sz w:val="24"/>
          <w:szCs w:val="24"/>
        </w:rPr>
        <w:t>Page 7…………</w:t>
      </w:r>
      <w:r>
        <w:rPr>
          <w:sz w:val="24"/>
          <w:szCs w:val="24"/>
        </w:rPr>
        <w:t xml:space="preserve"> Recommendations </w:t>
      </w:r>
    </w:p>
    <w:p w14:paraId="52994CE0" w14:textId="5E270EB5" w:rsidR="005F305F" w:rsidRPr="005F305F" w:rsidRDefault="005F305F" w:rsidP="00BF6F71">
      <w:pPr>
        <w:rPr>
          <w:sz w:val="24"/>
          <w:szCs w:val="24"/>
        </w:rPr>
      </w:pPr>
    </w:p>
    <w:p w14:paraId="1B6C0DB9" w14:textId="705025D2" w:rsidR="005F305F" w:rsidRDefault="005F305F" w:rsidP="00BF6F71">
      <w:pPr>
        <w:rPr>
          <w:sz w:val="24"/>
          <w:szCs w:val="24"/>
        </w:rPr>
      </w:pPr>
      <w:r w:rsidRPr="005F305F">
        <w:rPr>
          <w:sz w:val="24"/>
          <w:szCs w:val="24"/>
        </w:rPr>
        <w:t>Page 8……….</w:t>
      </w:r>
      <w:r>
        <w:rPr>
          <w:sz w:val="24"/>
          <w:szCs w:val="24"/>
        </w:rPr>
        <w:t xml:space="preserve"> Reference list</w:t>
      </w:r>
    </w:p>
    <w:p w14:paraId="4DC7EBD0" w14:textId="09AE7497" w:rsidR="005F305F" w:rsidRDefault="005F305F" w:rsidP="00BF6F71">
      <w:pPr>
        <w:rPr>
          <w:sz w:val="24"/>
          <w:szCs w:val="24"/>
        </w:rPr>
      </w:pPr>
    </w:p>
    <w:p w14:paraId="04BB7929" w14:textId="3032EE73" w:rsidR="005F305F" w:rsidRPr="005F305F" w:rsidRDefault="005F305F" w:rsidP="00BF6F71">
      <w:pPr>
        <w:rPr>
          <w:sz w:val="24"/>
          <w:szCs w:val="24"/>
        </w:rPr>
      </w:pPr>
      <w:r>
        <w:rPr>
          <w:sz w:val="24"/>
          <w:szCs w:val="24"/>
        </w:rPr>
        <w:t>Page 9………… Reference list</w:t>
      </w:r>
    </w:p>
    <w:p w14:paraId="4C3B7AA8" w14:textId="77777777" w:rsidR="00BF6F71" w:rsidRDefault="00BF6F71" w:rsidP="00BF6F71"/>
    <w:p w14:paraId="20DD4E15" w14:textId="77777777" w:rsidR="00BF6F71" w:rsidRDefault="00BF6F71" w:rsidP="00BF6F71"/>
    <w:p w14:paraId="6509474E" w14:textId="77777777" w:rsidR="00BF6F71" w:rsidRDefault="00BF6F71" w:rsidP="00BF6F71"/>
    <w:p w14:paraId="300166B6" w14:textId="77777777" w:rsidR="00BF6F71" w:rsidRDefault="00BF6F71" w:rsidP="00BF6F71"/>
    <w:p w14:paraId="40CE12C2" w14:textId="77777777" w:rsidR="00BF6F71" w:rsidRDefault="00BF6F71" w:rsidP="00BF6F71"/>
    <w:p w14:paraId="3CB2709F" w14:textId="77777777" w:rsidR="00BF6F71" w:rsidRDefault="00BF6F71" w:rsidP="00BF6F71"/>
    <w:p w14:paraId="24975CEE" w14:textId="77777777" w:rsidR="00BF6F71" w:rsidRDefault="00BF6F71" w:rsidP="00BF6F71"/>
    <w:p w14:paraId="5DD4CFC8" w14:textId="77777777" w:rsidR="00BF6F71" w:rsidRDefault="00BF6F71" w:rsidP="00BF6F71"/>
    <w:p w14:paraId="483403C6" w14:textId="77777777" w:rsidR="00BF6F71" w:rsidRDefault="00BF6F71" w:rsidP="00BF6F71"/>
    <w:p w14:paraId="0E818DC9" w14:textId="77777777" w:rsidR="00BF6F71" w:rsidRDefault="00BF6F71" w:rsidP="00BF6F71"/>
    <w:p w14:paraId="1B291D1B" w14:textId="77777777" w:rsidR="00BF6F71" w:rsidRDefault="00BF6F71" w:rsidP="00BF6F71"/>
    <w:p w14:paraId="54DFB8C7" w14:textId="4DA3746E" w:rsidR="00BF6F71" w:rsidRDefault="009466BF" w:rsidP="00BF6F71">
      <w:r>
        <w:t xml:space="preserve">Living well at the end of life requires a holistic approach. It provides physical comfort, emotional fulfilment, and meaningful connections. Through acceptance, dignity and purposeful reflection, individuals can </w:t>
      </w:r>
      <w:r w:rsidR="00C80854">
        <w:t>find peace.</w:t>
      </w:r>
    </w:p>
    <w:p w14:paraId="25C09691" w14:textId="77777777" w:rsidR="00BF6F71" w:rsidRDefault="00BF6F71" w:rsidP="00BF6F71"/>
    <w:p w14:paraId="685CFE35" w14:textId="77777777" w:rsidR="00BF6F71" w:rsidRDefault="00BF6F71" w:rsidP="00BF6F71"/>
    <w:p w14:paraId="529126AC" w14:textId="77777777" w:rsidR="00BF6F71" w:rsidRDefault="00BF6F71" w:rsidP="00BF6F71">
      <w:pPr>
        <w:jc w:val="both"/>
      </w:pPr>
      <w:r>
        <w:t xml:space="preserve">To live well at the end of life, the individual must feel that they have choice, independence and that they are embracing their freedom as much as possible. This essentially involves the individual having the choice to make decisions about their own care and experiences. Essentially, this means that it is solely about ensuring quality of life, finding moments of joy, and making peace with the journeys end. In doing so, this then empowers the individual to live their final days with dignity, fulfilment, and a </w:t>
      </w:r>
      <w:bookmarkStart w:id="0" w:name="_GoBack"/>
      <w:bookmarkEnd w:id="0"/>
      <w:r>
        <w:t xml:space="preserve">sense of control. This report will commence by initially exploring palliative care as a whole, outlining the increasing need for it within society today. From here, the paper will then investigate the reasons why it is essential that individuals have a positive experience during their end of life care. From here, a focus will then be placed on the techniques that are used to provide individuals with the basic tools required to achieve this. The paper will move on to illustrate the varying arguments of those who have explored which aspects are essential. The paper will then conclude with a summary of the findings, highlighting the main themes. This report will outline and explain how to live well at the end of life.  </w:t>
      </w:r>
    </w:p>
    <w:p w14:paraId="25857226" w14:textId="77777777" w:rsidR="00BF6F71" w:rsidRDefault="00BF6F71" w:rsidP="00BF6F71">
      <w:pPr>
        <w:jc w:val="both"/>
      </w:pPr>
      <w:r>
        <w:t>NHS England (2017), states that the number of people who require palliative care is continuously increasing in volume. It is suggested that is the direct result of our rapidly aging society, rising rates of multimorbidity and evolving patterns of illness. It is estimated that by 2040, approximately 160,000 more individuals in England and Wales will require end of life care if current death patterns hold true. Taking the increase in figures, and the fact that everyone should have access to palliative care of the highest standard, this will have a huge impact on the NHS as a whole. Furthermore, we should anticipate that we will receive the best care possible at the end of life. It is argued that, to achieve the best care possible, it is essential to include all aspects of care such as medical, psychological, emotional, social, and spiritual requirements.</w:t>
      </w:r>
    </w:p>
    <w:p w14:paraId="0B78D13B" w14:textId="5172336C" w:rsidR="00BF6F71" w:rsidRDefault="00BF6F71" w:rsidP="00BF6F71">
      <w:pPr>
        <w:jc w:val="both"/>
      </w:pPr>
      <w:proofErr w:type="spellStart"/>
      <w:r>
        <w:t>Heyland</w:t>
      </w:r>
      <w:proofErr w:type="spellEnd"/>
      <w:r>
        <w:t xml:space="preserve"> et al</w:t>
      </w:r>
      <w:r w:rsidR="006B6DAC">
        <w:t xml:space="preserve">, </w:t>
      </w:r>
      <w:r>
        <w:t>(2020)</w:t>
      </w:r>
      <w:r w:rsidR="006B6DAC">
        <w:t xml:space="preserve"> </w:t>
      </w:r>
      <w:r>
        <w:t>places an emphasis on the importance of the individual having choice at the end of life. They suggest that having choice is paramount, allowing individuals to maintain their freedom and dignity. By empowering patients with choice in respect to their treatment preferences, palliative care options ensure values and wishes are honoured (Institute of medicine, 2015). The National Health Service (NHS) (2022), suggest that end of life care provides ‘support’ for people nearing the end of their life. The aim of palliative care is to enable individuals to live well until death, providing dignity to all by always considering the individuals wishes and preferences. In conjunction to this (Marie Curie, 2024) suggests that in the event that patients lack in their mental capacity, this will result in the individual becoming incapable of making their own choices. A terminally ill person may not be mentally capable for a variety of reasons. The following conditions can have an impact on mental capacity, dementia, brain injury, severe learning disability, stroke and many more. In certain circumstances, a legally designated individual may make choices on behalf of someone who lacks capacity. Any choice made on a patients’ behalf by medical professionals need to be made with their best interest in mind. The NHS (2024) supports this along with the mental capacity act and explains that unless proven differently, presume that the individual is capable of making their own decisions, unless assessed differently.</w:t>
      </w:r>
      <w:r w:rsidR="006D7FAD">
        <w:t xml:space="preserve"> GOV (2014) states that the mental capacity act 2005 is UK legislation which </w:t>
      </w:r>
      <w:r w:rsidR="006D7FAD">
        <w:lastRenderedPageBreak/>
        <w:t>is used to safeguard individuals who lack mental capacity. It provides a framework for decision making on behalf of those unable to make their own choices.</w:t>
      </w:r>
    </w:p>
    <w:p w14:paraId="34FF8B77" w14:textId="7D2409AF" w:rsidR="00BF6F71" w:rsidRDefault="00BF6F71" w:rsidP="00BF6F71">
      <w:pPr>
        <w:jc w:val="both"/>
      </w:pPr>
      <w:r>
        <w:t>Palliative care becomes available to patients when they have been diagnosed with a terminal illness. Before the advancements in medicine and palliative care, many people who had been diagnosed with a terminal illness would experience significant pain during illness. With limited understanding of pain management and fewer available treatments meant many individuals suffered without adequate relief. (Marie Curie, 2022). However, Peacock and Patel (2008) state that throughout history, various cultures have developed remedies and practices to alleviate pain for those in need. Supporting this argument, The National Health Service (2023) explains at the end of life is a crucial aspect to address any pain symptoms. Symptoms vary with each individual depending on prognosis and treatment receiving. Rome et al</w:t>
      </w:r>
      <w:r w:rsidR="006B6DAC">
        <w:t xml:space="preserve">, </w:t>
      </w:r>
      <w:r>
        <w:t>(2011)</w:t>
      </w:r>
      <w:r w:rsidR="006B6DAC">
        <w:t xml:space="preserve"> </w:t>
      </w:r>
      <w:r>
        <w:t>explains even though death is inevitable phase of life, it is often treated as an illness. Consequently, a great number of people pass away in hospitals, alone and in agony. Regardless of diagnosis, palliative care aims to enhance the quality of life for both patients and their families.</w:t>
      </w:r>
    </w:p>
    <w:p w14:paraId="4A963590" w14:textId="6283E61C" w:rsidR="00BF6F71" w:rsidRDefault="00BF6F71" w:rsidP="00BF6F71">
      <w:pPr>
        <w:jc w:val="both"/>
      </w:pPr>
      <w:r>
        <w:t>In addition to pain management, it is essential to offer alternative support to individuals. Thi</w:t>
      </w:r>
      <w:r w:rsidR="0059653B">
        <w:t xml:space="preserve">s </w:t>
      </w:r>
      <w:r>
        <w:t xml:space="preserve">can include support for mental and emotional distress. This can be incorporated with end-of-life care as a person is nearing the end of life, as the fear of dying may lead to feelings of worry, depression, and anxiety. Treating emotional distress and pain is a crucial part of the end of life process. It is argued by many that communicating and talking about your own feelings with a family member/friend or healthcare professional is of paramount importance (GOV, 2024). At the end of life, it is of paramount importance to provide person-centred care that considers the unique needs and priorities of each patient, to enable person-centred care, healthcare providers must understand the importance of collaborative decision making whilst taking the patients physical, psychological, social, and spiritual needs into account (Stevenson-Baker 2023). Atkin, </w:t>
      </w:r>
      <w:proofErr w:type="spellStart"/>
      <w:r>
        <w:t>Vickerstaff</w:t>
      </w:r>
      <w:proofErr w:type="spellEnd"/>
      <w:r>
        <w:t xml:space="preserve"> and Candy (2017) explain that feeling fearful or anxious at the end of life is a common experience for many individuals, including fear of the unknown, concerns about pain and suffering, existential distress and worries about leaving loved ones behind.  Furthermore, physical symptoms such as pain, shortness of breath can exacerbate anxiety. </w:t>
      </w:r>
      <w:proofErr w:type="spellStart"/>
      <w:r>
        <w:t>Iani</w:t>
      </w:r>
      <w:proofErr w:type="spellEnd"/>
      <w:r>
        <w:t xml:space="preserve"> et al, (2020) suggests that to address anxiety at the end of life is essential for promoting comfort, dignity, and quality of life.</w:t>
      </w:r>
    </w:p>
    <w:p w14:paraId="7F91AD46" w14:textId="77777777" w:rsidR="00BF6F71" w:rsidRDefault="00BF6F71" w:rsidP="00BF6F71">
      <w:pPr>
        <w:jc w:val="both"/>
      </w:pPr>
      <w:r>
        <w:t>Moreover, (</w:t>
      </w:r>
      <w:proofErr w:type="spellStart"/>
      <w:r>
        <w:t>Blackenburg</w:t>
      </w:r>
      <w:proofErr w:type="spellEnd"/>
      <w:r>
        <w:t xml:space="preserve"> et al, 2022) states that having open communication between patients, caregivers and healthcare professionals is crucial for understanding the underlying causes of anxiety and addressing the issue. By providing holistic care that attends to the physical, emotional, and existential dimensions of anxiety, healthcare teams can help individuals at the end stage of life with greater peace and acceptance.</w:t>
      </w:r>
    </w:p>
    <w:p w14:paraId="12B16013" w14:textId="77777777" w:rsidR="00BF6F71" w:rsidRDefault="00BF6F71" w:rsidP="00BF6F71">
      <w:pPr>
        <w:jc w:val="both"/>
      </w:pPr>
      <w:r>
        <w:t xml:space="preserve">Candy et al. (2008), suggests that having a supportive network can ensure that wishes for medical care and end-of life decisions are communicated and respected providing emotional, practical, and social support. By supporting individuals emotionally, it offers a safe space for those to express their fears, regrets and hopes, gaining a sense of comfort and understanding.  This argument is supported by </w:t>
      </w:r>
      <w:proofErr w:type="spellStart"/>
      <w:r>
        <w:t>Chochinov</w:t>
      </w:r>
      <w:proofErr w:type="spellEnd"/>
      <w:r>
        <w:t xml:space="preserve"> et al. 2011, who suggests that sharing concerns with loved ones will improve psychological aspects and well-being, promoting a sense of comfort at a difficult time. </w:t>
      </w:r>
    </w:p>
    <w:p w14:paraId="39BF864E" w14:textId="77777777" w:rsidR="00BF6F71" w:rsidRDefault="00BF6F71" w:rsidP="00BF6F71">
      <w:pPr>
        <w:jc w:val="both"/>
      </w:pPr>
      <w:r>
        <w:t xml:space="preserve">Following this, </w:t>
      </w:r>
      <w:proofErr w:type="spellStart"/>
      <w:r>
        <w:t>Puchalski</w:t>
      </w:r>
      <w:proofErr w:type="spellEnd"/>
      <w:r>
        <w:t xml:space="preserve"> (2001) suggests that spiritual engagement is also essential at the end of life is crucial for many individuals, offering comfort, meaning and connection. Practices such as prayer, meditation, and reflection provide support and comfort during this phase. Spiritual beliefs positively influence end of life experiences. Hospice and palliative care providers strongly recognise the importance of addressing spiritual needs alongside physical and emotional concerns (</w:t>
      </w:r>
      <w:proofErr w:type="spellStart"/>
      <w:r>
        <w:t>Balboni</w:t>
      </w:r>
      <w:proofErr w:type="spellEnd"/>
      <w:r>
        <w:t xml:space="preserve"> et al, </w:t>
      </w:r>
      <w:r>
        <w:lastRenderedPageBreak/>
        <w:t>2017).  According to Hulbert-Williams (2021) acceptance at the end of life is crucial for many reasons, allowing individuals to find peace and closure, reducing feelings of distress and anxiety whilst giving a sense of fulfilment and meaning helping individuals reflect on life with a sense of completion. Additionally, acceptance enables patients to focus on enhancing quality of life in the remaining embracing the present moment and finding peace within.</w:t>
      </w:r>
    </w:p>
    <w:p w14:paraId="03902A2B" w14:textId="77777777" w:rsidR="00BF6F71" w:rsidRDefault="00BF6F71" w:rsidP="00BF6F71">
      <w:pPr>
        <w:jc w:val="both"/>
      </w:pPr>
      <w:r>
        <w:t>Marie Curie (2024) advises that advance care planning is imperative for ensuring that individuals receive the care they desire at the end of life. In doing so, it allows the individual to communicate their preferences regarding medical treatments, interventions, and goals to loved ones and healthcare provides. By discussing these preferences in advance, individuals can maintain autonomy and dignity, alleviate potential conflicts among family members, and ensure their wishes have been respected even if they become unable to make wishes by themselves. Additionally, advanced care planning can help reduce unnecessary suffering and provide peace of mind for both patients and families during a challenging time.</w:t>
      </w:r>
      <w:r>
        <w:tab/>
      </w:r>
    </w:p>
    <w:p w14:paraId="4CAE6034" w14:textId="77777777" w:rsidR="00BF6F71" w:rsidRDefault="00BF6F71" w:rsidP="00BF6F71">
      <w:pPr>
        <w:jc w:val="both"/>
      </w:pPr>
      <w:proofErr w:type="spellStart"/>
      <w:r>
        <w:t>Ostlund</w:t>
      </w:r>
      <w:proofErr w:type="spellEnd"/>
      <w:r>
        <w:t xml:space="preserve">, </w:t>
      </w:r>
      <w:proofErr w:type="spellStart"/>
      <w:r>
        <w:t>Blonberg</w:t>
      </w:r>
      <w:proofErr w:type="spellEnd"/>
      <w:r>
        <w:t xml:space="preserve"> and </w:t>
      </w:r>
      <w:proofErr w:type="spellStart"/>
      <w:r>
        <w:t>Harstade</w:t>
      </w:r>
      <w:proofErr w:type="spellEnd"/>
      <w:r>
        <w:t xml:space="preserve"> (2019), suggest that maintaining dignity is of principal importance at the end-of-life journey. They suggest that this is a basic human right and that individuals should have the right to be treated with dignity, which is of high importance in healthcare. It is certainly crucial for patients who receive palliative care to die with dignity. Whereas Raffi and </w:t>
      </w:r>
      <w:proofErr w:type="spellStart"/>
      <w:r>
        <w:t>Abredari</w:t>
      </w:r>
      <w:proofErr w:type="spellEnd"/>
      <w:r>
        <w:t xml:space="preserve"> (2023) state that a patients’ ability to maximise their physical, mental, social, emotional, spiritual needs at the end of life is a key component of dying with dignity, depending on cultural back ground. </w:t>
      </w:r>
    </w:p>
    <w:p w14:paraId="58AD87A7" w14:textId="77777777" w:rsidR="00BF6F71" w:rsidRDefault="00BF6F71" w:rsidP="00BF6F71">
      <w:pPr>
        <w:jc w:val="both"/>
      </w:pPr>
    </w:p>
    <w:p w14:paraId="1439E691" w14:textId="77777777" w:rsidR="00BF6F71" w:rsidRDefault="00BF6F71" w:rsidP="00BF6F71">
      <w:pPr>
        <w:jc w:val="both"/>
      </w:pPr>
    </w:p>
    <w:p w14:paraId="0C4EF470" w14:textId="77777777" w:rsidR="00BF6F71" w:rsidRDefault="00BF6F71" w:rsidP="00BF6F71">
      <w:pPr>
        <w:jc w:val="both"/>
      </w:pPr>
    </w:p>
    <w:p w14:paraId="4C042329" w14:textId="77777777" w:rsidR="00BF6F71" w:rsidRDefault="00BF6F71" w:rsidP="00BF6F71">
      <w:pPr>
        <w:jc w:val="both"/>
      </w:pPr>
    </w:p>
    <w:p w14:paraId="55C5B7C1" w14:textId="77777777" w:rsidR="00BF6F71" w:rsidRDefault="00BF6F71" w:rsidP="00BF6F71">
      <w:pPr>
        <w:jc w:val="both"/>
      </w:pPr>
    </w:p>
    <w:p w14:paraId="1D275B7B" w14:textId="77777777" w:rsidR="00BF6F71" w:rsidRDefault="00BF6F71" w:rsidP="00BF6F71">
      <w:pPr>
        <w:jc w:val="both"/>
      </w:pPr>
    </w:p>
    <w:p w14:paraId="09ED3489" w14:textId="77777777" w:rsidR="00BF6F71" w:rsidRDefault="00BF6F71" w:rsidP="00BF6F71">
      <w:pPr>
        <w:jc w:val="both"/>
      </w:pPr>
    </w:p>
    <w:p w14:paraId="6C051DBF" w14:textId="77777777" w:rsidR="00BF6F71" w:rsidRDefault="00BF6F71" w:rsidP="00BF6F71">
      <w:pPr>
        <w:jc w:val="both"/>
      </w:pPr>
    </w:p>
    <w:p w14:paraId="1B530826" w14:textId="77777777" w:rsidR="00BF6F71" w:rsidRDefault="00BF6F71" w:rsidP="00BF6F71">
      <w:pPr>
        <w:jc w:val="both"/>
      </w:pPr>
    </w:p>
    <w:p w14:paraId="5B6C52AD" w14:textId="77777777" w:rsidR="00BF6F71" w:rsidRDefault="00BF6F71" w:rsidP="00BF6F71">
      <w:pPr>
        <w:jc w:val="both"/>
      </w:pPr>
    </w:p>
    <w:p w14:paraId="65AC8B84" w14:textId="77777777" w:rsidR="00BF6F71" w:rsidRDefault="00BF6F71" w:rsidP="00BF6F71">
      <w:pPr>
        <w:jc w:val="both"/>
      </w:pPr>
    </w:p>
    <w:p w14:paraId="27712A89" w14:textId="77777777" w:rsidR="00BF6F71" w:rsidRDefault="00BF6F71" w:rsidP="00BF6F71">
      <w:pPr>
        <w:jc w:val="both"/>
      </w:pPr>
    </w:p>
    <w:p w14:paraId="3B798C9B" w14:textId="77777777" w:rsidR="00BF6F71" w:rsidRDefault="00BF6F71" w:rsidP="00BF6F71">
      <w:pPr>
        <w:jc w:val="both"/>
      </w:pPr>
    </w:p>
    <w:p w14:paraId="4113F10C" w14:textId="77777777" w:rsidR="00BF6F71" w:rsidRDefault="00BF6F71" w:rsidP="00BF6F71">
      <w:pPr>
        <w:jc w:val="both"/>
      </w:pPr>
    </w:p>
    <w:p w14:paraId="351331ED" w14:textId="77777777" w:rsidR="00BF6F71" w:rsidRDefault="00BF6F71" w:rsidP="00BF6F71">
      <w:pPr>
        <w:jc w:val="both"/>
      </w:pPr>
    </w:p>
    <w:p w14:paraId="3C6F1F66" w14:textId="77777777" w:rsidR="00BF6F71" w:rsidRDefault="00BF6F71" w:rsidP="00BF6F71">
      <w:pPr>
        <w:jc w:val="both"/>
      </w:pPr>
    </w:p>
    <w:p w14:paraId="0E145EC7" w14:textId="77777777" w:rsidR="00BF6F71" w:rsidRDefault="00BF6F71" w:rsidP="00BF6F71">
      <w:pPr>
        <w:jc w:val="both"/>
      </w:pPr>
    </w:p>
    <w:p w14:paraId="3E84C026" w14:textId="77777777" w:rsidR="00BF6F71" w:rsidRDefault="00BF6F71" w:rsidP="00BF6F71">
      <w:pPr>
        <w:jc w:val="both"/>
      </w:pPr>
    </w:p>
    <w:p w14:paraId="05CC5311" w14:textId="77777777" w:rsidR="00BF6F71" w:rsidRDefault="00BF6F71" w:rsidP="00BF6F71">
      <w:pPr>
        <w:jc w:val="both"/>
      </w:pPr>
    </w:p>
    <w:p w14:paraId="0A9B5DD0" w14:textId="77777777" w:rsidR="00BF6F71" w:rsidRDefault="00BF6F71" w:rsidP="00BF6F71">
      <w:pPr>
        <w:jc w:val="both"/>
      </w:pPr>
    </w:p>
    <w:p w14:paraId="056AB59B" w14:textId="77777777" w:rsidR="00BF6F71" w:rsidRDefault="00BF6F71" w:rsidP="00BF6F71">
      <w:pPr>
        <w:jc w:val="both"/>
      </w:pPr>
    </w:p>
    <w:p w14:paraId="69C5A1E5" w14:textId="77777777" w:rsidR="00BF6F71" w:rsidRDefault="00BF6F71" w:rsidP="00BF6F71">
      <w:pPr>
        <w:jc w:val="both"/>
      </w:pPr>
    </w:p>
    <w:p w14:paraId="5DE0BCEF" w14:textId="77777777" w:rsidR="00BF6F71" w:rsidRDefault="00BF6F71" w:rsidP="00BF6F71">
      <w:pPr>
        <w:jc w:val="both"/>
      </w:pPr>
      <w:r>
        <w:t xml:space="preserve">In conclusion, it is evident that living well at the end of life is essential for a fulfilling and meaningful existence. It is a common theme from the arguments above that communication is a key aspect of providing individuals with the tools required live well during palliative care. As humans, our perception of well-being evolves throughout life. It is highlighted that the importance of maintaining meaningful relationships, and finding moments of joy and gratitude at the end of life is crucial to live well at the end of life. Furthermore, palliative care has provided ways for patients to receive maximum support suited to their physical, emotional, and spiritual needs. By embracing a holistic approach to end-of-life care, individuals can find comfort and dignity in their final days, surrounded by loved ones and supported by compassionate professionals. Having open conversations about death empower individuals to make informed decisions about their end of life preferences, ensuring their values and wishes are honoured. Ultimately, living well at the end of life is of paramount importance. </w:t>
      </w:r>
    </w:p>
    <w:p w14:paraId="11BD0880" w14:textId="77777777" w:rsidR="00BF6F71" w:rsidRDefault="00BF6F71" w:rsidP="00BF6F71">
      <w:pPr>
        <w:jc w:val="both"/>
      </w:pPr>
      <w:r>
        <w:t>A summary of my own personal recommendations that I believe would be essential for individuals to live well at the end of life would be:</w:t>
      </w:r>
    </w:p>
    <w:p w14:paraId="1BFBCAA7" w14:textId="77777777" w:rsidR="00BF6F71" w:rsidRDefault="00BF6F71" w:rsidP="00BF6F71">
      <w:pPr>
        <w:pStyle w:val="ListParagraph"/>
        <w:numPr>
          <w:ilvl w:val="0"/>
          <w:numId w:val="1"/>
        </w:numPr>
        <w:jc w:val="both"/>
      </w:pPr>
      <w:r>
        <w:t>Reflect and meaning - The individual should take time to reflect on their past and to open their mind to what has given their life both meaning and purpose. From this, the individual should be able to highlight activities that have brought them joy and try to engage as much as possible in these activities if possible.</w:t>
      </w:r>
    </w:p>
    <w:p w14:paraId="259A2C55" w14:textId="77777777" w:rsidR="00BF6F71" w:rsidRDefault="00BF6F71" w:rsidP="00BF6F71">
      <w:pPr>
        <w:pStyle w:val="ListParagraph"/>
        <w:numPr>
          <w:ilvl w:val="0"/>
          <w:numId w:val="1"/>
        </w:numPr>
        <w:jc w:val="both"/>
      </w:pPr>
      <w:r>
        <w:t xml:space="preserve">Maintaining relationships – The individual should spend quality time with loved ones and those who matter most to them. This could vary in terms of family, friendships colleagues etc. Or could even include personal interests/hobbies such as volunteering placements etc. </w:t>
      </w:r>
    </w:p>
    <w:p w14:paraId="26A36D2E" w14:textId="77777777" w:rsidR="00BF6F71" w:rsidRDefault="00BF6F71" w:rsidP="00BF6F71">
      <w:pPr>
        <w:pStyle w:val="ListParagraph"/>
        <w:numPr>
          <w:ilvl w:val="0"/>
          <w:numId w:val="1"/>
        </w:numPr>
        <w:jc w:val="both"/>
      </w:pPr>
      <w:r>
        <w:t>Acceptance – The individual should take a form of acceptance to the reality of their situation. In doing so, this could bring peace to their lives and allow them to focus on the time they have left.</w:t>
      </w:r>
    </w:p>
    <w:p w14:paraId="66A04F4E" w14:textId="77777777" w:rsidR="00BF6F71" w:rsidRDefault="00BF6F71" w:rsidP="00BF6F71">
      <w:pPr>
        <w:pStyle w:val="ListParagraph"/>
        <w:numPr>
          <w:ilvl w:val="0"/>
          <w:numId w:val="1"/>
        </w:numPr>
        <w:jc w:val="both"/>
      </w:pPr>
      <w:r>
        <w:t>Self-compassion: The individual should be kind to themselves. They should allow themselves to experience a range of emotions without any form of judgement. Self-compassion can help ease feelings of fear or anxiety about the end of life.</w:t>
      </w:r>
    </w:p>
    <w:p w14:paraId="2F0F5C1F" w14:textId="77777777" w:rsidR="00BF6F71" w:rsidRDefault="00BF6F71" w:rsidP="00BF6F71"/>
    <w:p w14:paraId="7B4DE39B" w14:textId="77777777" w:rsidR="00BF6F71" w:rsidRDefault="00BF6F71" w:rsidP="00BF6F71"/>
    <w:p w14:paraId="7621A30C" w14:textId="77777777" w:rsidR="00BF6F71" w:rsidRDefault="00BF6F71" w:rsidP="00BF6F71">
      <w:pPr>
        <w:rPr>
          <w:rFonts w:ascii="Times New Roman" w:hAnsi="Times New Roman" w:cs="Times New Roman"/>
          <w:b/>
          <w:sz w:val="28"/>
          <w:szCs w:val="28"/>
        </w:rPr>
      </w:pPr>
    </w:p>
    <w:p w14:paraId="2F87443B" w14:textId="77777777" w:rsidR="006D7FAD" w:rsidRDefault="006D7FAD" w:rsidP="00BF6F71">
      <w:pPr>
        <w:rPr>
          <w:rFonts w:ascii="Times New Roman" w:hAnsi="Times New Roman" w:cs="Times New Roman"/>
          <w:b/>
          <w:sz w:val="28"/>
          <w:szCs w:val="28"/>
        </w:rPr>
      </w:pPr>
    </w:p>
    <w:p w14:paraId="131A51F4" w14:textId="77777777" w:rsidR="006D7FAD" w:rsidRDefault="006D7FAD" w:rsidP="00BF6F71">
      <w:pPr>
        <w:rPr>
          <w:rFonts w:ascii="Times New Roman" w:hAnsi="Times New Roman" w:cs="Times New Roman"/>
          <w:b/>
          <w:sz w:val="28"/>
          <w:szCs w:val="28"/>
        </w:rPr>
      </w:pPr>
    </w:p>
    <w:p w14:paraId="2771A9FD" w14:textId="77777777" w:rsidR="006D7FAD" w:rsidRDefault="006D7FAD" w:rsidP="00BF6F71">
      <w:pPr>
        <w:rPr>
          <w:rFonts w:ascii="Times New Roman" w:hAnsi="Times New Roman" w:cs="Times New Roman"/>
          <w:b/>
          <w:sz w:val="28"/>
          <w:szCs w:val="28"/>
        </w:rPr>
      </w:pPr>
    </w:p>
    <w:p w14:paraId="7A8FCD75" w14:textId="77777777" w:rsidR="006D7FAD" w:rsidRDefault="006D7FAD" w:rsidP="00BF6F71">
      <w:pPr>
        <w:rPr>
          <w:rFonts w:ascii="Times New Roman" w:hAnsi="Times New Roman" w:cs="Times New Roman"/>
          <w:b/>
          <w:sz w:val="28"/>
          <w:szCs w:val="28"/>
        </w:rPr>
      </w:pPr>
    </w:p>
    <w:p w14:paraId="57037F3D" w14:textId="77777777" w:rsidR="006D7FAD" w:rsidRDefault="006D7FAD" w:rsidP="00BF6F71">
      <w:pPr>
        <w:rPr>
          <w:rFonts w:ascii="Times New Roman" w:hAnsi="Times New Roman" w:cs="Times New Roman"/>
          <w:b/>
          <w:sz w:val="28"/>
          <w:szCs w:val="28"/>
        </w:rPr>
      </w:pPr>
    </w:p>
    <w:p w14:paraId="6019EDD2" w14:textId="77777777" w:rsidR="006D7FAD" w:rsidRDefault="006D7FAD" w:rsidP="00BF6F71">
      <w:pPr>
        <w:rPr>
          <w:rFonts w:ascii="Times New Roman" w:hAnsi="Times New Roman" w:cs="Times New Roman"/>
          <w:b/>
          <w:sz w:val="28"/>
          <w:szCs w:val="28"/>
        </w:rPr>
      </w:pPr>
    </w:p>
    <w:p w14:paraId="7DB67419" w14:textId="77777777" w:rsidR="006D7FAD" w:rsidRDefault="006D7FAD" w:rsidP="00BF6F71">
      <w:pPr>
        <w:rPr>
          <w:rFonts w:ascii="Times New Roman" w:hAnsi="Times New Roman" w:cs="Times New Roman"/>
          <w:b/>
          <w:sz w:val="28"/>
          <w:szCs w:val="28"/>
        </w:rPr>
      </w:pPr>
    </w:p>
    <w:p w14:paraId="623DE450" w14:textId="77777777" w:rsidR="006D7FAD" w:rsidRDefault="006D7FAD" w:rsidP="00BF6F71">
      <w:pPr>
        <w:rPr>
          <w:rFonts w:ascii="Times New Roman" w:hAnsi="Times New Roman" w:cs="Times New Roman"/>
          <w:b/>
          <w:sz w:val="28"/>
          <w:szCs w:val="28"/>
        </w:rPr>
      </w:pPr>
    </w:p>
    <w:p w14:paraId="0378F960" w14:textId="632538A6" w:rsidR="00BF6F71" w:rsidRPr="003870B8" w:rsidRDefault="0041280E" w:rsidP="00BF6F71">
      <w:pPr>
        <w:rPr>
          <w:rFonts w:ascii="Times New Roman" w:hAnsi="Times New Roman" w:cs="Times New Roman"/>
          <w:b/>
          <w:sz w:val="28"/>
          <w:szCs w:val="28"/>
        </w:rPr>
      </w:pPr>
      <w:r>
        <w:rPr>
          <w:rFonts w:ascii="Times New Roman" w:hAnsi="Times New Roman" w:cs="Times New Roman"/>
          <w:b/>
          <w:sz w:val="28"/>
          <w:szCs w:val="28"/>
        </w:rPr>
        <w:t>R</w:t>
      </w:r>
      <w:r w:rsidR="00BF6F71" w:rsidRPr="003870B8">
        <w:rPr>
          <w:rFonts w:ascii="Times New Roman" w:hAnsi="Times New Roman" w:cs="Times New Roman"/>
          <w:b/>
          <w:sz w:val="28"/>
          <w:szCs w:val="28"/>
        </w:rPr>
        <w:t>eference</w:t>
      </w:r>
      <w:r w:rsidR="00BF6F71">
        <w:rPr>
          <w:rFonts w:ascii="Times New Roman" w:hAnsi="Times New Roman" w:cs="Times New Roman"/>
          <w:b/>
          <w:sz w:val="28"/>
          <w:szCs w:val="28"/>
        </w:rPr>
        <w:t xml:space="preserve"> list</w:t>
      </w:r>
    </w:p>
    <w:p w14:paraId="53038EA6" w14:textId="77777777" w:rsidR="00BF6F71" w:rsidRDefault="00BF6F71" w:rsidP="00BF6F71"/>
    <w:p w14:paraId="4A8447AD" w14:textId="77777777" w:rsidR="00BF6F71" w:rsidRPr="00110709" w:rsidRDefault="00BF6F71" w:rsidP="00BF6F71">
      <w:r>
        <w:t xml:space="preserve">Atkin N, </w:t>
      </w:r>
      <w:proofErr w:type="spellStart"/>
      <w:r>
        <w:t>Vickerstaff</w:t>
      </w:r>
      <w:proofErr w:type="spellEnd"/>
      <w:r>
        <w:t xml:space="preserve"> V and Candy B (2017). ‘Worried to death’: the assessment and management of anxiety in patients with advanced life-limiting disease, a national survey of palliative medicine physicians. </w:t>
      </w:r>
      <w:r>
        <w:rPr>
          <w:i/>
        </w:rPr>
        <w:t xml:space="preserve">PubMed. </w:t>
      </w:r>
      <w:r>
        <w:t>16:69.</w:t>
      </w:r>
    </w:p>
    <w:p w14:paraId="4FBE9BBA" w14:textId="77777777" w:rsidR="00BF6F71" w:rsidRDefault="00BF6F71" w:rsidP="00BF6F71">
      <w:proofErr w:type="spellStart"/>
      <w:r>
        <w:t>Balboni</w:t>
      </w:r>
      <w:proofErr w:type="spellEnd"/>
      <w:r>
        <w:t xml:space="preserve"> T, Fitchett G, </w:t>
      </w:r>
      <w:proofErr w:type="spellStart"/>
      <w:r>
        <w:t>Handzo</w:t>
      </w:r>
      <w:proofErr w:type="spellEnd"/>
      <w:r>
        <w:t xml:space="preserve"> G, Johnson K, </w:t>
      </w:r>
      <w:proofErr w:type="spellStart"/>
      <w:r>
        <w:t>Koeing</w:t>
      </w:r>
      <w:proofErr w:type="spellEnd"/>
      <w:r>
        <w:t xml:space="preserve"> H, Pargament K, </w:t>
      </w:r>
      <w:proofErr w:type="spellStart"/>
      <w:r>
        <w:t>Puchalski</w:t>
      </w:r>
      <w:proofErr w:type="spellEnd"/>
      <w:r>
        <w:t xml:space="preserve"> C, Sinclair S, Taylor E and </w:t>
      </w:r>
      <w:proofErr w:type="spellStart"/>
      <w:r>
        <w:t>Steinhauser</w:t>
      </w:r>
      <w:proofErr w:type="spellEnd"/>
      <w:r>
        <w:t xml:space="preserve"> K (2017) State of the science of spiritually and palliative care research part II: screening, assessment, and interventions. </w:t>
      </w:r>
      <w:r>
        <w:rPr>
          <w:i/>
        </w:rPr>
        <w:t xml:space="preserve">PubMed. </w:t>
      </w:r>
      <w:r>
        <w:t xml:space="preserve">53(3) PP.441-453. </w:t>
      </w:r>
    </w:p>
    <w:p w14:paraId="5E690D47" w14:textId="77777777" w:rsidR="00BF6F71" w:rsidRPr="00294EC2" w:rsidRDefault="00BF6F71" w:rsidP="00BF6F71">
      <w:proofErr w:type="spellStart"/>
      <w:r>
        <w:t>Blanckenburg</w:t>
      </w:r>
      <w:proofErr w:type="spellEnd"/>
      <w:r>
        <w:t xml:space="preserve"> P, </w:t>
      </w:r>
      <w:proofErr w:type="spellStart"/>
      <w:r>
        <w:t>Knorrenschild</w:t>
      </w:r>
      <w:proofErr w:type="spellEnd"/>
      <w:r>
        <w:t xml:space="preserve"> J, Hofmann M, Fries H, </w:t>
      </w:r>
      <w:proofErr w:type="spellStart"/>
      <w:r>
        <w:t>Nestoriuc</w:t>
      </w:r>
      <w:proofErr w:type="spellEnd"/>
      <w:r>
        <w:t xml:space="preserve"> Y, </w:t>
      </w:r>
      <w:proofErr w:type="spellStart"/>
      <w:r>
        <w:t>Selifart</w:t>
      </w:r>
      <w:proofErr w:type="spellEnd"/>
      <w:r>
        <w:t xml:space="preserve"> U, </w:t>
      </w:r>
      <w:proofErr w:type="spellStart"/>
      <w:r>
        <w:t>Reif</w:t>
      </w:r>
      <w:proofErr w:type="spellEnd"/>
      <w:r>
        <w:t xml:space="preserve"> W and </w:t>
      </w:r>
      <w:proofErr w:type="spellStart"/>
      <w:r>
        <w:t>Seifart</w:t>
      </w:r>
      <w:proofErr w:type="spellEnd"/>
      <w:r>
        <w:t xml:space="preserve"> C (2022). Expectations, end-of-life fears and end-of-life communication among palliative patients with cancer and caregivers: a cross-sectional study. </w:t>
      </w:r>
      <w:r>
        <w:rPr>
          <w:i/>
        </w:rPr>
        <w:t xml:space="preserve">PubMed. </w:t>
      </w:r>
      <w:r>
        <w:t>12(5).</w:t>
      </w:r>
    </w:p>
    <w:p w14:paraId="7F2F4D68" w14:textId="77777777" w:rsidR="00BF6F71" w:rsidRDefault="00BF6F71" w:rsidP="00BF6F71">
      <w:r>
        <w:t xml:space="preserve">Candy B, Jones L, Drake R, </w:t>
      </w:r>
      <w:proofErr w:type="spellStart"/>
      <w:r>
        <w:t>Leurent</w:t>
      </w:r>
      <w:proofErr w:type="spellEnd"/>
      <w:r>
        <w:t xml:space="preserve"> B, King M and Davis S (2008). Interventions for supporting informal caregivers of patients in the terminal phase of a disease. PubMed. 1(1).</w:t>
      </w:r>
    </w:p>
    <w:p w14:paraId="54B98F35" w14:textId="13AC280D" w:rsidR="00BF6F71" w:rsidRDefault="00BF6F71" w:rsidP="00BF6F71">
      <w:proofErr w:type="spellStart"/>
      <w:r>
        <w:t>Chochinov</w:t>
      </w:r>
      <w:proofErr w:type="spellEnd"/>
      <w:r>
        <w:t xml:space="preserve"> H, Hack T, </w:t>
      </w:r>
      <w:proofErr w:type="spellStart"/>
      <w:r>
        <w:t>Kristjanson</w:t>
      </w:r>
      <w:proofErr w:type="spellEnd"/>
      <w:r>
        <w:t xml:space="preserve"> L, McClement S and </w:t>
      </w:r>
      <w:proofErr w:type="spellStart"/>
      <w:r>
        <w:t>Harlos</w:t>
      </w:r>
      <w:proofErr w:type="spellEnd"/>
      <w:r>
        <w:t xml:space="preserve"> M (2011). Dignity therapy: A novel psychotherapeutic intervention for patients near the end of life. Journal of clinical oncology 29(11) PP.129-136.</w:t>
      </w:r>
    </w:p>
    <w:p w14:paraId="4E894713" w14:textId="215AF2DD" w:rsidR="006D7FAD" w:rsidRDefault="006D7FAD" w:rsidP="00BF6F71">
      <w:r>
        <w:t xml:space="preserve">GOV (2014). </w:t>
      </w:r>
      <w:proofErr w:type="spellStart"/>
      <w:r>
        <w:t>Mnetal</w:t>
      </w:r>
      <w:proofErr w:type="spellEnd"/>
      <w:r>
        <w:t xml:space="preserve"> capacity act: making decisions. Available at: </w:t>
      </w:r>
      <w:hyperlink r:id="rId7" w:history="1">
        <w:r w:rsidRPr="006D03BD">
          <w:rPr>
            <w:rStyle w:val="Hyperlink"/>
          </w:rPr>
          <w:t>https://www.gov.uk/governement/collections/mental-capacity-act-making-decisions</w:t>
        </w:r>
      </w:hyperlink>
      <w:r>
        <w:t xml:space="preserve"> Accessed on 16th April 2024.</w:t>
      </w:r>
    </w:p>
    <w:p w14:paraId="6DB7CAFA" w14:textId="77777777" w:rsidR="00BF6F71" w:rsidRDefault="00BF6F71" w:rsidP="00BF6F71">
      <w:r>
        <w:t xml:space="preserve">GOV (2024) Providing care and comfort at </w:t>
      </w:r>
      <w:proofErr w:type="spellStart"/>
      <w:r>
        <w:t>theh</w:t>
      </w:r>
      <w:proofErr w:type="spellEnd"/>
      <w:r>
        <w:t xml:space="preserve"> end of life.  Available at: </w:t>
      </w:r>
      <w:hyperlink r:id="rId8" w:history="1">
        <w:r w:rsidRPr="007E6939">
          <w:rPr>
            <w:rStyle w:val="Hyperlink"/>
          </w:rPr>
          <w:t>https://www.nia,nih.gov/health/end-life/providing-care-and-comfort-end-life</w:t>
        </w:r>
      </w:hyperlink>
      <w:r>
        <w:t xml:space="preserve"> Accessed on 3rd April 2024.</w:t>
      </w:r>
    </w:p>
    <w:p w14:paraId="3EF2DA26" w14:textId="77777777" w:rsidR="00BF6F71" w:rsidRPr="00315A47" w:rsidRDefault="00BF6F71" w:rsidP="00BF6F71">
      <w:proofErr w:type="spellStart"/>
      <w:r>
        <w:t>Iani</w:t>
      </w:r>
      <w:proofErr w:type="spellEnd"/>
      <w:r>
        <w:t xml:space="preserve"> L, Vincenzo F, </w:t>
      </w:r>
      <w:proofErr w:type="spellStart"/>
      <w:r>
        <w:t>Maruelli</w:t>
      </w:r>
      <w:proofErr w:type="spellEnd"/>
      <w:r>
        <w:t xml:space="preserve"> A, </w:t>
      </w:r>
      <w:proofErr w:type="spellStart"/>
      <w:r>
        <w:t>Chochinov</w:t>
      </w:r>
      <w:proofErr w:type="spellEnd"/>
      <w:r>
        <w:t xml:space="preserve"> H, </w:t>
      </w:r>
      <w:proofErr w:type="spellStart"/>
      <w:r>
        <w:t>Ragghianti</w:t>
      </w:r>
      <w:proofErr w:type="spellEnd"/>
      <w:r>
        <w:t xml:space="preserve"> M, Durante S and Lombardo L (2020). Dignity therapy helps terminally ill patients maintain a sense of peace: early results of a randomized controlled trial. </w:t>
      </w:r>
      <w:r>
        <w:rPr>
          <w:i/>
        </w:rPr>
        <w:t xml:space="preserve">PubMed. </w:t>
      </w:r>
      <w:r>
        <w:t>11 1468.gg</w:t>
      </w:r>
    </w:p>
    <w:p w14:paraId="05A7AB11" w14:textId="77777777" w:rsidR="00BF6F71" w:rsidRDefault="00BF6F71" w:rsidP="00BF6F71">
      <w:pPr>
        <w:rPr>
          <w:i/>
        </w:rPr>
      </w:pPr>
      <w:r>
        <w:t xml:space="preserve">Institute of medicine (2015). Dying in America: Improving quality and </w:t>
      </w:r>
      <w:proofErr w:type="spellStart"/>
      <w:r>
        <w:t>honoring</w:t>
      </w:r>
      <w:proofErr w:type="spellEnd"/>
      <w:r>
        <w:t xml:space="preserve"> individual preferences near the end of life. </w:t>
      </w:r>
      <w:r>
        <w:rPr>
          <w:i/>
        </w:rPr>
        <w:t>PubMed.</w:t>
      </w:r>
    </w:p>
    <w:p w14:paraId="0C5A54B1" w14:textId="77777777" w:rsidR="00BF6F71" w:rsidRPr="006176B6" w:rsidRDefault="00BF6F71" w:rsidP="00BF6F71">
      <w:r>
        <w:t xml:space="preserve">Marie Curie (2022). What is palliative care? Available at: </w:t>
      </w:r>
      <w:hyperlink r:id="rId9" w:history="1">
        <w:r w:rsidRPr="00BD17F1">
          <w:rPr>
            <w:rStyle w:val="Hyperlink"/>
          </w:rPr>
          <w:t>https://www.mariecurie.org.uk/help/support/dianosed/recent-diagnosis/palliative-care-end-of-life-care</w:t>
        </w:r>
      </w:hyperlink>
      <w:r>
        <w:t xml:space="preserve"> Accessed on 11th April 2024.</w:t>
      </w:r>
    </w:p>
    <w:p w14:paraId="006FAF8B" w14:textId="77777777" w:rsidR="00BF6F71" w:rsidRDefault="00BF6F71" w:rsidP="00BF6F71">
      <w:r>
        <w:t xml:space="preserve">Marie Curie (2024). Advance care planning Available at: </w:t>
      </w:r>
      <w:hyperlink r:id="rId10" w:history="1">
        <w:r w:rsidRPr="007E6939">
          <w:rPr>
            <w:rStyle w:val="Hyperlink"/>
          </w:rPr>
          <w:t>https://www.maricurie.org.uk/professionals/palliative-care-knowledge-zone/proving-good-quality-care/advance-care-planning</w:t>
        </w:r>
      </w:hyperlink>
      <w:r>
        <w:t xml:space="preserve"> Accessed on 3rd April 2024.</w:t>
      </w:r>
    </w:p>
    <w:p w14:paraId="57AE2589" w14:textId="77777777" w:rsidR="00BF6F71" w:rsidRDefault="00BF6F71" w:rsidP="00BF6F71">
      <w:r>
        <w:lastRenderedPageBreak/>
        <w:t xml:space="preserve">Marie curie (2024). Mental capacity in palliative care. Available at: </w:t>
      </w:r>
      <w:hyperlink r:id="rId11" w:history="1">
        <w:r w:rsidRPr="004014FF">
          <w:rPr>
            <w:rStyle w:val="Hyperlink"/>
          </w:rPr>
          <w:t>https://www.mariecurie.org.uk/professionals/palliative-care-knowledge-zone/proving-good-quality-care/mental-capacity</w:t>
        </w:r>
      </w:hyperlink>
      <w:r>
        <w:t xml:space="preserve"> Accessed on 11th April 2024.</w:t>
      </w:r>
    </w:p>
    <w:p w14:paraId="4EE2E1E5" w14:textId="77777777" w:rsidR="00BF6F71" w:rsidRDefault="00BF6F71" w:rsidP="00BF6F71"/>
    <w:p w14:paraId="7100ED6C" w14:textId="77777777" w:rsidR="00BF6F71" w:rsidRDefault="00BF6F71" w:rsidP="00BF6F71">
      <w:r>
        <w:t xml:space="preserve">NHS (2022) What end of life care involves. Available at: </w:t>
      </w:r>
      <w:hyperlink r:id="rId12" w:history="1">
        <w:r w:rsidRPr="00B4502D">
          <w:rPr>
            <w:rStyle w:val="Hyperlink"/>
          </w:rPr>
          <w:t>https://www.nhs.uk/conditions/end-of-life-care/what-it-involves-and-when-it-starts/</w:t>
        </w:r>
      </w:hyperlink>
      <w:r>
        <w:t xml:space="preserve"> Accessed on 2</w:t>
      </w:r>
      <w:r w:rsidRPr="00E540E1">
        <w:rPr>
          <w:vertAlign w:val="superscript"/>
        </w:rPr>
        <w:t>nd</w:t>
      </w:r>
      <w:r>
        <w:t xml:space="preserve"> April 2024.</w:t>
      </w:r>
    </w:p>
    <w:p w14:paraId="4BA14344" w14:textId="77777777" w:rsidR="00BF6F71" w:rsidRDefault="00BF6F71" w:rsidP="00BF6F71">
      <w:r>
        <w:t xml:space="preserve">NHS (2023) Managing pain and other </w:t>
      </w:r>
      <w:proofErr w:type="spellStart"/>
      <w:r>
        <w:t>syptoms</w:t>
      </w:r>
      <w:proofErr w:type="spellEnd"/>
      <w:r>
        <w:t xml:space="preserve"> during end of life care. Available at: </w:t>
      </w:r>
      <w:hyperlink r:id="rId13" w:history="1">
        <w:r w:rsidRPr="0065056D">
          <w:rPr>
            <w:rStyle w:val="Hyperlink"/>
          </w:rPr>
          <w:t>https://www.nhs,uk/conditions/end-of-life-care/your-wellbeing/controllong-pain-and-other-symptoms/</w:t>
        </w:r>
      </w:hyperlink>
      <w:r>
        <w:t xml:space="preserve"> Accessed on 4</w:t>
      </w:r>
      <w:r w:rsidRPr="00EE3760">
        <w:rPr>
          <w:vertAlign w:val="superscript"/>
        </w:rPr>
        <w:t>th</w:t>
      </w:r>
      <w:r>
        <w:t xml:space="preserve"> April 2024.</w:t>
      </w:r>
    </w:p>
    <w:p w14:paraId="049E6B70" w14:textId="77777777" w:rsidR="00BF6F71" w:rsidRDefault="00BF6F71" w:rsidP="00BF6F71">
      <w:r>
        <w:t xml:space="preserve">NHS (2024).  Mental capacity act. Available at: </w:t>
      </w:r>
      <w:hyperlink r:id="rId14" w:history="1">
        <w:r w:rsidRPr="0036545D">
          <w:rPr>
            <w:rStyle w:val="Hyperlink"/>
          </w:rPr>
          <w:t>https://www.nhs,uk/conditions/social-care-and-support-guide/making-decisions-for-someone-else/mental-capacity-act/</w:t>
        </w:r>
      </w:hyperlink>
      <w:r>
        <w:t xml:space="preserve"> Accessed on 11</w:t>
      </w:r>
      <w:r w:rsidRPr="00410F2C">
        <w:rPr>
          <w:vertAlign w:val="superscript"/>
        </w:rPr>
        <w:t>th</w:t>
      </w:r>
      <w:r>
        <w:t xml:space="preserve"> April 2024.</w:t>
      </w:r>
    </w:p>
    <w:p w14:paraId="4C8C5219" w14:textId="77777777" w:rsidR="00BF6F71" w:rsidRDefault="00BF6F71" w:rsidP="00BF6F71">
      <w:r>
        <w:t xml:space="preserve">NHS England (2017). Living well until we die.  Available at: </w:t>
      </w:r>
      <w:hyperlink r:id="rId15" w:anchor=":~:text=The%20care%20that%20we%20%receive,that%20are%20unique%20to%20us" w:history="1">
        <w:r w:rsidRPr="00B4502D">
          <w:rPr>
            <w:rStyle w:val="Hyperlink"/>
          </w:rPr>
          <w:t>https://www.england.nhs.uk/blog/living-well-until wedie/#:~:text=The%20care%20that%20we%20%receive,that%20are%20unique%20to%20us</w:t>
        </w:r>
      </w:hyperlink>
      <w:r>
        <w:t>.  Accessed on 2nd April 2024.</w:t>
      </w:r>
    </w:p>
    <w:p w14:paraId="3E365B94" w14:textId="77777777" w:rsidR="00BF6F71" w:rsidRDefault="00BF6F71" w:rsidP="00BF6F71">
      <w:proofErr w:type="spellStart"/>
      <w:r>
        <w:t>Ostlund</w:t>
      </w:r>
      <w:proofErr w:type="spellEnd"/>
      <w:r>
        <w:t xml:space="preserve"> U, Blomberg K and </w:t>
      </w:r>
      <w:proofErr w:type="spellStart"/>
      <w:r>
        <w:t>Harstade</w:t>
      </w:r>
      <w:proofErr w:type="spellEnd"/>
      <w:r>
        <w:t xml:space="preserve"> C (2019). How to conserve dignity in palliative care: suggestions from older patients, significant others, and healthcare professionals in Swedish </w:t>
      </w:r>
      <w:proofErr w:type="spellStart"/>
      <w:r>
        <w:t>municap</w:t>
      </w:r>
      <w:proofErr w:type="spellEnd"/>
      <w:r>
        <w:t xml:space="preserve"> care. </w:t>
      </w:r>
      <w:r>
        <w:rPr>
          <w:i/>
        </w:rPr>
        <w:t xml:space="preserve">BMC. </w:t>
      </w:r>
      <w:r>
        <w:t xml:space="preserve">18(10). </w:t>
      </w:r>
    </w:p>
    <w:p w14:paraId="46641615" w14:textId="77777777" w:rsidR="00BF6F71" w:rsidRDefault="00BF6F71" w:rsidP="00BF6F71">
      <w:r>
        <w:t xml:space="preserve">Peacock S and Patel S (2008). Cultural influences on pain.  </w:t>
      </w:r>
      <w:r>
        <w:rPr>
          <w:i/>
        </w:rPr>
        <w:t xml:space="preserve">PubMed. </w:t>
      </w:r>
      <w:r>
        <w:t>1(2) PP.6-9.</w:t>
      </w:r>
    </w:p>
    <w:p w14:paraId="08AFEAE4" w14:textId="77777777" w:rsidR="00BF6F71" w:rsidRPr="00570DCA" w:rsidRDefault="00BF6F71" w:rsidP="00BF6F71">
      <w:proofErr w:type="spellStart"/>
      <w:r>
        <w:t>Puchalski</w:t>
      </w:r>
      <w:proofErr w:type="spellEnd"/>
      <w:r>
        <w:t xml:space="preserve"> C (2001). The role </w:t>
      </w:r>
      <w:proofErr w:type="spellStart"/>
      <w:proofErr w:type="gramStart"/>
      <w:r>
        <w:t>od</w:t>
      </w:r>
      <w:proofErr w:type="spellEnd"/>
      <w:proofErr w:type="gramEnd"/>
      <w:r>
        <w:t xml:space="preserve"> spirituality in healthcare. </w:t>
      </w:r>
      <w:r>
        <w:rPr>
          <w:i/>
        </w:rPr>
        <w:t xml:space="preserve">PubMed. </w:t>
      </w:r>
      <w:r>
        <w:t>14(4) PP. 352-357</w:t>
      </w:r>
    </w:p>
    <w:p w14:paraId="5FD2D656" w14:textId="77777777" w:rsidR="00BF6F71" w:rsidRPr="0052252E" w:rsidRDefault="00BF6F71" w:rsidP="00BF6F71">
      <w:proofErr w:type="spellStart"/>
      <w:r>
        <w:t>Rafii</w:t>
      </w:r>
      <w:proofErr w:type="spellEnd"/>
      <w:r>
        <w:t xml:space="preserve"> F </w:t>
      </w:r>
      <w:proofErr w:type="spellStart"/>
      <w:r>
        <w:t>Abredari</w:t>
      </w:r>
      <w:proofErr w:type="spellEnd"/>
      <w:r>
        <w:t xml:space="preserve"> H (2023). Death with dignity in end-of-life nursing care: concept analysis by Rodgers’ evolutionary method. </w:t>
      </w:r>
      <w:r>
        <w:rPr>
          <w:i/>
        </w:rPr>
        <w:t xml:space="preserve">PubMed. </w:t>
      </w:r>
      <w:r>
        <w:t>28(2) PP.179-187.</w:t>
      </w:r>
    </w:p>
    <w:p w14:paraId="36759336" w14:textId="77777777" w:rsidR="00FC5E61" w:rsidRDefault="00BF6F71" w:rsidP="00BF6F71">
      <w:r>
        <w:t>Stevenson-Baker (2023). Promoting person-centred care at t</w:t>
      </w:r>
    </w:p>
    <w:sectPr w:rsidR="00FC5E61">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F2871B" w14:textId="77777777" w:rsidR="009466BF" w:rsidRDefault="009466BF" w:rsidP="005F305F">
      <w:pPr>
        <w:spacing w:after="0" w:line="240" w:lineRule="auto"/>
      </w:pPr>
      <w:r>
        <w:separator/>
      </w:r>
    </w:p>
  </w:endnote>
  <w:endnote w:type="continuationSeparator" w:id="0">
    <w:p w14:paraId="1AA0A204" w14:textId="77777777" w:rsidR="009466BF" w:rsidRDefault="009466BF" w:rsidP="005F30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7022239"/>
      <w:docPartObj>
        <w:docPartGallery w:val="Page Numbers (Bottom of Page)"/>
        <w:docPartUnique/>
      </w:docPartObj>
    </w:sdtPr>
    <w:sdtEndPr>
      <w:rPr>
        <w:noProof/>
      </w:rPr>
    </w:sdtEndPr>
    <w:sdtContent>
      <w:p w14:paraId="6D7D79FF" w14:textId="72D0A076" w:rsidR="009466BF" w:rsidRDefault="009466BF">
        <w:pPr>
          <w:pStyle w:val="Footer"/>
        </w:pPr>
        <w:r>
          <w:fldChar w:fldCharType="begin"/>
        </w:r>
        <w:r>
          <w:instrText xml:space="preserve"> PAGE   \* MERGEFORMAT </w:instrText>
        </w:r>
        <w:r>
          <w:fldChar w:fldCharType="separate"/>
        </w:r>
        <w:r>
          <w:rPr>
            <w:noProof/>
          </w:rPr>
          <w:t>2</w:t>
        </w:r>
        <w:r>
          <w:rPr>
            <w:noProof/>
          </w:rPr>
          <w:fldChar w:fldCharType="end"/>
        </w:r>
      </w:p>
    </w:sdtContent>
  </w:sdt>
  <w:p w14:paraId="28E401E8" w14:textId="77777777" w:rsidR="009466BF" w:rsidRDefault="009466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54D867" w14:textId="77777777" w:rsidR="009466BF" w:rsidRDefault="009466BF" w:rsidP="005F305F">
      <w:pPr>
        <w:spacing w:after="0" w:line="240" w:lineRule="auto"/>
      </w:pPr>
      <w:r>
        <w:separator/>
      </w:r>
    </w:p>
  </w:footnote>
  <w:footnote w:type="continuationSeparator" w:id="0">
    <w:p w14:paraId="5E9F752B" w14:textId="77777777" w:rsidR="009466BF" w:rsidRDefault="009466BF" w:rsidP="005F30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A8792B"/>
    <w:multiLevelType w:val="hybridMultilevel"/>
    <w:tmpl w:val="91A4C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F71"/>
    <w:rsid w:val="003530C1"/>
    <w:rsid w:val="0041280E"/>
    <w:rsid w:val="0059653B"/>
    <w:rsid w:val="005E18F4"/>
    <w:rsid w:val="005F305F"/>
    <w:rsid w:val="006B6DAC"/>
    <w:rsid w:val="006D7FAD"/>
    <w:rsid w:val="009466BF"/>
    <w:rsid w:val="00BF6F71"/>
    <w:rsid w:val="00C80854"/>
    <w:rsid w:val="00FC5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30D41"/>
  <w15:chartTrackingRefBased/>
  <w15:docId w15:val="{33C48B80-347E-4D92-8BBA-0A87ABD4D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F6F7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6F71"/>
    <w:rPr>
      <w:color w:val="0563C1" w:themeColor="hyperlink"/>
      <w:u w:val="single"/>
    </w:rPr>
  </w:style>
  <w:style w:type="paragraph" w:styleId="ListParagraph">
    <w:name w:val="List Paragraph"/>
    <w:basedOn w:val="Normal"/>
    <w:uiPriority w:val="34"/>
    <w:qFormat/>
    <w:rsid w:val="00BF6F71"/>
    <w:pPr>
      <w:ind w:left="720"/>
      <w:contextualSpacing/>
    </w:pPr>
  </w:style>
  <w:style w:type="character" w:styleId="UnresolvedMention">
    <w:name w:val="Unresolved Mention"/>
    <w:basedOn w:val="DefaultParagraphFont"/>
    <w:uiPriority w:val="99"/>
    <w:semiHidden/>
    <w:unhideWhenUsed/>
    <w:rsid w:val="006D7FAD"/>
    <w:rPr>
      <w:color w:val="605E5C"/>
      <w:shd w:val="clear" w:color="auto" w:fill="E1DFDD"/>
    </w:rPr>
  </w:style>
  <w:style w:type="paragraph" w:styleId="Header">
    <w:name w:val="header"/>
    <w:basedOn w:val="Normal"/>
    <w:link w:val="HeaderChar"/>
    <w:uiPriority w:val="99"/>
    <w:unhideWhenUsed/>
    <w:rsid w:val="005F30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05F"/>
  </w:style>
  <w:style w:type="paragraph" w:styleId="Footer">
    <w:name w:val="footer"/>
    <w:basedOn w:val="Normal"/>
    <w:link w:val="FooterChar"/>
    <w:uiPriority w:val="99"/>
    <w:unhideWhenUsed/>
    <w:rsid w:val="005F30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0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a,nih.gov/health/end-life/providing-care-and-comfort-end-life" TargetMode="External"/><Relationship Id="rId13" Type="http://schemas.openxmlformats.org/officeDocument/2006/relationships/hyperlink" Target="https://www.nhs,uk/conditions/end-of-life-care/your-wellbeing/controllong-pain-and-other-symptom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ement/collections/mental-capacity-act-making-decisions" TargetMode="External"/><Relationship Id="rId12" Type="http://schemas.openxmlformats.org/officeDocument/2006/relationships/hyperlink" Target="https://www.nhs.uk/conditions/end-of-life-care/what-it-involves-and-when-it-start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riecurie.org.uk/professionals/palliative-care-knowledge-zone/proving-good-quality-care/mental-capacity" TargetMode="External"/><Relationship Id="rId5" Type="http://schemas.openxmlformats.org/officeDocument/2006/relationships/footnotes" Target="footnotes.xml"/><Relationship Id="rId15" Type="http://schemas.openxmlformats.org/officeDocument/2006/relationships/hyperlink" Target="https://www.england.nhs.uk/blog/living-well-until%20wedie/" TargetMode="External"/><Relationship Id="rId10" Type="http://schemas.openxmlformats.org/officeDocument/2006/relationships/hyperlink" Target="https://www.maricurie.org.uk/professionals/palliative-care-knowledge-zone/proving-good-quality-care/advance-care-planning" TargetMode="External"/><Relationship Id="rId4" Type="http://schemas.openxmlformats.org/officeDocument/2006/relationships/webSettings" Target="webSettings.xml"/><Relationship Id="rId9" Type="http://schemas.openxmlformats.org/officeDocument/2006/relationships/hyperlink" Target="https://www.mariecurie.org.uk/help/support/dianosed/recent-diagnosis/palliative-care-end-of-life-care" TargetMode="External"/><Relationship Id="rId14" Type="http://schemas.openxmlformats.org/officeDocument/2006/relationships/hyperlink" Target="https://www.nhs,uk/conditions/social-care-and-support-guide/making-decisions-for-someone-else/mental-capacity-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2635</Words>
  <Characters>15025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wray</dc:creator>
  <cp:keywords/>
  <dc:description/>
  <cp:lastModifiedBy>jenna wray</cp:lastModifiedBy>
  <cp:revision>2</cp:revision>
  <dcterms:created xsi:type="dcterms:W3CDTF">2024-04-25T10:11:00Z</dcterms:created>
  <dcterms:modified xsi:type="dcterms:W3CDTF">2024-04-25T10:11:00Z</dcterms:modified>
</cp:coreProperties>
</file>