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71AA2" w14:textId="77777777" w:rsidR="003E3279" w:rsidRDefault="003E3279">
      <w:r>
        <w:t>Student Name: Sophie McCallum</w:t>
      </w:r>
    </w:p>
    <w:p w14:paraId="1E18221A" w14:textId="77777777" w:rsidR="003E3279" w:rsidRDefault="003E3279">
      <w:r>
        <w:t>Student Number: 1907466</w:t>
      </w:r>
    </w:p>
    <w:p w14:paraId="15B2C8D6" w14:textId="660D0F7D" w:rsidR="00513C36" w:rsidRDefault="003E3279">
      <w:r>
        <w:t>Module: The Teaching Toolkit 1</w:t>
      </w:r>
    </w:p>
    <w:p w14:paraId="38E51EE4" w14:textId="1EE1044F" w:rsidR="003E3279" w:rsidRDefault="003E3279">
      <w:r>
        <w:t>Module Code: ECPT6003</w:t>
      </w:r>
    </w:p>
    <w:p w14:paraId="396EFB67" w14:textId="71AF7ACD" w:rsidR="003E3279" w:rsidRDefault="003E3279"/>
    <w:p w14:paraId="181F51BD" w14:textId="77777777" w:rsidR="00EA2979" w:rsidRDefault="00EA2979" w:rsidP="003E3279">
      <w:pPr>
        <w:jc w:val="center"/>
      </w:pPr>
    </w:p>
    <w:p w14:paraId="0DED7B24" w14:textId="77777777" w:rsidR="00EA2979" w:rsidRDefault="00EA2979" w:rsidP="003E3279">
      <w:pPr>
        <w:jc w:val="center"/>
      </w:pPr>
    </w:p>
    <w:p w14:paraId="2921BD68" w14:textId="77777777" w:rsidR="00EA2979" w:rsidRDefault="00EA2979" w:rsidP="003E3279">
      <w:pPr>
        <w:jc w:val="center"/>
      </w:pPr>
    </w:p>
    <w:p w14:paraId="5FEBAC1E" w14:textId="77777777" w:rsidR="00EA2979" w:rsidRDefault="00EA2979" w:rsidP="003E3279">
      <w:pPr>
        <w:jc w:val="center"/>
      </w:pPr>
    </w:p>
    <w:p w14:paraId="29F5D582" w14:textId="77777777" w:rsidR="00EA2979" w:rsidRDefault="00EA2979" w:rsidP="003E3279">
      <w:pPr>
        <w:jc w:val="center"/>
      </w:pPr>
    </w:p>
    <w:p w14:paraId="1C640ADA" w14:textId="77777777" w:rsidR="00EA2979" w:rsidRDefault="00EA2979" w:rsidP="003E3279">
      <w:pPr>
        <w:jc w:val="center"/>
      </w:pPr>
    </w:p>
    <w:p w14:paraId="5518BA69" w14:textId="77777777" w:rsidR="00EA2979" w:rsidRPr="00EA2979" w:rsidRDefault="00EA2979" w:rsidP="003E3279">
      <w:pPr>
        <w:jc w:val="center"/>
        <w:rPr>
          <w:sz w:val="32"/>
          <w:szCs w:val="32"/>
        </w:rPr>
      </w:pPr>
    </w:p>
    <w:p w14:paraId="74070940" w14:textId="450111E8" w:rsidR="003E3279" w:rsidRPr="00EA2979" w:rsidRDefault="003E3279" w:rsidP="003E3279">
      <w:pPr>
        <w:jc w:val="center"/>
        <w:rPr>
          <w:sz w:val="40"/>
          <w:szCs w:val="40"/>
          <w:u w:val="single"/>
        </w:rPr>
      </w:pPr>
      <w:r w:rsidRPr="00EA2979">
        <w:rPr>
          <w:sz w:val="40"/>
          <w:szCs w:val="40"/>
          <w:u w:val="single"/>
        </w:rPr>
        <w:t>Professional Observation</w:t>
      </w:r>
    </w:p>
    <w:p w14:paraId="7A048B21" w14:textId="2DBA22CD" w:rsidR="003E3279" w:rsidRDefault="003E3279" w:rsidP="003E3279">
      <w:pPr>
        <w:jc w:val="center"/>
      </w:pPr>
    </w:p>
    <w:p w14:paraId="58D5D070" w14:textId="1DAA3AD9" w:rsidR="00EA2979" w:rsidRDefault="00EA2979" w:rsidP="003E3279">
      <w:pPr>
        <w:jc w:val="center"/>
      </w:pPr>
    </w:p>
    <w:p w14:paraId="26A0485D" w14:textId="6E04CDBB" w:rsidR="00EA2979" w:rsidRDefault="00EA2979" w:rsidP="003E3279">
      <w:pPr>
        <w:jc w:val="center"/>
      </w:pPr>
    </w:p>
    <w:p w14:paraId="495576BE" w14:textId="6EB941F2" w:rsidR="00EA2979" w:rsidRDefault="00EA2979" w:rsidP="003E3279">
      <w:pPr>
        <w:jc w:val="center"/>
      </w:pPr>
    </w:p>
    <w:p w14:paraId="5423C278" w14:textId="7AE8629C" w:rsidR="00EA2979" w:rsidRDefault="00EA2979" w:rsidP="003E3279">
      <w:pPr>
        <w:jc w:val="center"/>
      </w:pPr>
    </w:p>
    <w:p w14:paraId="401C05E4" w14:textId="0E1AC230" w:rsidR="00EA2979" w:rsidRDefault="00EA2979" w:rsidP="003E3279">
      <w:pPr>
        <w:jc w:val="center"/>
      </w:pPr>
    </w:p>
    <w:p w14:paraId="3398746B" w14:textId="7AB7038F" w:rsidR="00EA2979" w:rsidRDefault="00EA2979" w:rsidP="003E3279">
      <w:pPr>
        <w:jc w:val="center"/>
      </w:pPr>
    </w:p>
    <w:p w14:paraId="5A108B38" w14:textId="47B9D05D" w:rsidR="00EA2979" w:rsidRDefault="00EA2979" w:rsidP="003E3279">
      <w:pPr>
        <w:jc w:val="center"/>
      </w:pPr>
    </w:p>
    <w:p w14:paraId="3E7B64A4" w14:textId="1ED0ADCA" w:rsidR="00EA2979" w:rsidRDefault="00EA2979" w:rsidP="003E3279">
      <w:pPr>
        <w:jc w:val="center"/>
      </w:pPr>
    </w:p>
    <w:p w14:paraId="46A7D96D" w14:textId="304D0988" w:rsidR="00EA2979" w:rsidRDefault="00EA2979" w:rsidP="003E3279">
      <w:pPr>
        <w:jc w:val="center"/>
      </w:pPr>
    </w:p>
    <w:p w14:paraId="16738591" w14:textId="68D7D960" w:rsidR="00EA2979" w:rsidRDefault="00EA2979" w:rsidP="003E3279">
      <w:pPr>
        <w:jc w:val="center"/>
      </w:pPr>
    </w:p>
    <w:p w14:paraId="5E5F2EB1" w14:textId="30B432C6" w:rsidR="00EA2979" w:rsidRDefault="00EA2979" w:rsidP="00EA2979"/>
    <w:p w14:paraId="0C0CAD99" w14:textId="77777777" w:rsidR="00EA2979" w:rsidRDefault="00EA2979" w:rsidP="00EA2979"/>
    <w:p w14:paraId="7FD59A4F" w14:textId="77777777" w:rsidR="00EA2979" w:rsidRDefault="00EA2979" w:rsidP="003E3279">
      <w:pPr>
        <w:jc w:val="center"/>
      </w:pPr>
    </w:p>
    <w:p w14:paraId="6EB50C39" w14:textId="289000B9" w:rsidR="003E3279" w:rsidRPr="00EA2979" w:rsidRDefault="003E3279" w:rsidP="00EA2979">
      <w:pPr>
        <w:spacing w:line="360" w:lineRule="auto"/>
        <w:rPr>
          <w:sz w:val="28"/>
          <w:szCs w:val="28"/>
          <w:u w:val="single"/>
        </w:rPr>
      </w:pPr>
      <w:r w:rsidRPr="00EA2979">
        <w:rPr>
          <w:sz w:val="28"/>
          <w:szCs w:val="28"/>
          <w:u w:val="single"/>
        </w:rPr>
        <w:lastRenderedPageBreak/>
        <w:t>Introduction</w:t>
      </w:r>
    </w:p>
    <w:p w14:paraId="39A674ED" w14:textId="7D925308" w:rsidR="003E3279" w:rsidRDefault="003E3279" w:rsidP="00EA2979">
      <w:pPr>
        <w:spacing w:line="360" w:lineRule="auto"/>
      </w:pPr>
      <w:r>
        <w:t xml:space="preserve">I undertook 6 hours of observation work of two experienced teaching professionals, teaching level 5 students on the BA Film and TV course at UWTSD. Lecturer KB was observed by me during their 4 hour ‘Textual Practices 2’ lecture, and held a more lecture-based teaching strategy, including discussion, question and answer, brainstorming, and case study. I also observed TW in their 2 hour lecture where they performed a workshop-type teaching strategy, along with demonstration, simulation, case study and debate. </w:t>
      </w:r>
    </w:p>
    <w:p w14:paraId="6F7050A7" w14:textId="3BE2E0BB" w:rsidR="00770608" w:rsidRDefault="003E3279" w:rsidP="00EA2979">
      <w:pPr>
        <w:spacing w:line="360" w:lineRule="auto"/>
      </w:pPr>
      <w:r>
        <w:t>In this report I will be reflecting on what I have observ</w:t>
      </w:r>
      <w:r w:rsidR="00F10795">
        <w:t>ed from</w:t>
      </w:r>
      <w:r>
        <w:t xml:space="preserve"> these two lectures, how I will apply this to my own professional practice and how my developmental needs can be applied to this.</w:t>
      </w:r>
    </w:p>
    <w:p w14:paraId="5D6BD14F" w14:textId="5D6C8DFD" w:rsidR="00770608" w:rsidRPr="00EA2979" w:rsidRDefault="00770608" w:rsidP="00EA2979">
      <w:pPr>
        <w:spacing w:line="360" w:lineRule="auto"/>
        <w:rPr>
          <w:sz w:val="28"/>
          <w:szCs w:val="28"/>
          <w:u w:val="single"/>
        </w:rPr>
      </w:pPr>
      <w:r w:rsidRPr="00EA2979">
        <w:rPr>
          <w:sz w:val="28"/>
          <w:szCs w:val="28"/>
          <w:u w:val="single"/>
        </w:rPr>
        <w:t>KB</w:t>
      </w:r>
    </w:p>
    <w:p w14:paraId="1F571093" w14:textId="1F7FC619" w:rsidR="00770608" w:rsidRDefault="00770608" w:rsidP="00EA2979">
      <w:pPr>
        <w:spacing w:line="360" w:lineRule="auto"/>
      </w:pPr>
      <w:r>
        <w:t>Lecturer KB held a four hour lecture on the ‘Textual Practices 2’ module to level 5 (</w:t>
      </w:r>
      <w:r w:rsidR="004913CE">
        <w:t>second</w:t>
      </w:r>
      <w:r>
        <w:t xml:space="preserve"> year) students. The module learning outcomes are for the student to be able to “analyse and compare a range of textual sources targeting different audiences” and to “plan and design effective self-reflective strategies”. This four hour lecture was divided into three by two breaks – one fifteen minute and one 20 minute break. This is crucial for longer lectures as continuous task performance can induce mental fatigue, which then leads to difficulty focussing on the task at hand, reduced attention on the task, and becoming distracted (</w:t>
      </w:r>
      <w:r>
        <w:t>Faber et al., 2012)</w:t>
      </w:r>
      <w:r>
        <w:t xml:space="preserve">. This lecture was set in a more ‘lecture-hall’ environment, where KB was based at the front of the class with a PowerPoint, and students were seated facing them. </w:t>
      </w:r>
    </w:p>
    <w:p w14:paraId="1C3DA2EA" w14:textId="788158EE" w:rsidR="00EA2979" w:rsidRDefault="00770608" w:rsidP="00EA2979">
      <w:pPr>
        <w:spacing w:line="360" w:lineRule="auto"/>
      </w:pPr>
      <w:r>
        <w:t>At the beginning of the lecture, KB reminded students of a self-directed study task they had set the students the week prior. Students were selected at random to tell the class of their thoughts and findings of the topic given to them – it is important to note that this task was not crucial for the module but rather to encourage students to develop a deeper understanding of the upcoming areas by means of independent research. Students were not expected to produce physical work, but instead to inform KB of what area they decided to research and their thoughts on that topic; further work and research such as identifying which format they wish to submit for this module was encouraged but not mandatory.</w:t>
      </w:r>
      <w:r w:rsidR="00241025">
        <w:t xml:space="preserve"> In doing this, KB is utilising a formative type of assessment, which is typically used to analyse</w:t>
      </w:r>
      <w:r w:rsidR="000F538D">
        <w:t xml:space="preserve"> student engagement and how the learning is progressing. It can also indicate to students their level of understanding of the module. Black </w:t>
      </w:r>
      <w:r w:rsidR="001C2863">
        <w:t>&amp; William (2012</w:t>
      </w:r>
      <w:r w:rsidR="000F538D">
        <w:t xml:space="preserve">) categorises formative assessment into three “modes”, Mode 1 which diagnoses the success of learning within the class, Mode 2 which highlights each student who hasn’t attained the intended learning, and </w:t>
      </w:r>
      <w:r w:rsidR="000F538D">
        <w:lastRenderedPageBreak/>
        <w:t>Mode 3 which allows further investigation of why said student hasn’t obtained suffice knowledge and understanding of the topic. KB demonstrated understanding of Mode 1 and 2, and briefly touched upon Mode 3 but did not exercise that mode in its entirety during this lecture.  In</w:t>
      </w:r>
      <w:r w:rsidR="002F4AFF">
        <w:t xml:space="preserve"> randomly selecting students to question their findings, KB establishes a fair result of the success in the intended learning within the class as a whole, which shows use of Mode 1 in the formative assessment trio. KB expanded on this by being supportive of students’ ideas and research results, and also responding with ‘yes and’ type questions to inspire students to think further and develop their research. The random selection also helped KB identify which students had not attained the intended learning, which comes under Mode 2</w:t>
      </w:r>
      <w:r w:rsidR="00E172FC">
        <w:t>. Despite students either not completing the task or not understanding the task, KB was not critical of them, and encouraged those who had even a brief idea relating to the task to continue their research and think further. Mode 3 was not fully utilised as the lecturer did not question nor identify why each student did not complete or understand the task, however KB did remind the class of the importance of completing the self-directed study tasks by listing the benefits it can provide to their module submission. Arguably, this could be used as an additional</w:t>
      </w:r>
      <w:r w:rsidR="009E3C88">
        <w:t xml:space="preserve"> step in the formative assessment process as it solidifies to students the reason why these tasks are giving, which can encourage students to reflect on their engagement and performance, resulting in students self-assessing. </w:t>
      </w:r>
      <w:r w:rsidR="00FF2E0F">
        <w:t>This also demonstrates positive learning behaviours</w:t>
      </w:r>
      <w:r w:rsidR="00EA2979">
        <w:t xml:space="preserve"> </w:t>
      </w:r>
      <w:r w:rsidR="00EA2979">
        <w:t>(Chang &amp; Hwang, 2023)</w:t>
      </w:r>
      <w:r w:rsidR="00FF2E0F">
        <w:t xml:space="preserve"> as KB has exhibited care in their relationships with students and has taught this topic with clarity of purpose and motivation.</w:t>
      </w:r>
    </w:p>
    <w:p w14:paraId="32ABB21C" w14:textId="37787C92" w:rsidR="00FF2E0F" w:rsidRDefault="00770608" w:rsidP="00EA2979">
      <w:pPr>
        <w:spacing w:line="360" w:lineRule="auto"/>
      </w:pPr>
      <w:r>
        <w:t xml:space="preserve">KB combined a variety of teaching strategies in this lecture, all of which benefitted each other; as the learning outcome was to convey knowledge and understanding of the topic, KB used lecture, question and answer, case study, project/assignment, and individual learning. This lecturer used a simple PowerPoint presentation with visuals and little text as not to overload students with information. KB then works off simple bullet points provided and expands on </w:t>
      </w:r>
      <w:r w:rsidR="00FF2E0F">
        <w:t>them and informs students of where they can find provided quotes, encouraging them to do further research in their own time, which comes under the project/assignment strategy, as it gives students work to be completed whether through physical work or verbal research. The question and answer strategy was used in both directions – KB asking questions to the class</w:t>
      </w:r>
      <w:r w:rsidR="00B902ED">
        <w:t xml:space="preserve">, </w:t>
      </w:r>
      <w:r w:rsidR="00FF2E0F">
        <w:t>encouraging answers</w:t>
      </w:r>
      <w:r w:rsidR="00B902ED">
        <w:t xml:space="preserve">, </w:t>
      </w:r>
      <w:r w:rsidR="00FF2E0F">
        <w:t xml:space="preserve">allowing questions from </w:t>
      </w:r>
      <w:r w:rsidR="00B902ED">
        <w:t>students,</w:t>
      </w:r>
      <w:r w:rsidR="00FF2E0F">
        <w:t xml:space="preserve"> and answering them. KB informed students of all options available for them to complete and submit this module, and even provided case studies for them to note. In this lecture, KB provided a music video as an example of what could be submitted and instructed students to make notes on its meaning and pointed them in the direction of what they should be looking for, which were what fear does the music video comment on, and who do the ‘monsters’ represent. These strategies result in the learning outcome of imparting knowledge and understanding.</w:t>
      </w:r>
      <w:r w:rsidR="00105B65">
        <w:t xml:space="preserve"> </w:t>
      </w:r>
    </w:p>
    <w:p w14:paraId="4FAF9D51" w14:textId="09D42B05" w:rsidR="00EA2979" w:rsidRDefault="00FF2E0F" w:rsidP="00EA2979">
      <w:pPr>
        <w:spacing w:line="360" w:lineRule="auto"/>
      </w:pPr>
      <w:r>
        <w:lastRenderedPageBreak/>
        <w:t>It should also be noted that KB only warned students of flashing images in the music video as it was playing and said flashing images were about to occur.</w:t>
      </w:r>
      <w:r w:rsidR="00A56A90">
        <w:t xml:space="preserve"> This compromises the Higher Education Professional Standards Framework</w:t>
      </w:r>
      <w:r w:rsidR="00F67A61">
        <w:t xml:space="preserve"> (</w:t>
      </w:r>
      <w:proofErr w:type="spellStart"/>
      <w:r w:rsidR="00F67A61">
        <w:t>AdvanceHE</w:t>
      </w:r>
      <w:proofErr w:type="spellEnd"/>
      <w:r w:rsidR="00F67A61">
        <w:t>, 2023)</w:t>
      </w:r>
      <w:r w:rsidR="00A56A90">
        <w:t xml:space="preserve"> as KB had debatably not promoted “equity of opportunity for all to reach their potential” by not providing an alternative case study for any students that have epilepsy or any other ailment that may restrict them from watching said music video. However, KB had displayed Core knowledge by appropriate use of digital technology and resources for learning, as well as Areas of Activity by assessing and providing feedback to students who analysed the music video.</w:t>
      </w:r>
    </w:p>
    <w:p w14:paraId="259751EE" w14:textId="03DF7E02" w:rsidR="00105B65" w:rsidRPr="00EA2979" w:rsidRDefault="00105B65" w:rsidP="00EA2979">
      <w:pPr>
        <w:spacing w:line="360" w:lineRule="auto"/>
        <w:rPr>
          <w:sz w:val="28"/>
          <w:szCs w:val="28"/>
          <w:u w:val="single"/>
        </w:rPr>
      </w:pPr>
      <w:r w:rsidRPr="00EA2979">
        <w:rPr>
          <w:sz w:val="28"/>
          <w:szCs w:val="28"/>
          <w:u w:val="single"/>
        </w:rPr>
        <w:t xml:space="preserve">TW </w:t>
      </w:r>
    </w:p>
    <w:p w14:paraId="3BF04344" w14:textId="2FF1CCCC" w:rsidR="003A4201" w:rsidRDefault="00105B65" w:rsidP="00EA2979">
      <w:pPr>
        <w:spacing w:line="360" w:lineRule="auto"/>
      </w:pPr>
      <w:r>
        <w:t xml:space="preserve">TW held a two hour workshop </w:t>
      </w:r>
      <w:r w:rsidR="004913CE">
        <w:t xml:space="preserve">to level 5 (second year) students </w:t>
      </w:r>
      <w:r>
        <w:t xml:space="preserve">which gives </w:t>
      </w:r>
      <w:r w:rsidR="004913CE">
        <w:t>them</w:t>
      </w:r>
      <w:r>
        <w:t xml:space="preserve"> the opportunity to practice and gain experience with handling film equipment, and to practice applying ideas and scripts to practical work.</w:t>
      </w:r>
      <w:r w:rsidR="004913CE">
        <w:t xml:space="preserve"> This lecture was held in a typical classroom with around 15 students all sat facing TW and the board where the PowerPoint was being presented. This PowerPoint had readable fonts, written in lower case letters, large headings, left align text, short sentences, and simple clear language, all of which the British Dyslexia Association (2023) state create a “dyslexia friendly” environment. However, white text was used on a black background, which does not come under the Association’s “dyslexia friendly” list.</w:t>
      </w:r>
    </w:p>
    <w:p w14:paraId="085731E6" w14:textId="6A4A7F2E" w:rsidR="003A4201" w:rsidRDefault="003A4201" w:rsidP="00EA2979">
      <w:pPr>
        <w:spacing w:line="360" w:lineRule="auto"/>
      </w:pPr>
      <w:proofErr w:type="spellStart"/>
      <w:r>
        <w:t>Llorens</w:t>
      </w:r>
      <w:proofErr w:type="spellEnd"/>
      <w:r>
        <w:t xml:space="preserve">, Schaufeli, Bakker, and </w:t>
      </w:r>
      <w:proofErr w:type="spellStart"/>
      <w:r>
        <w:t>Salanova</w:t>
      </w:r>
      <w:proofErr w:type="spellEnd"/>
      <w:r>
        <w:t xml:space="preserve"> (2007)</w:t>
      </w:r>
      <w:r>
        <w:t xml:space="preserve"> found that learners who considered themselves to have the personal resources to complete a task saw a growth in self-efficacy and engagement.</w:t>
      </w:r>
      <w:r w:rsidR="00B902ED">
        <w:t xml:space="preserve"> TW provides students with the opportunity to develop the personal resources needed for growth by encouraging self-reflection, they allow the students to talk through their ideas and thought process, then ask them open questions which provoke further thought on the topic. They also explained the process of filming, for example the language used and when to turn lights off to preserve battery, then connected this to working life within the industry so students are aware of what is expected. When students believe exercises to be useful, they’re more likely to repeat it with due attention</w:t>
      </w:r>
      <w:r w:rsidR="00B902ED" w:rsidRPr="00B902ED">
        <w:t xml:space="preserve"> </w:t>
      </w:r>
      <w:r w:rsidR="00B902ED">
        <w:t>(Gilbert et al., 2017)</w:t>
      </w:r>
      <w:r w:rsidR="00B902ED">
        <w:t>, which adds to their confidence and personal resources, increasing effort.</w:t>
      </w:r>
    </w:p>
    <w:p w14:paraId="5E0BBA42" w14:textId="46FDF615" w:rsidR="00EA2979" w:rsidRDefault="003A4201" w:rsidP="00EA2979">
      <w:pPr>
        <w:spacing w:line="360" w:lineRule="auto"/>
      </w:pPr>
      <w:r>
        <w:t xml:space="preserve">In order to enhance student engagement within an institution, </w:t>
      </w:r>
      <w:proofErr w:type="spellStart"/>
      <w:r>
        <w:t>Zepke</w:t>
      </w:r>
      <w:proofErr w:type="spellEnd"/>
      <w:r>
        <w:t xml:space="preserve"> &amp; Leach</w:t>
      </w:r>
      <w:r>
        <w:t xml:space="preserve"> (2</w:t>
      </w:r>
      <w:r>
        <w:t>010)</w:t>
      </w:r>
      <w:r>
        <w:t xml:space="preserve"> suggest that developing a connection with learners should be encouraged and this is best achieved by supporting collaboration on simulated real life settings and common problems. TW does this by allowing the students autonomy in their decision of what equipment to use in their emulation exercise. This requires thought and cooperation on which camera would be most efficient (for example, which camera works best with low light), if they will use artificial or natural lighting, and whether to use the </w:t>
      </w:r>
      <w:r>
        <w:lastRenderedPageBreak/>
        <w:t>greenscreen. TW allowed students to talk through their thought process and displayed encouragement, granting them autonomy in exploring their creativity and guiding them towards constructing these ideas towards physical media (film) through offering advice. It is important to note that TW did not change or dismiss any ideas from students but provided gentle input to inspire them to build on these ideas and consider various aspects of producing film in order to create what they envision. This approach is “active and collaborative, and fosters learning relationships between learners and with teacher” (</w:t>
      </w:r>
      <w:proofErr w:type="spellStart"/>
      <w:r>
        <w:t>Zepke</w:t>
      </w:r>
      <w:proofErr w:type="spellEnd"/>
      <w:r>
        <w:t xml:space="preserve"> &amp; Leach, 2010).</w:t>
      </w:r>
    </w:p>
    <w:p w14:paraId="1A962FFD" w14:textId="32F34C99" w:rsidR="00EA2979" w:rsidRDefault="00EA2979" w:rsidP="00EA2979">
      <w:pPr>
        <w:spacing w:line="360" w:lineRule="auto"/>
      </w:pPr>
      <w:r>
        <w:t xml:space="preserve">As level 5 students are at various stages of expertise in each specialism, TW individualised help and advice given to each student after discussing with them their ideas and thought processes. When considering The </w:t>
      </w:r>
      <w:r>
        <w:t>Zone</w:t>
      </w:r>
      <w:r>
        <w:t xml:space="preserve"> of Proximal Development </w:t>
      </w:r>
      <w:r>
        <w:t>(Cherry, 2023)</w:t>
      </w:r>
      <w:r>
        <w:t>, TW is taking on the role of the “more knowledgeable other”, as they were able to provide the students with guidance and instruction during their learning process. Cherry (2023) uses the term “scaffolding” which describes an educator who may ask a student “what they think should be done next, what their thought process was” – this was a core attitude during this lesson, as TW encouraged students to expand on their concepts. Immediately when the class started, this lecturer had split the class into two groups, one to film inside and one to film outside, and each group was then split into three smaller groups, resulting in six groups. TW had given the students an emulation exercise where students recreate the music video assigned to them. Before instructing students to choose the equipment and film, TW had the students discuss the task within their groups and decide on a desired outcome. This strategy also comes under “scaffolding” (Cherry, 2023).</w:t>
      </w:r>
      <w:r w:rsidR="00A72A15">
        <w:t xml:space="preserve"> In addition to this, having these students discuss a new concept delivered to them in smaller groups to then engage with that in the form of a task is another use of “scaffolding” within the Zone of Proximal Development.</w:t>
      </w:r>
    </w:p>
    <w:p w14:paraId="39247DF9" w14:textId="0969910E" w:rsidR="00A72A15" w:rsidRDefault="00A72A15" w:rsidP="00EA2979">
      <w:pPr>
        <w:spacing w:line="360" w:lineRule="auto"/>
        <w:rPr>
          <w:sz w:val="28"/>
          <w:szCs w:val="28"/>
          <w:u w:val="single"/>
        </w:rPr>
      </w:pPr>
      <w:r w:rsidRPr="00A72A15">
        <w:rPr>
          <w:sz w:val="28"/>
          <w:szCs w:val="28"/>
          <w:u w:val="single"/>
        </w:rPr>
        <w:t>Action Plan</w:t>
      </w:r>
    </w:p>
    <w:p w14:paraId="31EE83AE" w14:textId="2ECE7B40" w:rsidR="00A72A15" w:rsidRDefault="00A72A15" w:rsidP="00EA2979">
      <w:pPr>
        <w:spacing w:line="360" w:lineRule="auto"/>
      </w:pPr>
      <w:r>
        <w:t xml:space="preserve">In relation to the teaching I had observed from KB and TW, I will be using the best practice I had perceived and applying it to my goals to improve my own practice, using SMART targets. SMART stands for Specific, Measurable, Achievable, Realistic, and Time-bound </w:t>
      </w:r>
      <w:r>
        <w:t>(2023)</w:t>
      </w:r>
      <w:r>
        <w:t xml:space="preserve">. Indeed (2023) suggests either starting with smaller tasks or splitting my goals into smaller and more manageable tasks. This is to increase efficiency and incorporate well needed rest periods </w:t>
      </w:r>
      <w:r>
        <w:t>(Faber et al., 2012</w:t>
      </w:r>
      <w:r>
        <w:t>) to ensure mental fatigue does not impede on my path to success.</w:t>
      </w:r>
    </w:p>
    <w:p w14:paraId="425B1500" w14:textId="311E922C" w:rsidR="00F67A61" w:rsidRDefault="00F67A61" w:rsidP="00EA2979">
      <w:pPr>
        <w:spacing w:line="360" w:lineRule="auto"/>
      </w:pPr>
      <w:r>
        <w:t>My goal is to utilise Professional Values, which are the foundation of professional practice and reinforce all forms of Core Knowledge and Areas of Activity (</w:t>
      </w:r>
      <w:proofErr w:type="spellStart"/>
      <w:r>
        <w:t>AdvanceHE</w:t>
      </w:r>
      <w:proofErr w:type="spellEnd"/>
      <w:r>
        <w:t>, 2023), both of which I will also apply to my development as an educator.</w:t>
      </w:r>
    </w:p>
    <w:p w14:paraId="41B322DB" w14:textId="637EFBF3" w:rsidR="00F67A61" w:rsidRDefault="00F67A61" w:rsidP="00EA2979">
      <w:pPr>
        <w:spacing w:line="360" w:lineRule="auto"/>
        <w:rPr>
          <w:sz w:val="24"/>
          <w:szCs w:val="24"/>
          <w:u w:val="single"/>
        </w:rPr>
      </w:pPr>
      <w:r w:rsidRPr="00F67A61">
        <w:rPr>
          <w:sz w:val="24"/>
          <w:szCs w:val="24"/>
          <w:u w:val="single"/>
        </w:rPr>
        <w:lastRenderedPageBreak/>
        <w:t>Specific</w:t>
      </w:r>
    </w:p>
    <w:p w14:paraId="19947B23" w14:textId="7B50062A" w:rsidR="00F67A61" w:rsidRDefault="00F67A61" w:rsidP="00EA2979">
      <w:pPr>
        <w:spacing w:line="360" w:lineRule="auto"/>
      </w:pPr>
      <w:r>
        <w:t>To improve my practice, I will utilise section V2 of the Professional Values, which is to “promote engagement in learning and equity of opportunity for all to reach their potential” (</w:t>
      </w:r>
      <w:proofErr w:type="spellStart"/>
      <w:r>
        <w:t>AdvanceHE</w:t>
      </w:r>
      <w:proofErr w:type="spellEnd"/>
      <w:r>
        <w:t>, 2023). This was also employed by TW by giving students autonomy in various areas of their given task, but also individualising help to those who needed it, applying the Zone of Proximal Development (Cherry, 2023).</w:t>
      </w:r>
    </w:p>
    <w:p w14:paraId="6DC605FB" w14:textId="480970EB" w:rsidR="00F67A61" w:rsidRDefault="00F67A61" w:rsidP="00EA2979">
      <w:pPr>
        <w:spacing w:line="360" w:lineRule="auto"/>
        <w:rPr>
          <w:sz w:val="24"/>
          <w:szCs w:val="24"/>
          <w:u w:val="single"/>
        </w:rPr>
      </w:pPr>
      <w:r w:rsidRPr="00F67A61">
        <w:rPr>
          <w:sz w:val="24"/>
          <w:szCs w:val="24"/>
          <w:u w:val="single"/>
        </w:rPr>
        <w:t>Measurable</w:t>
      </w:r>
    </w:p>
    <w:p w14:paraId="6B77A6B5" w14:textId="605761C1" w:rsidR="00F67A61" w:rsidRDefault="00F67A61" w:rsidP="00EA2979">
      <w:pPr>
        <w:spacing w:line="360" w:lineRule="auto"/>
      </w:pPr>
      <w:r>
        <w:t xml:space="preserve">There are various assessment strategies which can be used to measure my success in developing my practice, after observing KB </w:t>
      </w:r>
      <w:r w:rsidR="00F86CBE">
        <w:t>assess</w:t>
      </w:r>
      <w:r>
        <w:t xml:space="preserve"> students using the 3-mode theory established by </w:t>
      </w:r>
      <w:r w:rsidR="001C2863">
        <w:t>Black &amp; William (2012</w:t>
      </w:r>
      <w:r>
        <w:t>)</w:t>
      </w:r>
      <w:r w:rsidR="00F86CBE">
        <w:t>,</w:t>
      </w:r>
      <w:r>
        <w:t xml:space="preserve"> I believe this is the most effective strategy as it guides the educator to individualise assessing students, therefore giving the opportunity to recognise weaknesses in my delivery and amend accordingly.</w:t>
      </w:r>
    </w:p>
    <w:p w14:paraId="57102C49" w14:textId="7A6BA960" w:rsidR="00F67A61" w:rsidRDefault="00F67A61" w:rsidP="00EA2979">
      <w:pPr>
        <w:spacing w:line="360" w:lineRule="auto"/>
        <w:rPr>
          <w:sz w:val="24"/>
          <w:szCs w:val="24"/>
          <w:u w:val="single"/>
        </w:rPr>
      </w:pPr>
      <w:r w:rsidRPr="00F67A61">
        <w:rPr>
          <w:sz w:val="24"/>
          <w:szCs w:val="24"/>
          <w:u w:val="single"/>
        </w:rPr>
        <w:t xml:space="preserve">Achievable </w:t>
      </w:r>
    </w:p>
    <w:p w14:paraId="0F4DC6CF" w14:textId="3D0BA222" w:rsidR="00F67A61" w:rsidRDefault="00F86CBE" w:rsidP="00EA2979">
      <w:pPr>
        <w:spacing w:line="360" w:lineRule="auto"/>
      </w:pPr>
      <w:r>
        <w:t>Promoting engagement does not come in one form, there are a variety of ways I can achieve this, and such a broad range of approaches means I can alternate and adjust my method accordingly. Various teaching strategies used by KB demonstrates encouraged engagement, such as the question and answer strategy. I believe that by using a variety of teaching strategies such as question and answer will allow students to engage at their own pace and therefore encourage active participations, whether it be through discussion of questions and answers or absorbing the discussion of others on the topic at hand.</w:t>
      </w:r>
    </w:p>
    <w:p w14:paraId="2039A67E" w14:textId="03CFF436" w:rsidR="00F86CBE" w:rsidRDefault="00F86CBE" w:rsidP="00EA2979">
      <w:pPr>
        <w:spacing w:line="360" w:lineRule="auto"/>
        <w:rPr>
          <w:sz w:val="24"/>
          <w:szCs w:val="24"/>
          <w:u w:val="single"/>
        </w:rPr>
      </w:pPr>
      <w:r>
        <w:rPr>
          <w:sz w:val="24"/>
          <w:szCs w:val="24"/>
          <w:u w:val="single"/>
        </w:rPr>
        <w:t>Realistic</w:t>
      </w:r>
    </w:p>
    <w:p w14:paraId="5BD85F48" w14:textId="4E3C6362" w:rsidR="00F86CBE" w:rsidRDefault="00F86CBE" w:rsidP="00EA2979">
      <w:pPr>
        <w:spacing w:line="360" w:lineRule="auto"/>
      </w:pPr>
      <w:r>
        <w:t>My Specific, Measurable, and Achievable goals above cannot be Realistic without building a connection with students (</w:t>
      </w:r>
      <w:proofErr w:type="spellStart"/>
      <w:r>
        <w:t>Zepke</w:t>
      </w:r>
      <w:proofErr w:type="spellEnd"/>
      <w:r>
        <w:t xml:space="preserve"> </w:t>
      </w:r>
      <w:r>
        <w:t>&amp; Leach, 2010)</w:t>
      </w:r>
      <w:r>
        <w:t xml:space="preserve">. I will make the above realistic by dedicating time to apply knowledge of how learners learn, both generally and within specific subjects (K1, </w:t>
      </w:r>
      <w:proofErr w:type="spellStart"/>
      <w:r>
        <w:t>AdvanceHE</w:t>
      </w:r>
      <w:proofErr w:type="spellEnd"/>
      <w:r>
        <w:t xml:space="preserve">, 2023) and demonstrating that I support and guide learners (A4, </w:t>
      </w:r>
      <w:proofErr w:type="spellStart"/>
      <w:r>
        <w:t>AdvanceHE</w:t>
      </w:r>
      <w:proofErr w:type="spellEnd"/>
      <w:r>
        <w:t>, 2023). TW had utilised this by giving their students autonomy, boosting their confidence and faith within their skill which resulted in an increase in engagement in their lessons.</w:t>
      </w:r>
    </w:p>
    <w:p w14:paraId="7DBD84DC" w14:textId="43DE00E1" w:rsidR="00F86CBE" w:rsidRDefault="00F86CBE" w:rsidP="00EA2979">
      <w:pPr>
        <w:spacing w:line="360" w:lineRule="auto"/>
        <w:rPr>
          <w:sz w:val="24"/>
          <w:szCs w:val="24"/>
          <w:u w:val="single"/>
        </w:rPr>
      </w:pPr>
      <w:r>
        <w:rPr>
          <w:sz w:val="24"/>
          <w:szCs w:val="24"/>
          <w:u w:val="single"/>
        </w:rPr>
        <w:t>Time-bound</w:t>
      </w:r>
    </w:p>
    <w:p w14:paraId="36D47E66" w14:textId="79996242" w:rsidR="00F86CBE" w:rsidRDefault="00F86CBE" w:rsidP="00EA2979">
      <w:pPr>
        <w:spacing w:line="360" w:lineRule="auto"/>
      </w:pPr>
      <w:r>
        <w:t xml:space="preserve">My action plan and goals can be continuously used throughout different classes and modules, but it is best to measure the success of these goals by applying a deadline of the end of each module. By </w:t>
      </w:r>
      <w:r>
        <w:lastRenderedPageBreak/>
        <w:t>doing this, I can compare student engagement and performance at the beginning and the end of the module and use the results to reflect upon my own performance as an educator. This allows me to amend my plan and goals to improve the weaker areas and reuse it on the next module where I can repeat the same process of comparing engagement throughout. This can continue on in a “trial and error” approach, where I will be testing my theories and plans on each module until I develop an action plan which is proven to be effective in improving student engagement.</w:t>
      </w:r>
    </w:p>
    <w:p w14:paraId="0C5B7797" w14:textId="2C0787D7" w:rsidR="001C2863" w:rsidRDefault="001C2863" w:rsidP="00EA2979">
      <w:pPr>
        <w:spacing w:line="360" w:lineRule="auto"/>
      </w:pPr>
    </w:p>
    <w:p w14:paraId="37F30E7C" w14:textId="027F7A8D" w:rsidR="001C2863" w:rsidRDefault="001C2863" w:rsidP="00EA2979">
      <w:pPr>
        <w:spacing w:line="360" w:lineRule="auto"/>
      </w:pPr>
    </w:p>
    <w:p w14:paraId="6F8D1BFB" w14:textId="13776533" w:rsidR="001C2863" w:rsidRDefault="001C2863" w:rsidP="00EA2979">
      <w:pPr>
        <w:spacing w:line="360" w:lineRule="auto"/>
      </w:pPr>
    </w:p>
    <w:p w14:paraId="6672070E" w14:textId="3F858066" w:rsidR="001C2863" w:rsidRDefault="001C2863" w:rsidP="00EA2979">
      <w:pPr>
        <w:spacing w:line="360" w:lineRule="auto"/>
      </w:pPr>
    </w:p>
    <w:p w14:paraId="7F9B9A80" w14:textId="0F830B5A" w:rsidR="001C2863" w:rsidRDefault="001C2863" w:rsidP="00EA2979">
      <w:pPr>
        <w:spacing w:line="360" w:lineRule="auto"/>
      </w:pPr>
    </w:p>
    <w:p w14:paraId="31573012" w14:textId="78DBFB1A" w:rsidR="001C2863" w:rsidRDefault="001C2863" w:rsidP="00EA2979">
      <w:pPr>
        <w:spacing w:line="360" w:lineRule="auto"/>
      </w:pPr>
    </w:p>
    <w:p w14:paraId="2A3D091C" w14:textId="029349F9" w:rsidR="001C2863" w:rsidRDefault="001C2863" w:rsidP="00EA2979">
      <w:pPr>
        <w:spacing w:line="360" w:lineRule="auto"/>
      </w:pPr>
    </w:p>
    <w:p w14:paraId="67897DEB" w14:textId="20B07D83" w:rsidR="001C2863" w:rsidRDefault="001C2863" w:rsidP="00EA2979">
      <w:pPr>
        <w:spacing w:line="360" w:lineRule="auto"/>
      </w:pPr>
    </w:p>
    <w:p w14:paraId="2DCBCC9A" w14:textId="7E750AC1" w:rsidR="001C2863" w:rsidRDefault="001C2863" w:rsidP="00EA2979">
      <w:pPr>
        <w:spacing w:line="360" w:lineRule="auto"/>
      </w:pPr>
    </w:p>
    <w:p w14:paraId="6B2A9402" w14:textId="5B7D0158" w:rsidR="001C2863" w:rsidRDefault="001C2863" w:rsidP="00EA2979">
      <w:pPr>
        <w:spacing w:line="360" w:lineRule="auto"/>
      </w:pPr>
    </w:p>
    <w:p w14:paraId="65A9671B" w14:textId="2EE5645B" w:rsidR="001C2863" w:rsidRDefault="001C2863" w:rsidP="00EA2979">
      <w:pPr>
        <w:spacing w:line="360" w:lineRule="auto"/>
      </w:pPr>
    </w:p>
    <w:p w14:paraId="3147BFF7" w14:textId="289C3675" w:rsidR="001C2863" w:rsidRDefault="001C2863" w:rsidP="00EA2979">
      <w:pPr>
        <w:spacing w:line="360" w:lineRule="auto"/>
      </w:pPr>
    </w:p>
    <w:p w14:paraId="0BE1E42C" w14:textId="2B83246D" w:rsidR="001C2863" w:rsidRDefault="001C2863" w:rsidP="00EA2979">
      <w:pPr>
        <w:spacing w:line="360" w:lineRule="auto"/>
      </w:pPr>
    </w:p>
    <w:p w14:paraId="6119399F" w14:textId="1FC4624E" w:rsidR="00DF17A5" w:rsidRDefault="00DF17A5" w:rsidP="00EA2979">
      <w:pPr>
        <w:spacing w:line="360" w:lineRule="auto"/>
      </w:pPr>
    </w:p>
    <w:p w14:paraId="4BFC0022" w14:textId="1D9E023A" w:rsidR="00DF17A5" w:rsidRDefault="00DF17A5" w:rsidP="00EA2979">
      <w:pPr>
        <w:spacing w:line="360" w:lineRule="auto"/>
      </w:pPr>
    </w:p>
    <w:p w14:paraId="51C837CC" w14:textId="77777777" w:rsidR="00DF17A5" w:rsidRDefault="00DF17A5" w:rsidP="00EA2979">
      <w:pPr>
        <w:spacing w:line="360" w:lineRule="auto"/>
      </w:pPr>
    </w:p>
    <w:p w14:paraId="06C44315" w14:textId="324E3128" w:rsidR="001C2863" w:rsidRDefault="001C2863" w:rsidP="00EA2979">
      <w:pPr>
        <w:spacing w:line="360" w:lineRule="auto"/>
      </w:pPr>
    </w:p>
    <w:p w14:paraId="7CC08BAB" w14:textId="01BB0B8C" w:rsidR="001C2863" w:rsidRPr="003218A0" w:rsidRDefault="001C2863" w:rsidP="00EA2979">
      <w:pPr>
        <w:spacing w:line="360" w:lineRule="auto"/>
        <w:rPr>
          <w:i/>
          <w:iCs/>
        </w:rPr>
      </w:pPr>
    </w:p>
    <w:p w14:paraId="7FB6A70A" w14:textId="527F5DE3" w:rsidR="001C2863" w:rsidRPr="003218A0" w:rsidRDefault="003218A0" w:rsidP="00EA2979">
      <w:pPr>
        <w:spacing w:line="360" w:lineRule="auto"/>
        <w:rPr>
          <w:i/>
          <w:iCs/>
        </w:rPr>
      </w:pPr>
      <w:r w:rsidRPr="003218A0">
        <w:rPr>
          <w:i/>
          <w:iCs/>
        </w:rPr>
        <w:t>2345 words.</w:t>
      </w:r>
    </w:p>
    <w:p w14:paraId="49E6273D" w14:textId="40FD1DA7" w:rsidR="001C2863" w:rsidRPr="00966367" w:rsidRDefault="001C2863" w:rsidP="001C2863">
      <w:pPr>
        <w:rPr>
          <w:i/>
          <w:iCs/>
          <w:sz w:val="24"/>
          <w:szCs w:val="24"/>
          <w:u w:val="single"/>
        </w:rPr>
      </w:pPr>
      <w:r w:rsidRPr="00966367">
        <w:rPr>
          <w:i/>
          <w:iCs/>
          <w:sz w:val="24"/>
          <w:szCs w:val="24"/>
          <w:u w:val="single"/>
        </w:rPr>
        <w:lastRenderedPageBreak/>
        <w:t xml:space="preserve">References </w:t>
      </w:r>
    </w:p>
    <w:p w14:paraId="207C7650" w14:textId="77777777" w:rsidR="001C2863" w:rsidRPr="001C2863" w:rsidRDefault="001C2863" w:rsidP="001C2863">
      <w:pPr>
        <w:spacing w:line="240" w:lineRule="auto"/>
        <w:rPr>
          <w:rFonts w:cstheme="minorHAnsi"/>
        </w:rPr>
      </w:pPr>
      <w:proofErr w:type="spellStart"/>
      <w:r w:rsidRPr="001C2863">
        <w:rPr>
          <w:rFonts w:cstheme="minorHAnsi"/>
        </w:rPr>
        <w:t>AdvanceHE</w:t>
      </w:r>
      <w:proofErr w:type="spellEnd"/>
      <w:r w:rsidRPr="001C2863">
        <w:rPr>
          <w:rFonts w:cstheme="minorHAnsi"/>
        </w:rPr>
        <w:t xml:space="preserve"> (2023) </w:t>
      </w:r>
      <w:r w:rsidRPr="001C2863">
        <w:rPr>
          <w:rFonts w:cstheme="minorHAnsi"/>
          <w:i/>
          <w:iCs/>
        </w:rPr>
        <w:t xml:space="preserve">Professional Standards Framework for teaching and supporting learning in higher education 2023. </w:t>
      </w:r>
      <w:r w:rsidRPr="001C2863">
        <w:rPr>
          <w:rFonts w:cstheme="minorHAnsi"/>
        </w:rPr>
        <w:t>Available at: https://s3.eu-west-2.amazonaws.com/assets.creode.advancehe-document-manager/documents/advance-he/PSF%202023%20-%20Screen%20Reader%20Compatible%20-%20final_1675089549.pdf</w:t>
      </w:r>
      <w:r>
        <w:rPr>
          <w:rFonts w:cstheme="minorHAnsi"/>
        </w:rPr>
        <w:t xml:space="preserve"> </w:t>
      </w:r>
      <w:r w:rsidRPr="001C2863">
        <w:rPr>
          <w:rFonts w:cstheme="minorHAnsi"/>
        </w:rPr>
        <w:t>(Assessed: 15 November 2023).</w:t>
      </w:r>
    </w:p>
    <w:p w14:paraId="61D3A46A" w14:textId="77777777" w:rsidR="001C2863" w:rsidRPr="001C2863" w:rsidRDefault="001C2863" w:rsidP="001C2863">
      <w:pPr>
        <w:pStyle w:val="NormalWeb"/>
        <w:rPr>
          <w:rFonts w:asciiTheme="minorHAnsi" w:hAnsiTheme="minorHAnsi" w:cstheme="minorHAnsi"/>
          <w:sz w:val="22"/>
          <w:szCs w:val="22"/>
        </w:rPr>
      </w:pPr>
      <w:r w:rsidRPr="001C2863">
        <w:rPr>
          <w:rFonts w:asciiTheme="minorHAnsi" w:hAnsiTheme="minorHAnsi" w:cstheme="minorHAnsi"/>
          <w:sz w:val="22"/>
          <w:szCs w:val="22"/>
        </w:rPr>
        <w:t xml:space="preserve">Black, P. and </w:t>
      </w:r>
      <w:proofErr w:type="spellStart"/>
      <w:r w:rsidRPr="001C2863">
        <w:rPr>
          <w:rFonts w:asciiTheme="minorHAnsi" w:hAnsiTheme="minorHAnsi" w:cstheme="minorHAnsi"/>
          <w:sz w:val="22"/>
          <w:szCs w:val="22"/>
        </w:rPr>
        <w:t>Wiliam</w:t>
      </w:r>
      <w:proofErr w:type="spellEnd"/>
      <w:r w:rsidRPr="001C2863">
        <w:rPr>
          <w:rFonts w:asciiTheme="minorHAnsi" w:hAnsiTheme="minorHAnsi" w:cstheme="minorHAnsi"/>
          <w:sz w:val="22"/>
          <w:szCs w:val="22"/>
        </w:rPr>
        <w:t xml:space="preserve">, D. (2012) ‘Developing a theory of formative assessment’, </w:t>
      </w:r>
      <w:r w:rsidRPr="001C2863">
        <w:rPr>
          <w:rFonts w:asciiTheme="minorHAnsi" w:hAnsiTheme="minorHAnsi" w:cstheme="minorHAnsi"/>
          <w:i/>
          <w:iCs/>
          <w:sz w:val="22"/>
          <w:szCs w:val="22"/>
        </w:rPr>
        <w:t>Assessment and Learning</w:t>
      </w:r>
      <w:r w:rsidRPr="001C2863">
        <w:rPr>
          <w:rFonts w:asciiTheme="minorHAnsi" w:hAnsiTheme="minorHAnsi" w:cstheme="minorHAnsi"/>
          <w:sz w:val="22"/>
          <w:szCs w:val="22"/>
        </w:rPr>
        <w:t>, pp. 206–230.</w:t>
      </w:r>
    </w:p>
    <w:p w14:paraId="0F57700B" w14:textId="77777777" w:rsidR="001C2863" w:rsidRPr="001C2863" w:rsidRDefault="001C2863" w:rsidP="001C2863">
      <w:pPr>
        <w:pStyle w:val="NormalWeb"/>
        <w:rPr>
          <w:rFonts w:asciiTheme="minorHAnsi" w:hAnsiTheme="minorHAnsi" w:cstheme="minorHAnsi"/>
          <w:sz w:val="22"/>
          <w:szCs w:val="22"/>
        </w:rPr>
      </w:pPr>
      <w:r w:rsidRPr="001C2863">
        <w:rPr>
          <w:rFonts w:asciiTheme="minorHAnsi" w:hAnsiTheme="minorHAnsi" w:cstheme="minorHAnsi"/>
          <w:sz w:val="22"/>
          <w:szCs w:val="22"/>
        </w:rPr>
        <w:t xml:space="preserve">British Dyslexia Association (2023) </w:t>
      </w:r>
      <w:r w:rsidRPr="001C2863">
        <w:rPr>
          <w:rFonts w:asciiTheme="minorHAnsi" w:hAnsiTheme="minorHAnsi" w:cstheme="minorHAnsi"/>
          <w:i/>
          <w:iCs/>
          <w:sz w:val="22"/>
          <w:szCs w:val="22"/>
        </w:rPr>
        <w:t>Dyslexia friendly style guide</w:t>
      </w:r>
      <w:r w:rsidRPr="001C2863">
        <w:rPr>
          <w:rFonts w:asciiTheme="minorHAnsi" w:hAnsiTheme="minorHAnsi" w:cstheme="minorHAnsi"/>
          <w:sz w:val="22"/>
          <w:szCs w:val="22"/>
        </w:rPr>
        <w:t xml:space="preserve">, </w:t>
      </w:r>
      <w:r w:rsidRPr="001C2863">
        <w:rPr>
          <w:rFonts w:asciiTheme="minorHAnsi" w:hAnsiTheme="minorHAnsi" w:cstheme="minorHAnsi"/>
          <w:i/>
          <w:iCs/>
          <w:sz w:val="22"/>
          <w:szCs w:val="22"/>
        </w:rPr>
        <w:t>British Dyslexia Association</w:t>
      </w:r>
      <w:r w:rsidRPr="001C2863">
        <w:rPr>
          <w:rFonts w:asciiTheme="minorHAnsi" w:hAnsiTheme="minorHAnsi" w:cstheme="minorHAnsi"/>
          <w:sz w:val="22"/>
          <w:szCs w:val="22"/>
        </w:rPr>
        <w:t>. Available at: https://www.bdadyslexia.org.uk/advice/employers/creating-a-dyslexia-friendly-workplace/dyslexia-friendly-style-guide (Accessed: 16 November 2023).</w:t>
      </w:r>
    </w:p>
    <w:p w14:paraId="2872214D" w14:textId="77777777" w:rsidR="001C2863" w:rsidRPr="001C2863" w:rsidRDefault="001C2863" w:rsidP="001C2863">
      <w:pPr>
        <w:pStyle w:val="NormalWeb"/>
        <w:rPr>
          <w:rFonts w:asciiTheme="minorHAnsi" w:hAnsiTheme="minorHAnsi" w:cstheme="minorHAnsi"/>
          <w:sz w:val="22"/>
          <w:szCs w:val="22"/>
        </w:rPr>
      </w:pPr>
      <w:r w:rsidRPr="001C2863">
        <w:rPr>
          <w:rFonts w:asciiTheme="minorHAnsi" w:hAnsiTheme="minorHAnsi" w:cstheme="minorHAnsi"/>
          <w:sz w:val="22"/>
          <w:szCs w:val="22"/>
        </w:rPr>
        <w:t xml:space="preserve">Chang, C. and Hwang, G. (2023) ‘Elevating EFL learners’ professional English achievements and positive learning behaviours: A motivation model‐based digital gaming approach’, </w:t>
      </w:r>
      <w:r w:rsidRPr="001C2863">
        <w:rPr>
          <w:rFonts w:asciiTheme="minorHAnsi" w:hAnsiTheme="minorHAnsi" w:cstheme="minorHAnsi"/>
          <w:i/>
          <w:iCs/>
          <w:sz w:val="22"/>
          <w:szCs w:val="22"/>
        </w:rPr>
        <w:t>Journal of Computer Assisted Learning</w:t>
      </w:r>
      <w:r w:rsidRPr="001C2863">
        <w:rPr>
          <w:rFonts w:asciiTheme="minorHAnsi" w:hAnsiTheme="minorHAnsi" w:cstheme="minorHAnsi"/>
          <w:sz w:val="22"/>
          <w:szCs w:val="22"/>
        </w:rPr>
        <w:t xml:space="preserve"> [Preprint]. doi:10.1111/jcal.12876.</w:t>
      </w:r>
    </w:p>
    <w:p w14:paraId="3D744F81" w14:textId="77777777" w:rsidR="001C2863" w:rsidRPr="001C2863" w:rsidRDefault="001C2863" w:rsidP="001C2863">
      <w:pPr>
        <w:pStyle w:val="NormalWeb"/>
        <w:rPr>
          <w:rFonts w:asciiTheme="minorHAnsi" w:hAnsiTheme="minorHAnsi" w:cstheme="minorHAnsi"/>
          <w:sz w:val="22"/>
          <w:szCs w:val="22"/>
        </w:rPr>
      </w:pPr>
      <w:r w:rsidRPr="001C2863">
        <w:rPr>
          <w:rFonts w:asciiTheme="minorHAnsi" w:hAnsiTheme="minorHAnsi" w:cstheme="minorHAnsi"/>
          <w:sz w:val="22"/>
          <w:szCs w:val="22"/>
        </w:rPr>
        <w:t xml:space="preserve">Cherry, K. (2023) </w:t>
      </w:r>
      <w:r w:rsidRPr="001C2863">
        <w:rPr>
          <w:rFonts w:asciiTheme="minorHAnsi" w:hAnsiTheme="minorHAnsi" w:cstheme="minorHAnsi"/>
          <w:i/>
          <w:iCs/>
          <w:sz w:val="22"/>
          <w:szCs w:val="22"/>
        </w:rPr>
        <w:t>How Vygotsky defined the zone of proximal development</w:t>
      </w:r>
      <w:r w:rsidRPr="001C2863">
        <w:rPr>
          <w:rFonts w:asciiTheme="minorHAnsi" w:hAnsiTheme="minorHAnsi" w:cstheme="minorHAnsi"/>
          <w:sz w:val="22"/>
          <w:szCs w:val="22"/>
        </w:rPr>
        <w:t xml:space="preserve">, </w:t>
      </w:r>
      <w:proofErr w:type="spellStart"/>
      <w:r w:rsidRPr="001C2863">
        <w:rPr>
          <w:rFonts w:asciiTheme="minorHAnsi" w:hAnsiTheme="minorHAnsi" w:cstheme="minorHAnsi"/>
          <w:i/>
          <w:iCs/>
          <w:sz w:val="22"/>
          <w:szCs w:val="22"/>
        </w:rPr>
        <w:t>Verywell</w:t>
      </w:r>
      <w:proofErr w:type="spellEnd"/>
      <w:r w:rsidRPr="001C2863">
        <w:rPr>
          <w:rFonts w:asciiTheme="minorHAnsi" w:hAnsiTheme="minorHAnsi" w:cstheme="minorHAnsi"/>
          <w:i/>
          <w:iCs/>
          <w:sz w:val="22"/>
          <w:szCs w:val="22"/>
        </w:rPr>
        <w:t xml:space="preserve"> Mind</w:t>
      </w:r>
      <w:r w:rsidRPr="001C2863">
        <w:rPr>
          <w:rFonts w:asciiTheme="minorHAnsi" w:hAnsiTheme="minorHAnsi" w:cstheme="minorHAnsi"/>
          <w:sz w:val="22"/>
          <w:szCs w:val="22"/>
        </w:rPr>
        <w:t>. Available at: https://www.verywellmind.com/what-is-the-zone-of-proximal-development-2796034 (Accessed: 16 November 2023).</w:t>
      </w:r>
    </w:p>
    <w:p w14:paraId="321ADB1C" w14:textId="77777777" w:rsidR="001C2863" w:rsidRPr="001C2863" w:rsidRDefault="001C2863" w:rsidP="001C2863">
      <w:pPr>
        <w:pStyle w:val="NormalWeb"/>
        <w:rPr>
          <w:rFonts w:asciiTheme="minorHAnsi" w:hAnsiTheme="minorHAnsi" w:cstheme="minorHAnsi"/>
          <w:sz w:val="22"/>
          <w:szCs w:val="22"/>
        </w:rPr>
      </w:pPr>
      <w:r w:rsidRPr="001C2863">
        <w:rPr>
          <w:rFonts w:asciiTheme="minorHAnsi" w:hAnsiTheme="minorHAnsi" w:cstheme="minorHAnsi"/>
          <w:sz w:val="22"/>
          <w:szCs w:val="22"/>
        </w:rPr>
        <w:t xml:space="preserve">Faber, L.G., </w:t>
      </w:r>
      <w:proofErr w:type="spellStart"/>
      <w:r w:rsidRPr="001C2863">
        <w:rPr>
          <w:rFonts w:asciiTheme="minorHAnsi" w:hAnsiTheme="minorHAnsi" w:cstheme="minorHAnsi"/>
          <w:sz w:val="22"/>
          <w:szCs w:val="22"/>
        </w:rPr>
        <w:t>Maurits</w:t>
      </w:r>
      <w:proofErr w:type="spellEnd"/>
      <w:r w:rsidRPr="001C2863">
        <w:rPr>
          <w:rFonts w:asciiTheme="minorHAnsi" w:hAnsiTheme="minorHAnsi" w:cstheme="minorHAnsi"/>
          <w:sz w:val="22"/>
          <w:szCs w:val="22"/>
        </w:rPr>
        <w:t xml:space="preserve">, N.M. and </w:t>
      </w:r>
      <w:proofErr w:type="spellStart"/>
      <w:r w:rsidRPr="001C2863">
        <w:rPr>
          <w:rFonts w:asciiTheme="minorHAnsi" w:hAnsiTheme="minorHAnsi" w:cstheme="minorHAnsi"/>
          <w:sz w:val="22"/>
          <w:szCs w:val="22"/>
        </w:rPr>
        <w:t>Lorist</w:t>
      </w:r>
      <w:proofErr w:type="spellEnd"/>
      <w:r w:rsidRPr="001C2863">
        <w:rPr>
          <w:rFonts w:asciiTheme="minorHAnsi" w:hAnsiTheme="minorHAnsi" w:cstheme="minorHAnsi"/>
          <w:sz w:val="22"/>
          <w:szCs w:val="22"/>
        </w:rPr>
        <w:t xml:space="preserve">, M.M. (2012) </w:t>
      </w:r>
      <w:r w:rsidRPr="001C2863">
        <w:rPr>
          <w:rFonts w:asciiTheme="minorHAnsi" w:hAnsiTheme="minorHAnsi" w:cstheme="minorHAnsi"/>
          <w:i/>
          <w:iCs/>
          <w:sz w:val="22"/>
          <w:szCs w:val="22"/>
        </w:rPr>
        <w:t>Mental fatigue affects visual selective attention</w:t>
      </w:r>
      <w:r w:rsidRPr="001C2863">
        <w:rPr>
          <w:rFonts w:asciiTheme="minorHAnsi" w:hAnsiTheme="minorHAnsi" w:cstheme="minorHAnsi"/>
          <w:sz w:val="22"/>
          <w:szCs w:val="22"/>
        </w:rPr>
        <w:t xml:space="preserve">, </w:t>
      </w:r>
      <w:r w:rsidRPr="001C2863">
        <w:rPr>
          <w:rFonts w:asciiTheme="minorHAnsi" w:hAnsiTheme="minorHAnsi" w:cstheme="minorHAnsi"/>
          <w:i/>
          <w:iCs/>
          <w:sz w:val="22"/>
          <w:szCs w:val="22"/>
        </w:rPr>
        <w:t>PLOS ONE</w:t>
      </w:r>
      <w:r w:rsidRPr="001C2863">
        <w:rPr>
          <w:rFonts w:asciiTheme="minorHAnsi" w:hAnsiTheme="minorHAnsi" w:cstheme="minorHAnsi"/>
          <w:sz w:val="22"/>
          <w:szCs w:val="22"/>
        </w:rPr>
        <w:t>. Available at: https://journals.plos.org/plosone/article?id=10.1371%2Fjournal.pone.0048073 (Accessed: 11 November 2023).</w:t>
      </w:r>
    </w:p>
    <w:p w14:paraId="4B549371" w14:textId="77777777" w:rsidR="001C2863" w:rsidRPr="001C2863" w:rsidRDefault="001C2863" w:rsidP="001C2863">
      <w:pPr>
        <w:spacing w:line="240" w:lineRule="auto"/>
        <w:rPr>
          <w:rFonts w:eastAsia="Times New Roman" w:cstheme="minorHAnsi"/>
          <w:lang w:eastAsia="en-GB"/>
        </w:rPr>
      </w:pPr>
      <w:r w:rsidRPr="001C2863">
        <w:rPr>
          <w:rFonts w:eastAsia="Times New Roman" w:cstheme="minorHAnsi"/>
          <w:lang w:eastAsia="en-GB"/>
        </w:rPr>
        <w:t xml:space="preserve">Gilbert, E., </w:t>
      </w:r>
      <w:proofErr w:type="spellStart"/>
      <w:r w:rsidRPr="001C2863">
        <w:rPr>
          <w:rFonts w:eastAsia="Times New Roman" w:cstheme="minorHAnsi"/>
          <w:lang w:eastAsia="en-GB"/>
        </w:rPr>
        <w:t>Foulk</w:t>
      </w:r>
      <w:proofErr w:type="spellEnd"/>
      <w:r w:rsidRPr="001C2863">
        <w:rPr>
          <w:rFonts w:eastAsia="Times New Roman" w:cstheme="minorHAnsi"/>
          <w:lang w:eastAsia="en-GB"/>
        </w:rPr>
        <w:t xml:space="preserve">, T., &amp; Bono, J. (2018). Building personal resources through interventions: An integrative review. </w:t>
      </w:r>
      <w:r w:rsidRPr="001C2863">
        <w:rPr>
          <w:rFonts w:eastAsia="Times New Roman" w:cstheme="minorHAnsi"/>
          <w:i/>
          <w:iCs/>
          <w:lang w:eastAsia="en-GB"/>
        </w:rPr>
        <w:t xml:space="preserve">Journal of Organizational </w:t>
      </w:r>
      <w:proofErr w:type="spellStart"/>
      <w:r w:rsidRPr="001C2863">
        <w:rPr>
          <w:rFonts w:eastAsia="Times New Roman" w:cstheme="minorHAnsi"/>
          <w:i/>
          <w:iCs/>
          <w:lang w:eastAsia="en-GB"/>
        </w:rPr>
        <w:t>Behavior</w:t>
      </w:r>
      <w:proofErr w:type="spellEnd"/>
      <w:r w:rsidRPr="001C2863">
        <w:rPr>
          <w:rFonts w:eastAsia="Times New Roman" w:cstheme="minorHAnsi"/>
          <w:lang w:eastAsia="en-GB"/>
        </w:rPr>
        <w:t xml:space="preserve">, </w:t>
      </w:r>
      <w:r w:rsidRPr="001C2863">
        <w:rPr>
          <w:rFonts w:eastAsia="Times New Roman" w:cstheme="minorHAnsi"/>
          <w:i/>
          <w:iCs/>
          <w:lang w:eastAsia="en-GB"/>
        </w:rPr>
        <w:t>39</w:t>
      </w:r>
      <w:r w:rsidRPr="001C2863">
        <w:rPr>
          <w:rFonts w:eastAsia="Times New Roman" w:cstheme="minorHAnsi"/>
          <w:lang w:eastAsia="en-GB"/>
        </w:rPr>
        <w:t>(2), 214–228. https://doi.org/10.1002/job.2198</w:t>
      </w:r>
    </w:p>
    <w:p w14:paraId="06A940D4" w14:textId="77777777" w:rsidR="001C2863" w:rsidRPr="001C2863" w:rsidRDefault="001C2863" w:rsidP="001C2863">
      <w:pPr>
        <w:pStyle w:val="NormalWeb"/>
        <w:rPr>
          <w:rFonts w:asciiTheme="minorHAnsi" w:hAnsiTheme="minorHAnsi" w:cstheme="minorHAnsi"/>
          <w:sz w:val="22"/>
          <w:szCs w:val="22"/>
        </w:rPr>
      </w:pPr>
      <w:r w:rsidRPr="001C2863">
        <w:rPr>
          <w:rFonts w:asciiTheme="minorHAnsi" w:hAnsiTheme="minorHAnsi" w:cstheme="minorHAnsi"/>
          <w:i/>
          <w:iCs/>
          <w:sz w:val="22"/>
          <w:szCs w:val="22"/>
        </w:rPr>
        <w:t>How to write smart goals in 6 steps (with tips and examples)</w:t>
      </w:r>
      <w:r w:rsidRPr="001C2863">
        <w:rPr>
          <w:rFonts w:asciiTheme="minorHAnsi" w:hAnsiTheme="minorHAnsi" w:cstheme="minorHAnsi"/>
          <w:sz w:val="22"/>
          <w:szCs w:val="22"/>
        </w:rPr>
        <w:t xml:space="preserve"> (2023) </w:t>
      </w:r>
      <w:r w:rsidRPr="001C2863">
        <w:rPr>
          <w:rFonts w:asciiTheme="minorHAnsi" w:hAnsiTheme="minorHAnsi" w:cstheme="minorHAnsi"/>
          <w:i/>
          <w:iCs/>
          <w:sz w:val="22"/>
          <w:szCs w:val="22"/>
        </w:rPr>
        <w:t>Indeed</w:t>
      </w:r>
      <w:r w:rsidRPr="001C2863">
        <w:rPr>
          <w:rFonts w:asciiTheme="minorHAnsi" w:hAnsiTheme="minorHAnsi" w:cstheme="minorHAnsi"/>
          <w:sz w:val="22"/>
          <w:szCs w:val="22"/>
        </w:rPr>
        <w:t>. Available at: https://uk.indeed.com/career-advice/career-development/how-to-write-smart-goals (Accessed: 16 November 2023).</w:t>
      </w:r>
    </w:p>
    <w:p w14:paraId="2628B246" w14:textId="77777777" w:rsidR="001C2863" w:rsidRPr="001C2863" w:rsidRDefault="001C2863" w:rsidP="001C2863">
      <w:pPr>
        <w:spacing w:line="240" w:lineRule="auto"/>
        <w:rPr>
          <w:rFonts w:cstheme="minorHAnsi"/>
        </w:rPr>
      </w:pPr>
      <w:proofErr w:type="spellStart"/>
      <w:r w:rsidRPr="001C2863">
        <w:rPr>
          <w:rFonts w:cstheme="minorHAnsi"/>
        </w:rPr>
        <w:t>Llorens</w:t>
      </w:r>
      <w:proofErr w:type="spellEnd"/>
      <w:r w:rsidRPr="001C2863">
        <w:rPr>
          <w:rFonts w:cstheme="minorHAnsi"/>
        </w:rPr>
        <w:t xml:space="preserve">, S., Schaufeli, W., Bakker, A., &amp; </w:t>
      </w:r>
      <w:proofErr w:type="spellStart"/>
      <w:r w:rsidRPr="001C2863">
        <w:rPr>
          <w:rFonts w:cstheme="minorHAnsi"/>
        </w:rPr>
        <w:t>Salanova</w:t>
      </w:r>
      <w:proofErr w:type="spellEnd"/>
      <w:r w:rsidRPr="001C2863">
        <w:rPr>
          <w:rFonts w:cstheme="minorHAnsi"/>
        </w:rPr>
        <w:t xml:space="preserve">, M. (2007). Does a positive gain spiral of resources, efficacy beliefs and engagement exist? Computers in Human </w:t>
      </w:r>
      <w:proofErr w:type="spellStart"/>
      <w:r w:rsidRPr="001C2863">
        <w:rPr>
          <w:rFonts w:cstheme="minorHAnsi"/>
        </w:rPr>
        <w:t>Behavior</w:t>
      </w:r>
      <w:proofErr w:type="spellEnd"/>
      <w:r w:rsidRPr="001C2863">
        <w:rPr>
          <w:rFonts w:cstheme="minorHAnsi"/>
        </w:rPr>
        <w:t>, 23, 825–841.</w:t>
      </w:r>
    </w:p>
    <w:p w14:paraId="024BF62F" w14:textId="77777777" w:rsidR="001C2863" w:rsidRPr="001C2863" w:rsidRDefault="001C2863" w:rsidP="001C2863">
      <w:pPr>
        <w:pStyle w:val="NormalWeb"/>
        <w:rPr>
          <w:rFonts w:asciiTheme="minorHAnsi" w:hAnsiTheme="minorHAnsi" w:cstheme="minorHAnsi"/>
          <w:sz w:val="22"/>
          <w:szCs w:val="22"/>
        </w:rPr>
      </w:pPr>
      <w:proofErr w:type="spellStart"/>
      <w:r w:rsidRPr="001C2863">
        <w:rPr>
          <w:rFonts w:asciiTheme="minorHAnsi" w:hAnsiTheme="minorHAnsi" w:cstheme="minorHAnsi"/>
          <w:sz w:val="22"/>
          <w:szCs w:val="22"/>
        </w:rPr>
        <w:t>Zepke</w:t>
      </w:r>
      <w:proofErr w:type="spellEnd"/>
      <w:r w:rsidRPr="001C2863">
        <w:rPr>
          <w:rFonts w:asciiTheme="minorHAnsi" w:hAnsiTheme="minorHAnsi" w:cstheme="minorHAnsi"/>
          <w:sz w:val="22"/>
          <w:szCs w:val="22"/>
        </w:rPr>
        <w:t xml:space="preserve">, N. and Leach, L. (2010) </w:t>
      </w:r>
      <w:r w:rsidRPr="001C2863">
        <w:rPr>
          <w:rFonts w:asciiTheme="minorHAnsi" w:hAnsiTheme="minorHAnsi" w:cstheme="minorHAnsi"/>
          <w:i/>
          <w:iCs/>
          <w:sz w:val="22"/>
          <w:szCs w:val="22"/>
        </w:rPr>
        <w:t>Improving Student Engagement in Post-compulsory Education: A Synthesis of Research Literature</w:t>
      </w:r>
      <w:r w:rsidRPr="001C2863">
        <w:rPr>
          <w:rFonts w:asciiTheme="minorHAnsi" w:hAnsiTheme="minorHAnsi" w:cstheme="minorHAnsi"/>
          <w:sz w:val="22"/>
          <w:szCs w:val="22"/>
        </w:rPr>
        <w:t xml:space="preserve">, </w:t>
      </w:r>
      <w:r w:rsidRPr="001C2863">
        <w:rPr>
          <w:rFonts w:asciiTheme="minorHAnsi" w:hAnsiTheme="minorHAnsi" w:cstheme="minorHAnsi"/>
          <w:i/>
          <w:iCs/>
          <w:sz w:val="22"/>
          <w:szCs w:val="22"/>
        </w:rPr>
        <w:t>Teaching &amp; Learning Research Initiative</w:t>
      </w:r>
      <w:r w:rsidRPr="001C2863">
        <w:rPr>
          <w:rFonts w:asciiTheme="minorHAnsi" w:hAnsiTheme="minorHAnsi" w:cstheme="minorHAnsi"/>
          <w:sz w:val="22"/>
          <w:szCs w:val="22"/>
        </w:rPr>
        <w:t>. Available at: http://test.tlri.org.nz/sites/default/files/projects/9261-Literature-review.pdf (Accessed: 14 November 2023).</w:t>
      </w:r>
    </w:p>
    <w:p w14:paraId="4C4A7BA9" w14:textId="7B41A7FA" w:rsidR="001C2863" w:rsidRDefault="001C2863" w:rsidP="00EA2979">
      <w:pPr>
        <w:spacing w:line="360" w:lineRule="auto"/>
      </w:pPr>
    </w:p>
    <w:p w14:paraId="20D60BD9" w14:textId="4E913835" w:rsidR="003218A0" w:rsidRDefault="003218A0" w:rsidP="00EA2979">
      <w:pPr>
        <w:spacing w:line="360" w:lineRule="auto"/>
      </w:pPr>
    </w:p>
    <w:p w14:paraId="342621D2" w14:textId="35EC4397" w:rsidR="003218A0" w:rsidRDefault="003218A0" w:rsidP="00EA2979">
      <w:pPr>
        <w:spacing w:line="360" w:lineRule="auto"/>
      </w:pPr>
    </w:p>
    <w:p w14:paraId="7CA8A21B" w14:textId="6B252B7B" w:rsidR="00966367" w:rsidRPr="00966367" w:rsidRDefault="00966367" w:rsidP="003218A0">
      <w:pPr>
        <w:pStyle w:val="Heading2"/>
        <w:rPr>
          <w:b w:val="0"/>
          <w:bCs w:val="0"/>
          <w:i/>
          <w:iCs/>
          <w:color w:val="000000" w:themeColor="text1"/>
          <w:sz w:val="28"/>
          <w:szCs w:val="28"/>
          <w:u w:val="single"/>
        </w:rPr>
      </w:pPr>
      <w:bookmarkStart w:id="0" w:name="_Toc48127143"/>
      <w:r w:rsidRPr="00E508A4">
        <w:rPr>
          <w:rFonts w:asciiTheme="minorHAnsi" w:hAnsiTheme="minorHAnsi" w:cstheme="minorHAnsi"/>
          <w:b w:val="0"/>
          <w:bCs w:val="0"/>
          <w:i/>
          <w:iCs/>
          <w:color w:val="000000" w:themeColor="text1"/>
          <w:sz w:val="28"/>
          <w:szCs w:val="28"/>
          <w:u w:val="single"/>
        </w:rPr>
        <w:lastRenderedPageBreak/>
        <w:t>Appendices</w:t>
      </w:r>
    </w:p>
    <w:p w14:paraId="7B0D579E" w14:textId="35A456F4" w:rsidR="003218A0" w:rsidRPr="00AA4407" w:rsidRDefault="003218A0" w:rsidP="003218A0">
      <w:pPr>
        <w:pStyle w:val="Heading2"/>
        <w:rPr>
          <w:i/>
          <w:iCs/>
        </w:rPr>
      </w:pPr>
      <w:r w:rsidRPr="1B5D5813">
        <w:t>Teacher Observation Form</w:t>
      </w:r>
      <w:bookmarkEnd w:id="0"/>
      <w:r w:rsidRPr="1B5D5813">
        <w:t xml:space="preserve"> </w:t>
      </w:r>
    </w:p>
    <w:p w14:paraId="49E75005" w14:textId="77777777" w:rsidR="003218A0" w:rsidRPr="00C71C2F" w:rsidRDefault="003218A0" w:rsidP="003218A0">
      <w:pPr>
        <w:rPr>
          <w:rFonts w:ascii="Calibri" w:hAnsi="Calibri" w:cs="Calibri"/>
          <w:b/>
          <w:sz w:val="18"/>
          <w:szCs w:val="18"/>
        </w:rPr>
      </w:pPr>
    </w:p>
    <w:p w14:paraId="49F5A0F7" w14:textId="77777777" w:rsidR="003218A0" w:rsidRPr="00D57B13" w:rsidRDefault="003218A0" w:rsidP="003218A0">
      <w:pPr>
        <w:jc w:val="center"/>
      </w:pPr>
      <w:r w:rsidRPr="00D57B13">
        <w:rPr>
          <w:noProof/>
          <w:lang w:eastAsia="en-GB"/>
        </w:rPr>
        <w:drawing>
          <wp:inline distT="0" distB="0" distL="0" distR="0" wp14:anchorId="2B27C705" wp14:editId="300AE149">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F2CF2B4" w14:textId="77777777" w:rsidR="003218A0" w:rsidRPr="00C71C2F" w:rsidRDefault="003218A0" w:rsidP="003218A0">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3218A0" w:rsidRPr="00C71C2F" w14:paraId="56817E47" w14:textId="77777777" w:rsidTr="00C4661E">
        <w:trPr>
          <w:jc w:val="center"/>
        </w:trPr>
        <w:tc>
          <w:tcPr>
            <w:tcW w:w="3544" w:type="dxa"/>
            <w:shd w:val="clear" w:color="auto" w:fill="auto"/>
          </w:tcPr>
          <w:p w14:paraId="2A67CE77" w14:textId="77777777" w:rsidR="003218A0" w:rsidRPr="00C71C2F" w:rsidRDefault="003218A0" w:rsidP="00C4661E">
            <w:pPr>
              <w:rPr>
                <w:rFonts w:ascii="Calibri" w:hAnsi="Calibri" w:cs="Calibri"/>
                <w:b/>
                <w:szCs w:val="24"/>
              </w:rPr>
            </w:pPr>
            <w:r w:rsidRPr="00C71C2F">
              <w:rPr>
                <w:rFonts w:ascii="Calibri" w:hAnsi="Calibri" w:cs="Calibri"/>
                <w:b/>
                <w:szCs w:val="24"/>
              </w:rPr>
              <w:t>Teacher</w:t>
            </w:r>
          </w:p>
          <w:p w14:paraId="6B68746F" w14:textId="77777777" w:rsidR="003218A0" w:rsidRPr="00C71C2F" w:rsidRDefault="003218A0" w:rsidP="00C4661E">
            <w:pPr>
              <w:rPr>
                <w:rFonts w:ascii="Calibri" w:hAnsi="Calibri" w:cs="Calibri"/>
                <w:b/>
                <w:szCs w:val="24"/>
              </w:rPr>
            </w:pPr>
          </w:p>
        </w:tc>
        <w:tc>
          <w:tcPr>
            <w:tcW w:w="6946" w:type="dxa"/>
            <w:shd w:val="clear" w:color="auto" w:fill="auto"/>
          </w:tcPr>
          <w:p w14:paraId="2147B1EC" w14:textId="77777777" w:rsidR="003218A0" w:rsidRPr="00C71C2F" w:rsidRDefault="003218A0" w:rsidP="00C4661E">
            <w:pPr>
              <w:jc w:val="center"/>
              <w:rPr>
                <w:rFonts w:ascii="Calibri" w:hAnsi="Calibri" w:cs="Calibri"/>
                <w:b/>
                <w:szCs w:val="24"/>
              </w:rPr>
            </w:pPr>
            <w:r>
              <w:rPr>
                <w:rFonts w:ascii="Calibri" w:hAnsi="Calibri" w:cs="Calibri"/>
                <w:b/>
                <w:szCs w:val="24"/>
              </w:rPr>
              <w:t>Kylie Boon</w:t>
            </w:r>
          </w:p>
        </w:tc>
      </w:tr>
      <w:tr w:rsidR="003218A0" w:rsidRPr="00C71C2F" w14:paraId="538204B7" w14:textId="77777777" w:rsidTr="00C4661E">
        <w:trPr>
          <w:jc w:val="center"/>
        </w:trPr>
        <w:tc>
          <w:tcPr>
            <w:tcW w:w="3544" w:type="dxa"/>
            <w:shd w:val="clear" w:color="auto" w:fill="auto"/>
          </w:tcPr>
          <w:p w14:paraId="40D657F0" w14:textId="77777777" w:rsidR="003218A0" w:rsidRPr="00C71C2F" w:rsidRDefault="003218A0" w:rsidP="00C4661E">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4A665970" w14:textId="629F8D67" w:rsidR="003218A0" w:rsidRPr="00C71C2F" w:rsidRDefault="003218A0" w:rsidP="00966367">
            <w:pPr>
              <w:jc w:val="center"/>
              <w:rPr>
                <w:rFonts w:ascii="Calibri" w:hAnsi="Calibri" w:cs="Calibri"/>
                <w:b/>
                <w:szCs w:val="24"/>
              </w:rPr>
            </w:pPr>
            <w:r>
              <w:rPr>
                <w:rFonts w:ascii="Calibri" w:hAnsi="Calibri" w:cs="Calibri"/>
                <w:b/>
                <w:szCs w:val="24"/>
              </w:rPr>
              <w:t>02/10/2023</w:t>
            </w:r>
          </w:p>
        </w:tc>
      </w:tr>
      <w:tr w:rsidR="003218A0" w:rsidRPr="00C71C2F" w14:paraId="02FAC5DC" w14:textId="77777777" w:rsidTr="00C4661E">
        <w:trPr>
          <w:jc w:val="center"/>
        </w:trPr>
        <w:tc>
          <w:tcPr>
            <w:tcW w:w="3544" w:type="dxa"/>
            <w:shd w:val="clear" w:color="auto" w:fill="auto"/>
          </w:tcPr>
          <w:p w14:paraId="3DFBB0F4" w14:textId="77777777" w:rsidR="003218A0" w:rsidRPr="00C71C2F" w:rsidRDefault="003218A0" w:rsidP="00C4661E">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7BC05DA0" w14:textId="105D33F9" w:rsidR="003218A0" w:rsidRPr="00C71C2F" w:rsidRDefault="003218A0" w:rsidP="00966367">
            <w:pPr>
              <w:rPr>
                <w:rFonts w:ascii="Calibri" w:hAnsi="Calibri" w:cs="Calibri"/>
                <w:b/>
                <w:szCs w:val="24"/>
              </w:rPr>
            </w:pPr>
          </w:p>
          <w:p w14:paraId="1DD4ACED" w14:textId="77777777" w:rsidR="003218A0" w:rsidRPr="00C71C2F" w:rsidRDefault="003218A0" w:rsidP="00C4661E">
            <w:pPr>
              <w:jc w:val="center"/>
              <w:rPr>
                <w:rFonts w:ascii="Calibri" w:hAnsi="Calibri" w:cs="Calibri"/>
                <w:b/>
                <w:szCs w:val="24"/>
              </w:rPr>
            </w:pPr>
            <w:r>
              <w:rPr>
                <w:rFonts w:ascii="Calibri" w:hAnsi="Calibri" w:cs="Calibri"/>
                <w:b/>
                <w:szCs w:val="24"/>
              </w:rPr>
              <w:t xml:space="preserve">Year 2 </w:t>
            </w:r>
            <w:proofErr w:type="spellStart"/>
            <w:r>
              <w:rPr>
                <w:rFonts w:ascii="Calibri" w:hAnsi="Calibri" w:cs="Calibri"/>
                <w:b/>
                <w:szCs w:val="24"/>
              </w:rPr>
              <w:t>Film&amp;TV</w:t>
            </w:r>
            <w:proofErr w:type="spellEnd"/>
          </w:p>
        </w:tc>
      </w:tr>
      <w:tr w:rsidR="003218A0" w:rsidRPr="00C71C2F" w14:paraId="45E0CD0B" w14:textId="77777777" w:rsidTr="00C4661E">
        <w:trPr>
          <w:jc w:val="center"/>
        </w:trPr>
        <w:tc>
          <w:tcPr>
            <w:tcW w:w="3544" w:type="dxa"/>
            <w:tcBorders>
              <w:bottom w:val="single" w:sz="4" w:space="0" w:color="auto"/>
            </w:tcBorders>
            <w:shd w:val="clear" w:color="auto" w:fill="auto"/>
          </w:tcPr>
          <w:p w14:paraId="69854084" w14:textId="77777777" w:rsidR="003218A0" w:rsidRPr="00C71C2F" w:rsidRDefault="003218A0" w:rsidP="00C4661E">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4C431DF3" w14:textId="2E2CFD2D" w:rsidR="003218A0" w:rsidRPr="00C71C2F" w:rsidRDefault="003218A0" w:rsidP="00966367">
            <w:pPr>
              <w:jc w:val="center"/>
              <w:rPr>
                <w:rFonts w:ascii="Calibri" w:hAnsi="Calibri" w:cs="Calibri"/>
                <w:b/>
                <w:szCs w:val="24"/>
              </w:rPr>
            </w:pPr>
            <w:r>
              <w:rPr>
                <w:rFonts w:ascii="Calibri" w:hAnsi="Calibri" w:cs="Calibri"/>
                <w:b/>
                <w:szCs w:val="24"/>
              </w:rPr>
              <w:t>Textual Practices 2</w:t>
            </w:r>
          </w:p>
        </w:tc>
      </w:tr>
      <w:tr w:rsidR="003218A0" w:rsidRPr="00C71C2F" w14:paraId="05CA8FCA" w14:textId="77777777" w:rsidTr="00C4661E">
        <w:trPr>
          <w:trHeight w:val="3222"/>
          <w:jc w:val="center"/>
        </w:trPr>
        <w:tc>
          <w:tcPr>
            <w:tcW w:w="10490" w:type="dxa"/>
            <w:gridSpan w:val="2"/>
            <w:shd w:val="clear" w:color="auto" w:fill="auto"/>
          </w:tcPr>
          <w:p w14:paraId="5BE05589" w14:textId="61023EB8" w:rsidR="003218A0" w:rsidRDefault="003218A0" w:rsidP="00C4661E">
            <w:pPr>
              <w:rPr>
                <w:rFonts w:ascii="Calibri" w:hAnsi="Calibri" w:cs="Calibri"/>
                <w:b/>
                <w:szCs w:val="24"/>
              </w:rPr>
            </w:pPr>
            <w:r w:rsidRPr="00C71C2F">
              <w:rPr>
                <w:rFonts w:ascii="Calibri" w:hAnsi="Calibri" w:cs="Calibri"/>
                <w:b/>
                <w:szCs w:val="24"/>
              </w:rPr>
              <w:t>Notes on the lesson:</w:t>
            </w:r>
          </w:p>
          <w:p w14:paraId="483E5CFC" w14:textId="77777777" w:rsidR="003218A0" w:rsidRDefault="003218A0" w:rsidP="00C4661E">
            <w:pPr>
              <w:rPr>
                <w:rFonts w:ascii="Calibri" w:hAnsi="Calibri" w:cs="Calibri"/>
                <w:bCs/>
                <w:szCs w:val="24"/>
              </w:rPr>
            </w:pPr>
            <w:r w:rsidRPr="00BD7C15">
              <w:rPr>
                <w:rFonts w:ascii="Calibri" w:hAnsi="Calibri" w:cs="Calibri"/>
                <w:bCs/>
                <w:szCs w:val="24"/>
              </w:rPr>
              <w:t>Literary movements</w:t>
            </w:r>
            <w:r>
              <w:rPr>
                <w:rFonts w:ascii="Calibri" w:hAnsi="Calibri" w:cs="Calibri"/>
                <w:bCs/>
                <w:szCs w:val="24"/>
              </w:rPr>
              <w:t xml:space="preserve"> – gothic, romantic, modernism and surrealism</w:t>
            </w:r>
          </w:p>
          <w:p w14:paraId="1B81FED3" w14:textId="77777777" w:rsidR="003218A0" w:rsidRDefault="003218A0" w:rsidP="00C4661E">
            <w:pPr>
              <w:rPr>
                <w:rFonts w:ascii="Calibri" w:hAnsi="Calibri" w:cs="Calibri"/>
                <w:bCs/>
                <w:szCs w:val="24"/>
              </w:rPr>
            </w:pPr>
            <w:r>
              <w:rPr>
                <w:rFonts w:ascii="Calibri" w:hAnsi="Calibri" w:cs="Calibri"/>
                <w:bCs/>
                <w:szCs w:val="24"/>
              </w:rPr>
              <w:t>1pm-5pm, big lecture, 3 chunks divided by breaks</w:t>
            </w:r>
          </w:p>
          <w:p w14:paraId="65199EDF" w14:textId="77777777" w:rsidR="003218A0" w:rsidRDefault="003218A0" w:rsidP="00C4661E">
            <w:pPr>
              <w:rPr>
                <w:rFonts w:ascii="Calibri" w:hAnsi="Calibri" w:cs="Calibri"/>
                <w:bCs/>
                <w:szCs w:val="24"/>
              </w:rPr>
            </w:pPr>
            <w:r>
              <w:rPr>
                <w:rFonts w:ascii="Calibri" w:hAnsi="Calibri" w:cs="Calibri"/>
                <w:bCs/>
                <w:szCs w:val="24"/>
              </w:rPr>
              <w:t>Module introduction completed last week.</w:t>
            </w:r>
          </w:p>
          <w:p w14:paraId="22F0B006" w14:textId="77777777" w:rsidR="003218A0" w:rsidRDefault="003218A0" w:rsidP="00C4661E">
            <w:pPr>
              <w:rPr>
                <w:rFonts w:ascii="Calibri" w:hAnsi="Calibri" w:cs="Calibri"/>
                <w:bCs/>
                <w:szCs w:val="24"/>
              </w:rPr>
            </w:pPr>
            <w:r>
              <w:rPr>
                <w:rFonts w:ascii="Calibri" w:hAnsi="Calibri" w:cs="Calibri"/>
                <w:bCs/>
                <w:szCs w:val="24"/>
              </w:rPr>
              <w:t>Has register for students</w:t>
            </w:r>
          </w:p>
          <w:p w14:paraId="069D95F3" w14:textId="77777777" w:rsidR="003218A0" w:rsidRDefault="003218A0" w:rsidP="00C4661E">
            <w:pPr>
              <w:rPr>
                <w:rFonts w:ascii="Calibri" w:hAnsi="Calibri" w:cs="Calibri"/>
                <w:bCs/>
                <w:szCs w:val="24"/>
              </w:rPr>
            </w:pPr>
            <w:r>
              <w:rPr>
                <w:rFonts w:ascii="Calibri" w:hAnsi="Calibri" w:cs="Calibri"/>
                <w:bCs/>
                <w:szCs w:val="24"/>
              </w:rPr>
              <w:t>Randomly selected students to see if they completed self-directed study – research certain areas (in PP) this will benefit/compliment their module work</w:t>
            </w:r>
          </w:p>
          <w:p w14:paraId="668E2E7E" w14:textId="77777777" w:rsidR="003218A0" w:rsidRDefault="003218A0" w:rsidP="00C4661E">
            <w:pPr>
              <w:rPr>
                <w:rFonts w:ascii="Calibri" w:hAnsi="Calibri" w:cs="Calibri"/>
                <w:bCs/>
                <w:szCs w:val="24"/>
              </w:rPr>
            </w:pPr>
            <w:r>
              <w:rPr>
                <w:rFonts w:ascii="Calibri" w:hAnsi="Calibri" w:cs="Calibri"/>
                <w:bCs/>
                <w:szCs w:val="24"/>
              </w:rPr>
              <w:t>Supportive and responding with “yes and” type questions to encourage students to think further and expand on their research.</w:t>
            </w:r>
          </w:p>
          <w:p w14:paraId="779A7FD9" w14:textId="77777777" w:rsidR="003218A0" w:rsidRDefault="003218A0" w:rsidP="00C4661E">
            <w:pPr>
              <w:rPr>
                <w:rFonts w:ascii="Calibri" w:hAnsi="Calibri" w:cs="Calibri"/>
                <w:bCs/>
                <w:szCs w:val="24"/>
              </w:rPr>
            </w:pPr>
            <w:r>
              <w:rPr>
                <w:rFonts w:ascii="Calibri" w:hAnsi="Calibri" w:cs="Calibri"/>
                <w:bCs/>
                <w:szCs w:val="24"/>
              </w:rPr>
              <w:t>Not critical of students who haven’t completed/done to certain standard. Encouraging and supporting of students who just thought of “ideas” – reminds them of importance of completing self-directed study as it can benefit their final work.</w:t>
            </w:r>
          </w:p>
          <w:p w14:paraId="715E415E" w14:textId="79522FD7" w:rsidR="003218A0" w:rsidRDefault="003218A0" w:rsidP="00C4661E">
            <w:pPr>
              <w:rPr>
                <w:rFonts w:ascii="Calibri" w:hAnsi="Calibri" w:cs="Calibri"/>
                <w:bCs/>
                <w:szCs w:val="24"/>
              </w:rPr>
            </w:pPr>
            <w:r>
              <w:rPr>
                <w:rFonts w:ascii="Calibri" w:hAnsi="Calibri" w:cs="Calibri"/>
                <w:bCs/>
                <w:szCs w:val="24"/>
              </w:rPr>
              <w:t>Will do this every week</w:t>
            </w:r>
          </w:p>
          <w:p w14:paraId="47FEA244" w14:textId="77777777" w:rsidR="003218A0" w:rsidRDefault="003218A0" w:rsidP="00C4661E">
            <w:pPr>
              <w:rPr>
                <w:rFonts w:ascii="Calibri" w:hAnsi="Calibri" w:cs="Calibri"/>
                <w:bCs/>
                <w:szCs w:val="24"/>
              </w:rPr>
            </w:pPr>
            <w:r>
              <w:rPr>
                <w:rFonts w:ascii="Calibri" w:hAnsi="Calibri" w:cs="Calibri"/>
                <w:bCs/>
                <w:szCs w:val="24"/>
              </w:rPr>
              <w:t>PowerPoint simple – bullet points and she expands seemingly with lack of script (script on laptop)</w:t>
            </w:r>
          </w:p>
          <w:p w14:paraId="42AB6156" w14:textId="62D0A4E1" w:rsidR="003218A0" w:rsidRDefault="003218A0" w:rsidP="00C4661E">
            <w:pPr>
              <w:rPr>
                <w:rFonts w:ascii="Calibri" w:hAnsi="Calibri" w:cs="Calibri"/>
                <w:bCs/>
                <w:szCs w:val="24"/>
              </w:rPr>
            </w:pPr>
            <w:r>
              <w:rPr>
                <w:rFonts w:ascii="Calibri" w:hAnsi="Calibri" w:cs="Calibri"/>
                <w:bCs/>
                <w:szCs w:val="24"/>
              </w:rPr>
              <w:t>Quote and informing students it’s from book that is available in the library</w:t>
            </w:r>
          </w:p>
          <w:p w14:paraId="05BA7140" w14:textId="4168DBD1" w:rsidR="003218A0" w:rsidRDefault="003218A0" w:rsidP="00C4661E">
            <w:pPr>
              <w:rPr>
                <w:rFonts w:ascii="Calibri" w:hAnsi="Calibri" w:cs="Calibri"/>
                <w:bCs/>
                <w:szCs w:val="24"/>
              </w:rPr>
            </w:pPr>
            <w:r>
              <w:rPr>
                <w:rFonts w:ascii="Calibri" w:hAnsi="Calibri" w:cs="Calibri"/>
                <w:bCs/>
                <w:szCs w:val="24"/>
              </w:rPr>
              <w:t>Hypotheticals for final pieces to explain her point</w:t>
            </w:r>
          </w:p>
          <w:p w14:paraId="3518CBBA" w14:textId="3D5001FB" w:rsidR="003218A0" w:rsidRDefault="003218A0" w:rsidP="00C4661E">
            <w:pPr>
              <w:rPr>
                <w:rFonts w:ascii="Calibri" w:hAnsi="Calibri" w:cs="Calibri"/>
                <w:bCs/>
                <w:szCs w:val="24"/>
              </w:rPr>
            </w:pPr>
            <w:r>
              <w:rPr>
                <w:rFonts w:ascii="Calibri" w:hAnsi="Calibri" w:cs="Calibri"/>
                <w:bCs/>
                <w:szCs w:val="24"/>
              </w:rPr>
              <w:t>Always relates/explains connection between quote and what she is teaching for the desired outcome</w:t>
            </w:r>
          </w:p>
          <w:p w14:paraId="752A830B" w14:textId="14F9A1EA" w:rsidR="003218A0" w:rsidRDefault="003218A0" w:rsidP="00C4661E">
            <w:pPr>
              <w:rPr>
                <w:rFonts w:ascii="Calibri" w:hAnsi="Calibri" w:cs="Calibri"/>
                <w:bCs/>
                <w:szCs w:val="24"/>
              </w:rPr>
            </w:pPr>
            <w:r>
              <w:rPr>
                <w:rFonts w:ascii="Calibri" w:hAnsi="Calibri" w:cs="Calibri"/>
                <w:bCs/>
                <w:szCs w:val="24"/>
              </w:rPr>
              <w:lastRenderedPageBreak/>
              <w:t>Let’s students know all options available to them. Uses music video to make an example. Instructs students to make notes on its meaning - what fears/anxieties it comments on, what age does it represent, how/why is it considered “modern gothic”, who are the ‘monsters’ in the music video.</w:t>
            </w:r>
          </w:p>
          <w:p w14:paraId="35E9CFE7" w14:textId="0ED1781D" w:rsidR="003218A0" w:rsidRDefault="003218A0" w:rsidP="00C4661E">
            <w:pPr>
              <w:rPr>
                <w:rFonts w:ascii="Calibri" w:hAnsi="Calibri" w:cs="Calibri"/>
                <w:bCs/>
                <w:szCs w:val="24"/>
              </w:rPr>
            </w:pPr>
            <w:r>
              <w:rPr>
                <w:rFonts w:ascii="Calibri" w:hAnsi="Calibri" w:cs="Calibri"/>
                <w:bCs/>
                <w:szCs w:val="24"/>
              </w:rPr>
              <w:t xml:space="preserve">Didn’t take into consideration note-taking whilst watching video, lights had to stay </w:t>
            </w:r>
            <w:proofErr w:type="gramStart"/>
            <w:r>
              <w:rPr>
                <w:rFonts w:ascii="Calibri" w:hAnsi="Calibri" w:cs="Calibri"/>
                <w:bCs/>
                <w:szCs w:val="24"/>
              </w:rPr>
              <w:t>on</w:t>
            </w:r>
            <w:proofErr w:type="gramEnd"/>
            <w:r>
              <w:rPr>
                <w:rFonts w:ascii="Calibri" w:hAnsi="Calibri" w:cs="Calibri"/>
                <w:bCs/>
                <w:szCs w:val="24"/>
              </w:rPr>
              <w:t xml:space="preserve"> and video was dark. Forgot to warn students of flashing images until immediately before</w:t>
            </w:r>
          </w:p>
          <w:p w14:paraId="65D999F9" w14:textId="77777777" w:rsidR="003218A0" w:rsidRDefault="003218A0" w:rsidP="00C4661E">
            <w:pPr>
              <w:rPr>
                <w:rFonts w:ascii="Calibri" w:hAnsi="Calibri" w:cs="Calibri"/>
                <w:bCs/>
                <w:szCs w:val="24"/>
              </w:rPr>
            </w:pPr>
            <w:r>
              <w:rPr>
                <w:rFonts w:ascii="Calibri" w:hAnsi="Calibri" w:cs="Calibri"/>
                <w:bCs/>
                <w:szCs w:val="24"/>
              </w:rPr>
              <w:t>Asked entire class for thoughts after video – open to all interpretations and encourages all</w:t>
            </w:r>
          </w:p>
          <w:p w14:paraId="67F4C31E" w14:textId="77777777" w:rsidR="003218A0" w:rsidRDefault="003218A0" w:rsidP="00C4661E">
            <w:pPr>
              <w:rPr>
                <w:rFonts w:ascii="Calibri" w:hAnsi="Calibri" w:cs="Calibri"/>
                <w:bCs/>
                <w:szCs w:val="24"/>
              </w:rPr>
            </w:pPr>
            <w:r>
              <w:rPr>
                <w:rFonts w:ascii="Calibri" w:hAnsi="Calibri" w:cs="Calibri"/>
                <w:bCs/>
                <w:szCs w:val="24"/>
              </w:rPr>
              <w:t>Asks specific/detailed questions to direct students to thinking deeper on required points</w:t>
            </w:r>
          </w:p>
          <w:p w14:paraId="33EE31B0" w14:textId="77777777" w:rsidR="003218A0" w:rsidRDefault="003218A0" w:rsidP="00C4661E">
            <w:pPr>
              <w:rPr>
                <w:rFonts w:ascii="Calibri" w:hAnsi="Calibri" w:cs="Calibri"/>
                <w:bCs/>
                <w:szCs w:val="24"/>
              </w:rPr>
            </w:pPr>
            <w:r>
              <w:rPr>
                <w:rFonts w:ascii="Calibri" w:hAnsi="Calibri" w:cs="Calibri"/>
                <w:bCs/>
                <w:szCs w:val="24"/>
              </w:rPr>
              <w:t>Based on interpretation, all her points include “maybe”, further encouraging students to think for themselves instead of her giving them any answers/ideas</w:t>
            </w:r>
          </w:p>
          <w:p w14:paraId="7740526C" w14:textId="7E8D53B6" w:rsidR="003218A0" w:rsidRDefault="003218A0" w:rsidP="00C4661E">
            <w:pPr>
              <w:rPr>
                <w:rFonts w:ascii="Calibri" w:hAnsi="Calibri" w:cs="Calibri"/>
                <w:bCs/>
                <w:szCs w:val="24"/>
              </w:rPr>
            </w:pPr>
            <w:r>
              <w:rPr>
                <w:rFonts w:ascii="Calibri" w:hAnsi="Calibri" w:cs="Calibri"/>
                <w:bCs/>
                <w:szCs w:val="24"/>
              </w:rPr>
              <w:t>All theoretical, interpretations as it’s a creative subject. Encourages development of students’ creativity</w:t>
            </w:r>
          </w:p>
          <w:p w14:paraId="157432BF" w14:textId="7E542E9E" w:rsidR="003218A0" w:rsidRDefault="003218A0" w:rsidP="00C4661E">
            <w:pPr>
              <w:rPr>
                <w:rFonts w:ascii="Calibri" w:hAnsi="Calibri" w:cs="Calibri"/>
                <w:bCs/>
                <w:szCs w:val="24"/>
              </w:rPr>
            </w:pPr>
            <w:r>
              <w:rPr>
                <w:rFonts w:ascii="Calibri" w:hAnsi="Calibri" w:cs="Calibri"/>
                <w:bCs/>
                <w:szCs w:val="24"/>
              </w:rPr>
              <w:t>Very engaging with open questions, keep forgetting I’m observing lol</w:t>
            </w:r>
          </w:p>
          <w:p w14:paraId="0ABB7960" w14:textId="4D5CDB41" w:rsidR="003218A0" w:rsidRDefault="003218A0" w:rsidP="00C4661E">
            <w:pPr>
              <w:rPr>
                <w:rFonts w:ascii="Calibri" w:hAnsi="Calibri" w:cs="Calibri"/>
                <w:bCs/>
                <w:szCs w:val="24"/>
              </w:rPr>
            </w:pPr>
            <w:r>
              <w:rPr>
                <w:rFonts w:ascii="Calibri" w:hAnsi="Calibri" w:cs="Calibri"/>
                <w:bCs/>
                <w:szCs w:val="24"/>
              </w:rPr>
              <w:t>Creates discussion to further encourage thinking. Gives focus points to ease students in. walks around room to listen to students’ points and discuss with them</w:t>
            </w:r>
          </w:p>
          <w:p w14:paraId="14D097FA" w14:textId="45AB07F3" w:rsidR="003218A0" w:rsidRDefault="003218A0" w:rsidP="00966367">
            <w:pPr>
              <w:jc w:val="right"/>
              <w:rPr>
                <w:rFonts w:ascii="Calibri" w:hAnsi="Calibri" w:cs="Calibri"/>
                <w:bCs/>
                <w:szCs w:val="24"/>
              </w:rPr>
            </w:pPr>
            <w:r>
              <w:rPr>
                <w:rFonts w:ascii="Calibri" w:hAnsi="Calibri" w:cs="Calibri"/>
                <w:bCs/>
                <w:szCs w:val="24"/>
              </w:rPr>
              <w:t>Break 14:20 15 mins</w:t>
            </w:r>
          </w:p>
          <w:p w14:paraId="6DA413BB" w14:textId="2B3259C8" w:rsidR="003218A0" w:rsidRDefault="003218A0" w:rsidP="00C4661E">
            <w:pPr>
              <w:rPr>
                <w:rFonts w:ascii="Calibri" w:hAnsi="Calibri" w:cs="Calibri"/>
                <w:bCs/>
                <w:szCs w:val="24"/>
              </w:rPr>
            </w:pPr>
            <w:r>
              <w:rPr>
                <w:rFonts w:ascii="Calibri" w:hAnsi="Calibri" w:cs="Calibri"/>
                <w:bCs/>
                <w:szCs w:val="24"/>
              </w:rPr>
              <w:t>Leaving module open – for students to work on themselves. Lectures gives them the blueprint to do this</w:t>
            </w:r>
          </w:p>
          <w:p w14:paraId="6FE32112" w14:textId="0E09DB65" w:rsidR="003218A0" w:rsidRDefault="003218A0" w:rsidP="00C4661E">
            <w:pPr>
              <w:rPr>
                <w:rFonts w:ascii="Calibri" w:hAnsi="Calibri" w:cs="Calibri"/>
                <w:bCs/>
                <w:szCs w:val="24"/>
              </w:rPr>
            </w:pPr>
            <w:r>
              <w:rPr>
                <w:rFonts w:ascii="Calibri" w:hAnsi="Calibri" w:cs="Calibri"/>
                <w:bCs/>
                <w:szCs w:val="24"/>
              </w:rPr>
              <w:t xml:space="preserve">Video of clips on topic – she talks over to explain topic/points. Video visual aid – keeps it interesting </w:t>
            </w:r>
          </w:p>
          <w:p w14:paraId="684EE7FC" w14:textId="7F30CBDD" w:rsidR="003218A0" w:rsidRDefault="003218A0" w:rsidP="00C4661E">
            <w:pPr>
              <w:rPr>
                <w:rFonts w:ascii="Calibri" w:hAnsi="Calibri" w:cs="Calibri"/>
                <w:bCs/>
                <w:szCs w:val="24"/>
              </w:rPr>
            </w:pPr>
            <w:r>
              <w:rPr>
                <w:rFonts w:ascii="Calibri" w:hAnsi="Calibri" w:cs="Calibri"/>
                <w:bCs/>
                <w:szCs w:val="24"/>
              </w:rPr>
              <w:t>Open questions – drives engagement</w:t>
            </w:r>
          </w:p>
          <w:p w14:paraId="7FF787E0" w14:textId="7BC2E74F" w:rsidR="003218A0" w:rsidRDefault="003218A0" w:rsidP="00C4661E">
            <w:pPr>
              <w:rPr>
                <w:rFonts w:ascii="Calibri" w:hAnsi="Calibri" w:cs="Calibri"/>
                <w:bCs/>
                <w:szCs w:val="24"/>
              </w:rPr>
            </w:pPr>
            <w:r>
              <w:rPr>
                <w:rFonts w:ascii="Calibri" w:hAnsi="Calibri" w:cs="Calibri"/>
                <w:bCs/>
                <w:szCs w:val="24"/>
              </w:rPr>
              <w:t xml:space="preserve">Covers theme in different cultures e.g., gothic theme in Europe vs America </w:t>
            </w:r>
          </w:p>
          <w:p w14:paraId="52F709C6" w14:textId="07DB1BB7" w:rsidR="003218A0" w:rsidRDefault="003218A0" w:rsidP="00966367">
            <w:pPr>
              <w:jc w:val="right"/>
              <w:rPr>
                <w:rFonts w:ascii="Calibri" w:hAnsi="Calibri" w:cs="Calibri"/>
                <w:bCs/>
                <w:szCs w:val="24"/>
              </w:rPr>
            </w:pPr>
            <w:r>
              <w:rPr>
                <w:rFonts w:ascii="Calibri" w:hAnsi="Calibri" w:cs="Calibri"/>
                <w:bCs/>
                <w:szCs w:val="24"/>
              </w:rPr>
              <w:t>Break 15:30 20 mins</w:t>
            </w:r>
          </w:p>
          <w:p w14:paraId="07B904F0" w14:textId="586723F4" w:rsidR="003218A0" w:rsidRDefault="003218A0" w:rsidP="00C4661E">
            <w:pPr>
              <w:rPr>
                <w:rFonts w:ascii="Calibri" w:hAnsi="Calibri" w:cs="Calibri"/>
                <w:bCs/>
                <w:szCs w:val="24"/>
              </w:rPr>
            </w:pPr>
            <w:r>
              <w:rPr>
                <w:rFonts w:ascii="Calibri" w:hAnsi="Calibri" w:cs="Calibri"/>
                <w:bCs/>
                <w:szCs w:val="24"/>
              </w:rPr>
              <w:t>Think pieces – what is gothic science fiction to you?</w:t>
            </w:r>
          </w:p>
          <w:p w14:paraId="59FD4948" w14:textId="191F14A1" w:rsidR="003218A0" w:rsidRDefault="003218A0" w:rsidP="00C4661E">
            <w:pPr>
              <w:rPr>
                <w:rFonts w:ascii="Calibri" w:hAnsi="Calibri" w:cs="Calibri"/>
                <w:bCs/>
                <w:szCs w:val="24"/>
              </w:rPr>
            </w:pPr>
            <w:r>
              <w:rPr>
                <w:rFonts w:ascii="Calibri" w:hAnsi="Calibri" w:cs="Calibri"/>
                <w:bCs/>
                <w:szCs w:val="24"/>
              </w:rPr>
              <w:t>Further encouraging self-directed study/research but gave “head start” by suggesting ideas/points</w:t>
            </w:r>
          </w:p>
          <w:p w14:paraId="140361B3" w14:textId="2CECF27B" w:rsidR="003218A0" w:rsidRDefault="003218A0" w:rsidP="00C4661E">
            <w:pPr>
              <w:rPr>
                <w:rFonts w:ascii="Calibri" w:hAnsi="Calibri" w:cs="Calibri"/>
                <w:bCs/>
                <w:szCs w:val="24"/>
              </w:rPr>
            </w:pPr>
            <w:r>
              <w:rPr>
                <w:rFonts w:ascii="Calibri" w:hAnsi="Calibri" w:cs="Calibri"/>
                <w:bCs/>
                <w:szCs w:val="24"/>
              </w:rPr>
              <w:t>Reminds students of deadline with calendar visual – covers all types of student learners with visual and verbal reminder. Suggests schedule to use as guide for students.</w:t>
            </w:r>
          </w:p>
          <w:p w14:paraId="69C6A77E" w14:textId="0F5E3A3D" w:rsidR="003218A0" w:rsidRDefault="003218A0" w:rsidP="00C4661E">
            <w:pPr>
              <w:rPr>
                <w:rFonts w:ascii="Calibri" w:hAnsi="Calibri" w:cs="Calibri"/>
                <w:bCs/>
                <w:szCs w:val="24"/>
              </w:rPr>
            </w:pPr>
            <w:r>
              <w:rPr>
                <w:rFonts w:ascii="Calibri" w:hAnsi="Calibri" w:cs="Calibri"/>
                <w:bCs/>
                <w:szCs w:val="24"/>
              </w:rPr>
              <w:t xml:space="preserve">Warning students that they will be randomly quizzed on what their personal target is next session, encourages them to start self-directed study. Offers hints on what these could be for students unsure. This guides them in the right direction </w:t>
            </w:r>
          </w:p>
          <w:p w14:paraId="190FBBEC" w14:textId="77777777" w:rsidR="003218A0" w:rsidRDefault="003218A0" w:rsidP="00C4661E">
            <w:pPr>
              <w:rPr>
                <w:rFonts w:ascii="Calibri" w:hAnsi="Calibri" w:cs="Calibri"/>
                <w:bCs/>
                <w:szCs w:val="24"/>
              </w:rPr>
            </w:pPr>
            <w:r>
              <w:rPr>
                <w:rFonts w:ascii="Calibri" w:hAnsi="Calibri" w:cs="Calibri"/>
                <w:bCs/>
                <w:szCs w:val="24"/>
              </w:rPr>
              <w:t>KB provides students with a base understanding of topics e.g., the definitions of modernism, post-modernism, and meta-modernism, and provides film examples of where they are prevalent (in the form of trailers and scenes). After this she asks students for their opinions and why they believe these films are categorized as modernism, post-modernism, or meta-modernism.</w:t>
            </w:r>
          </w:p>
          <w:p w14:paraId="4D530A9A" w14:textId="1E00A03B" w:rsidR="00966367" w:rsidRPr="00BD7C15" w:rsidRDefault="00966367" w:rsidP="00C4661E">
            <w:pPr>
              <w:rPr>
                <w:rFonts w:ascii="Calibri" w:hAnsi="Calibri" w:cs="Calibri"/>
                <w:bCs/>
                <w:szCs w:val="24"/>
              </w:rPr>
            </w:pPr>
          </w:p>
        </w:tc>
      </w:tr>
      <w:tr w:rsidR="003218A0" w:rsidRPr="00C71C2F" w14:paraId="6B6CFFE4" w14:textId="77777777" w:rsidTr="00C4661E">
        <w:trPr>
          <w:jc w:val="center"/>
        </w:trPr>
        <w:tc>
          <w:tcPr>
            <w:tcW w:w="10490" w:type="dxa"/>
            <w:gridSpan w:val="2"/>
            <w:shd w:val="clear" w:color="auto" w:fill="auto"/>
          </w:tcPr>
          <w:p w14:paraId="21FDD6B1" w14:textId="0C021070" w:rsidR="003218A0" w:rsidRDefault="003218A0" w:rsidP="00C4661E">
            <w:pPr>
              <w:rPr>
                <w:rFonts w:ascii="Calibri" w:hAnsi="Calibri" w:cs="Calibri"/>
                <w:b/>
                <w:szCs w:val="24"/>
              </w:rPr>
            </w:pPr>
            <w:r w:rsidRPr="00C71C2F">
              <w:rPr>
                <w:rFonts w:ascii="Calibri" w:hAnsi="Calibri" w:cs="Calibri"/>
                <w:b/>
                <w:szCs w:val="24"/>
              </w:rPr>
              <w:lastRenderedPageBreak/>
              <w:t>What I have learned:</w:t>
            </w:r>
          </w:p>
          <w:p w14:paraId="102D90CC" w14:textId="3F659B92" w:rsidR="003218A0" w:rsidRPr="00966367" w:rsidRDefault="003218A0" w:rsidP="00C4661E">
            <w:pPr>
              <w:rPr>
                <w:rFonts w:ascii="Calibri" w:hAnsi="Calibri" w:cs="Calibri"/>
                <w:bCs/>
                <w:szCs w:val="24"/>
              </w:rPr>
            </w:pPr>
            <w:r>
              <w:rPr>
                <w:rFonts w:ascii="Calibri" w:hAnsi="Calibri" w:cs="Calibri"/>
                <w:bCs/>
                <w:szCs w:val="24"/>
              </w:rPr>
              <w:t>Lessons that are ‘open’ and relaxed are more likely to have higher student engagement in the creative sector (film). When the topic at hand is subjective, simply lecturing at students will not suffice. A lecturer must guide the students to their own opinions/interpretations in order for them to expand their own individual creativity which will differ greatly with each student.</w:t>
            </w:r>
          </w:p>
          <w:p w14:paraId="30DB62E0" w14:textId="1C20E4C6" w:rsidR="003218A0" w:rsidRPr="00966367" w:rsidRDefault="003218A0" w:rsidP="00C4661E">
            <w:pPr>
              <w:rPr>
                <w:rFonts w:ascii="Calibri" w:hAnsi="Calibri" w:cs="Calibri"/>
                <w:bCs/>
                <w:szCs w:val="24"/>
              </w:rPr>
            </w:pPr>
            <w:r>
              <w:rPr>
                <w:rFonts w:ascii="Calibri" w:hAnsi="Calibri" w:cs="Calibri"/>
                <w:bCs/>
                <w:szCs w:val="24"/>
              </w:rPr>
              <w:t xml:space="preserve">Explaining the basics of a topic and encouraging students to think further and decide on what themes fit where has boosted student engagement compared to just a ‘regular’ lecture where they talk facts AT you rather than discuss themes WITH you. </w:t>
            </w:r>
          </w:p>
        </w:tc>
      </w:tr>
      <w:tr w:rsidR="003218A0" w:rsidRPr="00C71C2F" w14:paraId="526FEEC4" w14:textId="77777777" w:rsidTr="00C4661E">
        <w:trPr>
          <w:jc w:val="center"/>
        </w:trPr>
        <w:tc>
          <w:tcPr>
            <w:tcW w:w="10490" w:type="dxa"/>
            <w:gridSpan w:val="2"/>
            <w:shd w:val="clear" w:color="auto" w:fill="auto"/>
          </w:tcPr>
          <w:p w14:paraId="386BFB42" w14:textId="2192E9D2" w:rsidR="00966367" w:rsidRDefault="003218A0" w:rsidP="00C4661E">
            <w:pPr>
              <w:rPr>
                <w:rFonts w:ascii="Calibri" w:hAnsi="Calibri" w:cs="Calibri"/>
                <w:b/>
                <w:bCs/>
              </w:rPr>
            </w:pPr>
            <w:r w:rsidRPr="1B5D5813">
              <w:rPr>
                <w:rFonts w:ascii="Calibri" w:hAnsi="Calibri" w:cs="Calibri"/>
                <w:b/>
                <w:bCs/>
              </w:rPr>
              <w:t>Targets to improve my own practice (mapped to professional standards):</w:t>
            </w:r>
          </w:p>
          <w:p w14:paraId="3379604B" w14:textId="34F53E59" w:rsidR="003218A0" w:rsidRPr="00966367" w:rsidRDefault="003218A0" w:rsidP="00C4661E">
            <w:pPr>
              <w:rPr>
                <w:rFonts w:ascii="Calibri" w:hAnsi="Calibri" w:cs="Calibri"/>
              </w:rPr>
            </w:pPr>
            <w:r>
              <w:rPr>
                <w:rFonts w:ascii="Calibri" w:hAnsi="Calibri" w:cs="Calibri"/>
              </w:rPr>
              <w:t>I would like to use A4 of the Professional Standards Framework to demonstrate that I support and guide learners. Kylie showed understanding and encouragement to all students regardless of whether or not they completed the work, which was important in showing them that despite them not completing the task, she is still going to support them and provide them with further guidance to complete their work.</w:t>
            </w:r>
          </w:p>
        </w:tc>
      </w:tr>
    </w:tbl>
    <w:p w14:paraId="43E9CA94" w14:textId="06C8C951" w:rsidR="003218A0" w:rsidRDefault="003218A0" w:rsidP="00EA2979">
      <w:pPr>
        <w:spacing w:line="360" w:lineRule="auto"/>
      </w:pPr>
    </w:p>
    <w:p w14:paraId="5FDFE677" w14:textId="2B994C5B" w:rsidR="003218A0" w:rsidRDefault="003218A0" w:rsidP="00EA2979">
      <w:pPr>
        <w:spacing w:line="360" w:lineRule="auto"/>
      </w:pPr>
    </w:p>
    <w:p w14:paraId="331312D4" w14:textId="7DC62BB3" w:rsidR="003218A0" w:rsidRDefault="003218A0" w:rsidP="00EA2979">
      <w:pPr>
        <w:spacing w:line="360" w:lineRule="auto"/>
      </w:pPr>
    </w:p>
    <w:p w14:paraId="36876651" w14:textId="036D07AC" w:rsidR="003218A0" w:rsidRDefault="003218A0" w:rsidP="00EA2979">
      <w:pPr>
        <w:spacing w:line="360" w:lineRule="auto"/>
      </w:pPr>
    </w:p>
    <w:p w14:paraId="08CC0796" w14:textId="164BBE84" w:rsidR="003218A0" w:rsidRDefault="003218A0" w:rsidP="00EA2979">
      <w:pPr>
        <w:spacing w:line="360" w:lineRule="auto"/>
      </w:pPr>
    </w:p>
    <w:p w14:paraId="72D88A31" w14:textId="783A7B80" w:rsidR="003218A0" w:rsidRDefault="003218A0" w:rsidP="00EA2979">
      <w:pPr>
        <w:spacing w:line="360" w:lineRule="auto"/>
      </w:pPr>
    </w:p>
    <w:p w14:paraId="76A0C785" w14:textId="11133A6C" w:rsidR="003218A0" w:rsidRDefault="003218A0" w:rsidP="00EA2979">
      <w:pPr>
        <w:spacing w:line="360" w:lineRule="auto"/>
      </w:pPr>
    </w:p>
    <w:p w14:paraId="29B4F383" w14:textId="1DEEBDDC" w:rsidR="003218A0" w:rsidRDefault="003218A0" w:rsidP="00EA2979">
      <w:pPr>
        <w:spacing w:line="360" w:lineRule="auto"/>
      </w:pPr>
    </w:p>
    <w:p w14:paraId="6AF66F85" w14:textId="0B212FEA" w:rsidR="003218A0" w:rsidRDefault="003218A0" w:rsidP="00EA2979">
      <w:pPr>
        <w:spacing w:line="360" w:lineRule="auto"/>
      </w:pPr>
    </w:p>
    <w:p w14:paraId="1337DB62" w14:textId="60E7FAFE" w:rsidR="003218A0" w:rsidRDefault="003218A0" w:rsidP="00EA2979">
      <w:pPr>
        <w:spacing w:line="360" w:lineRule="auto"/>
      </w:pPr>
    </w:p>
    <w:p w14:paraId="3E94CB8C" w14:textId="6D519B90" w:rsidR="003218A0" w:rsidRDefault="003218A0" w:rsidP="00EA2979">
      <w:pPr>
        <w:spacing w:line="360" w:lineRule="auto"/>
      </w:pPr>
    </w:p>
    <w:p w14:paraId="6EC9DE1E" w14:textId="515B1A03" w:rsidR="003218A0" w:rsidRDefault="003218A0" w:rsidP="00EA2979">
      <w:pPr>
        <w:spacing w:line="360" w:lineRule="auto"/>
      </w:pPr>
    </w:p>
    <w:p w14:paraId="2F01BB55" w14:textId="707C8856" w:rsidR="003218A0" w:rsidRDefault="003218A0" w:rsidP="00EA2979">
      <w:pPr>
        <w:spacing w:line="360" w:lineRule="auto"/>
      </w:pPr>
    </w:p>
    <w:p w14:paraId="748750FC" w14:textId="063ADC98" w:rsidR="003218A0" w:rsidRDefault="003218A0" w:rsidP="00EA2979">
      <w:pPr>
        <w:spacing w:line="360" w:lineRule="auto"/>
      </w:pPr>
    </w:p>
    <w:p w14:paraId="6796AC15" w14:textId="1A548B21" w:rsidR="003218A0" w:rsidRDefault="003218A0" w:rsidP="00EA2979">
      <w:pPr>
        <w:spacing w:line="360" w:lineRule="auto"/>
      </w:pPr>
    </w:p>
    <w:p w14:paraId="4CB9F320" w14:textId="77777777" w:rsidR="003218A0" w:rsidRPr="00AA4407" w:rsidRDefault="003218A0" w:rsidP="003218A0">
      <w:pPr>
        <w:pStyle w:val="Heading2"/>
        <w:rPr>
          <w:i/>
          <w:iCs/>
        </w:rPr>
      </w:pPr>
      <w:r w:rsidRPr="1B5D5813">
        <w:lastRenderedPageBreak/>
        <w:t xml:space="preserve">Teacher Observation Form </w:t>
      </w:r>
    </w:p>
    <w:p w14:paraId="14B0FF46" w14:textId="77777777" w:rsidR="003218A0" w:rsidRPr="00C71C2F" w:rsidRDefault="003218A0" w:rsidP="003218A0">
      <w:pPr>
        <w:rPr>
          <w:rFonts w:ascii="Calibri" w:hAnsi="Calibri" w:cs="Calibri"/>
          <w:b/>
          <w:sz w:val="18"/>
          <w:szCs w:val="18"/>
        </w:rPr>
      </w:pPr>
    </w:p>
    <w:p w14:paraId="653DE271" w14:textId="77777777" w:rsidR="003218A0" w:rsidRPr="00D57B13" w:rsidRDefault="003218A0" w:rsidP="003218A0">
      <w:pPr>
        <w:jc w:val="center"/>
      </w:pPr>
      <w:r w:rsidRPr="00D57B13">
        <w:rPr>
          <w:noProof/>
          <w:lang w:eastAsia="en-GB"/>
        </w:rPr>
        <w:drawing>
          <wp:inline distT="0" distB="0" distL="0" distR="0" wp14:anchorId="2CB46706" wp14:editId="1FE123C1">
            <wp:extent cx="1362075" cy="481330"/>
            <wp:effectExtent l="0" t="0" r="9525" b="0"/>
            <wp:docPr id="2" name="Picture 2"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black and white sign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1224E3DE" w14:textId="77777777" w:rsidR="003218A0" w:rsidRPr="00C71C2F" w:rsidRDefault="003218A0" w:rsidP="003218A0">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3218A0" w:rsidRPr="00C71C2F" w14:paraId="4C6636A3" w14:textId="77777777" w:rsidTr="00C4661E">
        <w:trPr>
          <w:jc w:val="center"/>
        </w:trPr>
        <w:tc>
          <w:tcPr>
            <w:tcW w:w="3544" w:type="dxa"/>
            <w:shd w:val="clear" w:color="auto" w:fill="auto"/>
          </w:tcPr>
          <w:p w14:paraId="2C4674D2" w14:textId="77777777" w:rsidR="003218A0" w:rsidRPr="00C71C2F" w:rsidRDefault="003218A0" w:rsidP="00C4661E">
            <w:pPr>
              <w:rPr>
                <w:rFonts w:ascii="Calibri" w:hAnsi="Calibri" w:cs="Calibri"/>
                <w:b/>
                <w:szCs w:val="24"/>
              </w:rPr>
            </w:pPr>
            <w:r w:rsidRPr="00C71C2F">
              <w:rPr>
                <w:rFonts w:ascii="Calibri" w:hAnsi="Calibri" w:cs="Calibri"/>
                <w:b/>
                <w:szCs w:val="24"/>
              </w:rPr>
              <w:t>Teacher</w:t>
            </w:r>
          </w:p>
          <w:p w14:paraId="25FC6678" w14:textId="77777777" w:rsidR="003218A0" w:rsidRPr="00C71C2F" w:rsidRDefault="003218A0" w:rsidP="00C4661E">
            <w:pPr>
              <w:rPr>
                <w:rFonts w:ascii="Calibri" w:hAnsi="Calibri" w:cs="Calibri"/>
                <w:b/>
                <w:szCs w:val="24"/>
              </w:rPr>
            </w:pPr>
          </w:p>
        </w:tc>
        <w:tc>
          <w:tcPr>
            <w:tcW w:w="6946" w:type="dxa"/>
            <w:shd w:val="clear" w:color="auto" w:fill="auto"/>
          </w:tcPr>
          <w:p w14:paraId="5EF3DCB0" w14:textId="77777777" w:rsidR="003218A0" w:rsidRPr="00C71C2F" w:rsidRDefault="003218A0" w:rsidP="00C4661E">
            <w:pPr>
              <w:jc w:val="center"/>
              <w:rPr>
                <w:rFonts w:ascii="Calibri" w:hAnsi="Calibri" w:cs="Calibri"/>
                <w:b/>
                <w:szCs w:val="24"/>
              </w:rPr>
            </w:pPr>
            <w:r>
              <w:rPr>
                <w:rFonts w:ascii="Calibri" w:hAnsi="Calibri" w:cs="Calibri"/>
                <w:b/>
                <w:szCs w:val="24"/>
              </w:rPr>
              <w:t>Tom Williams</w:t>
            </w:r>
          </w:p>
        </w:tc>
      </w:tr>
      <w:tr w:rsidR="003218A0" w:rsidRPr="00C71C2F" w14:paraId="30A98130" w14:textId="77777777" w:rsidTr="00C4661E">
        <w:trPr>
          <w:jc w:val="center"/>
        </w:trPr>
        <w:tc>
          <w:tcPr>
            <w:tcW w:w="3544" w:type="dxa"/>
            <w:shd w:val="clear" w:color="auto" w:fill="auto"/>
          </w:tcPr>
          <w:p w14:paraId="084AD7DF" w14:textId="77777777" w:rsidR="003218A0" w:rsidRPr="00C71C2F" w:rsidRDefault="003218A0" w:rsidP="00C4661E">
            <w:pPr>
              <w:rPr>
                <w:rFonts w:ascii="Calibri" w:hAnsi="Calibri" w:cs="Calibri"/>
                <w:b/>
                <w:szCs w:val="24"/>
              </w:rPr>
            </w:pPr>
            <w:r w:rsidRPr="00C71C2F">
              <w:rPr>
                <w:rFonts w:ascii="Calibri" w:hAnsi="Calibri" w:cs="Calibri"/>
                <w:b/>
                <w:szCs w:val="24"/>
              </w:rPr>
              <w:t>Date</w:t>
            </w:r>
          </w:p>
        </w:tc>
        <w:tc>
          <w:tcPr>
            <w:tcW w:w="6946" w:type="dxa"/>
            <w:shd w:val="clear" w:color="auto" w:fill="auto"/>
          </w:tcPr>
          <w:p w14:paraId="3A483285" w14:textId="77777777" w:rsidR="003218A0" w:rsidRPr="00C71C2F" w:rsidRDefault="003218A0" w:rsidP="00C4661E">
            <w:pPr>
              <w:rPr>
                <w:rFonts w:ascii="Calibri" w:hAnsi="Calibri" w:cs="Calibri"/>
                <w:b/>
                <w:szCs w:val="24"/>
              </w:rPr>
            </w:pPr>
          </w:p>
          <w:p w14:paraId="7EC6EE1B" w14:textId="77777777" w:rsidR="003218A0" w:rsidRPr="00C71C2F" w:rsidRDefault="003218A0" w:rsidP="00C4661E">
            <w:pPr>
              <w:jc w:val="center"/>
              <w:rPr>
                <w:rFonts w:ascii="Calibri" w:hAnsi="Calibri" w:cs="Calibri"/>
                <w:b/>
                <w:szCs w:val="24"/>
              </w:rPr>
            </w:pPr>
            <w:r>
              <w:rPr>
                <w:rFonts w:ascii="Calibri" w:hAnsi="Calibri" w:cs="Calibri"/>
                <w:b/>
                <w:szCs w:val="24"/>
              </w:rPr>
              <w:t>19/10/2023</w:t>
            </w:r>
          </w:p>
        </w:tc>
      </w:tr>
      <w:tr w:rsidR="003218A0" w:rsidRPr="00C71C2F" w14:paraId="4F0326D5" w14:textId="77777777" w:rsidTr="00C4661E">
        <w:trPr>
          <w:jc w:val="center"/>
        </w:trPr>
        <w:tc>
          <w:tcPr>
            <w:tcW w:w="3544" w:type="dxa"/>
            <w:shd w:val="clear" w:color="auto" w:fill="auto"/>
          </w:tcPr>
          <w:p w14:paraId="71CDE02E" w14:textId="77777777" w:rsidR="003218A0" w:rsidRPr="00C71C2F" w:rsidRDefault="003218A0" w:rsidP="00C4661E">
            <w:pPr>
              <w:rPr>
                <w:rFonts w:ascii="Calibri" w:hAnsi="Calibri" w:cs="Calibri"/>
                <w:b/>
                <w:szCs w:val="24"/>
              </w:rPr>
            </w:pPr>
            <w:r w:rsidRPr="00C71C2F">
              <w:rPr>
                <w:rFonts w:ascii="Calibri" w:hAnsi="Calibri" w:cs="Calibri"/>
                <w:b/>
                <w:szCs w:val="24"/>
              </w:rPr>
              <w:t>Group</w:t>
            </w:r>
          </w:p>
        </w:tc>
        <w:tc>
          <w:tcPr>
            <w:tcW w:w="6946" w:type="dxa"/>
            <w:shd w:val="clear" w:color="auto" w:fill="auto"/>
          </w:tcPr>
          <w:p w14:paraId="021E4B70" w14:textId="77777777" w:rsidR="003218A0" w:rsidRPr="00C71C2F" w:rsidRDefault="003218A0" w:rsidP="00C4661E">
            <w:pPr>
              <w:rPr>
                <w:rFonts w:ascii="Calibri" w:hAnsi="Calibri" w:cs="Calibri"/>
                <w:b/>
                <w:szCs w:val="24"/>
              </w:rPr>
            </w:pPr>
          </w:p>
          <w:p w14:paraId="5F40AB94" w14:textId="77777777" w:rsidR="003218A0" w:rsidRPr="00C71C2F" w:rsidRDefault="003218A0" w:rsidP="00C4661E">
            <w:pPr>
              <w:jc w:val="center"/>
              <w:rPr>
                <w:rFonts w:ascii="Calibri" w:hAnsi="Calibri" w:cs="Calibri"/>
                <w:b/>
                <w:szCs w:val="24"/>
              </w:rPr>
            </w:pPr>
            <w:r>
              <w:rPr>
                <w:rFonts w:ascii="Calibri" w:hAnsi="Calibri" w:cs="Calibri"/>
                <w:b/>
                <w:szCs w:val="24"/>
              </w:rPr>
              <w:t xml:space="preserve">Year 2 </w:t>
            </w:r>
            <w:proofErr w:type="spellStart"/>
            <w:r>
              <w:rPr>
                <w:rFonts w:ascii="Calibri" w:hAnsi="Calibri" w:cs="Calibri"/>
                <w:b/>
                <w:szCs w:val="24"/>
              </w:rPr>
              <w:t>Film&amp;TV</w:t>
            </w:r>
            <w:proofErr w:type="spellEnd"/>
          </w:p>
        </w:tc>
      </w:tr>
      <w:tr w:rsidR="003218A0" w:rsidRPr="00C71C2F" w14:paraId="17B5E49A" w14:textId="77777777" w:rsidTr="00C4661E">
        <w:trPr>
          <w:jc w:val="center"/>
        </w:trPr>
        <w:tc>
          <w:tcPr>
            <w:tcW w:w="3544" w:type="dxa"/>
            <w:tcBorders>
              <w:bottom w:val="single" w:sz="4" w:space="0" w:color="auto"/>
            </w:tcBorders>
            <w:shd w:val="clear" w:color="auto" w:fill="auto"/>
          </w:tcPr>
          <w:p w14:paraId="46F59098" w14:textId="77777777" w:rsidR="003218A0" w:rsidRPr="00C71C2F" w:rsidRDefault="003218A0" w:rsidP="00C4661E">
            <w:pPr>
              <w:rPr>
                <w:rFonts w:ascii="Calibri" w:hAnsi="Calibri" w:cs="Calibri"/>
                <w:b/>
                <w:szCs w:val="24"/>
              </w:rPr>
            </w:pPr>
            <w:r w:rsidRPr="00C71C2F">
              <w:rPr>
                <w:rFonts w:ascii="Calibri" w:hAnsi="Calibri" w:cs="Calibri"/>
                <w:b/>
                <w:szCs w:val="24"/>
              </w:rPr>
              <w:t>Topic/Context</w:t>
            </w:r>
          </w:p>
        </w:tc>
        <w:tc>
          <w:tcPr>
            <w:tcW w:w="6946" w:type="dxa"/>
            <w:tcBorders>
              <w:bottom w:val="single" w:sz="4" w:space="0" w:color="auto"/>
            </w:tcBorders>
            <w:shd w:val="clear" w:color="auto" w:fill="auto"/>
          </w:tcPr>
          <w:p w14:paraId="55B9018A" w14:textId="77777777" w:rsidR="003218A0" w:rsidRPr="00C71C2F" w:rsidRDefault="003218A0" w:rsidP="00C4661E">
            <w:pPr>
              <w:rPr>
                <w:rFonts w:ascii="Calibri" w:hAnsi="Calibri" w:cs="Calibri"/>
                <w:b/>
                <w:szCs w:val="24"/>
              </w:rPr>
            </w:pPr>
          </w:p>
          <w:p w14:paraId="357D01AC" w14:textId="77777777" w:rsidR="003218A0" w:rsidRPr="00C71C2F" w:rsidRDefault="003218A0" w:rsidP="00C4661E">
            <w:pPr>
              <w:jc w:val="center"/>
              <w:rPr>
                <w:rFonts w:ascii="Calibri" w:hAnsi="Calibri" w:cs="Calibri"/>
                <w:b/>
                <w:szCs w:val="24"/>
              </w:rPr>
            </w:pPr>
            <w:r>
              <w:rPr>
                <w:rFonts w:ascii="Calibri" w:hAnsi="Calibri" w:cs="Calibri"/>
                <w:b/>
                <w:szCs w:val="24"/>
              </w:rPr>
              <w:t>Tech Dem Workshop</w:t>
            </w:r>
          </w:p>
        </w:tc>
      </w:tr>
      <w:tr w:rsidR="003218A0" w:rsidRPr="00C71C2F" w14:paraId="3DA193D2" w14:textId="77777777" w:rsidTr="00C4661E">
        <w:trPr>
          <w:jc w:val="center"/>
        </w:trPr>
        <w:tc>
          <w:tcPr>
            <w:tcW w:w="10490" w:type="dxa"/>
            <w:gridSpan w:val="2"/>
            <w:shd w:val="clear" w:color="auto" w:fill="auto"/>
          </w:tcPr>
          <w:p w14:paraId="48E73A1F" w14:textId="0BA900F7" w:rsidR="003218A0" w:rsidRDefault="003218A0" w:rsidP="00C4661E">
            <w:pPr>
              <w:rPr>
                <w:rFonts w:ascii="Calibri" w:hAnsi="Calibri" w:cs="Calibri"/>
                <w:b/>
                <w:szCs w:val="24"/>
              </w:rPr>
            </w:pPr>
            <w:r w:rsidRPr="00C71C2F">
              <w:rPr>
                <w:rFonts w:ascii="Calibri" w:hAnsi="Calibri" w:cs="Calibri"/>
                <w:b/>
                <w:szCs w:val="24"/>
              </w:rPr>
              <w:t>Notes on the lesson:</w:t>
            </w:r>
          </w:p>
          <w:p w14:paraId="455EE4B1" w14:textId="6E218EC1" w:rsidR="003218A0" w:rsidRDefault="003218A0" w:rsidP="00C4661E">
            <w:pPr>
              <w:rPr>
                <w:rFonts w:ascii="Calibri" w:hAnsi="Calibri" w:cs="Calibri"/>
                <w:bCs/>
                <w:szCs w:val="24"/>
              </w:rPr>
            </w:pPr>
            <w:r>
              <w:rPr>
                <w:rFonts w:ascii="Calibri" w:hAnsi="Calibri" w:cs="Calibri"/>
                <w:bCs/>
                <w:szCs w:val="24"/>
              </w:rPr>
              <w:t>Laissez-faire attitude/approach but still giving ‘orders’ – (says have the group who filmed inside last week testing lighting must go outside to film in natural light, and vice-versa). More peer environment instead of a lecturer-student environment</w:t>
            </w:r>
          </w:p>
          <w:p w14:paraId="71CB8261" w14:textId="186E7E59" w:rsidR="003218A0" w:rsidRDefault="003218A0" w:rsidP="00C4661E">
            <w:pPr>
              <w:rPr>
                <w:rFonts w:ascii="Calibri" w:hAnsi="Calibri" w:cs="Calibri"/>
                <w:bCs/>
                <w:szCs w:val="24"/>
              </w:rPr>
            </w:pPr>
            <w:r>
              <w:rPr>
                <w:rFonts w:ascii="Calibri" w:hAnsi="Calibri" w:cs="Calibri"/>
                <w:bCs/>
                <w:szCs w:val="24"/>
              </w:rPr>
              <w:t xml:space="preserve">In the classroom rather than the lecture theatre like Kylie. </w:t>
            </w:r>
          </w:p>
          <w:p w14:paraId="1C57E47E" w14:textId="61F1D61A" w:rsidR="003218A0" w:rsidRDefault="003218A0" w:rsidP="00C4661E">
            <w:pPr>
              <w:rPr>
                <w:rFonts w:ascii="Calibri" w:hAnsi="Calibri" w:cs="Calibri"/>
                <w:bCs/>
                <w:szCs w:val="24"/>
              </w:rPr>
            </w:pPr>
            <w:r>
              <w:rPr>
                <w:rFonts w:ascii="Calibri" w:hAnsi="Calibri" w:cs="Calibri"/>
                <w:bCs/>
                <w:szCs w:val="24"/>
              </w:rPr>
              <w:t>Workshop on music videos.</w:t>
            </w:r>
          </w:p>
          <w:p w14:paraId="686212A2" w14:textId="15AF7F03" w:rsidR="003218A0" w:rsidRPr="00966367" w:rsidRDefault="003218A0" w:rsidP="00C4661E">
            <w:pPr>
              <w:rPr>
                <w:rFonts w:ascii="Calibri" w:hAnsi="Calibri" w:cs="Calibri"/>
                <w:bCs/>
                <w:szCs w:val="24"/>
              </w:rPr>
            </w:pPr>
            <w:r>
              <w:rPr>
                <w:rFonts w:ascii="Calibri" w:hAnsi="Calibri" w:cs="Calibri"/>
                <w:bCs/>
                <w:szCs w:val="24"/>
              </w:rPr>
              <w:t>Instant engagement by asking students for the last song they listened to – this introduces the theme of the lesson.</w:t>
            </w:r>
          </w:p>
          <w:p w14:paraId="468B4481" w14:textId="08A84838" w:rsidR="003218A0" w:rsidRDefault="003218A0" w:rsidP="00C4661E">
            <w:pPr>
              <w:rPr>
                <w:rFonts w:ascii="Calibri" w:hAnsi="Calibri" w:cs="Calibri"/>
                <w:bCs/>
                <w:szCs w:val="24"/>
              </w:rPr>
            </w:pPr>
            <w:r>
              <w:rPr>
                <w:rFonts w:ascii="Calibri" w:hAnsi="Calibri" w:cs="Calibri"/>
                <w:bCs/>
                <w:szCs w:val="24"/>
              </w:rPr>
              <w:t xml:space="preserve">PowerPoint presentation – black background with white text (not dyslexia friendly). simple design, headings/questions, and points on screen then Tom expands himself. Constantly asking students for thoughts/opinions and questioning them to test knowledge and understanding. Always expands on every answer and explaining effectively </w:t>
            </w:r>
          </w:p>
          <w:p w14:paraId="2E1EDAB8" w14:textId="3AE753AD" w:rsidR="003218A0" w:rsidRDefault="003218A0" w:rsidP="00C4661E">
            <w:pPr>
              <w:rPr>
                <w:rFonts w:ascii="Calibri" w:hAnsi="Calibri" w:cs="Calibri"/>
                <w:bCs/>
                <w:szCs w:val="24"/>
              </w:rPr>
            </w:pPr>
            <w:r>
              <w:rPr>
                <w:rFonts w:ascii="Calibri" w:hAnsi="Calibri" w:cs="Calibri"/>
                <w:bCs/>
                <w:szCs w:val="24"/>
              </w:rPr>
              <w:t>Immediately relating music and film. Asking what music can do for a film, going off of students’ answers and expanding their answers for the class</w:t>
            </w:r>
          </w:p>
          <w:p w14:paraId="188E5957" w14:textId="5781EAB0" w:rsidR="003218A0" w:rsidRDefault="003218A0" w:rsidP="00C4661E">
            <w:pPr>
              <w:rPr>
                <w:rFonts w:ascii="Calibri" w:hAnsi="Calibri" w:cs="Calibri"/>
                <w:bCs/>
                <w:szCs w:val="24"/>
              </w:rPr>
            </w:pPr>
            <w:r>
              <w:rPr>
                <w:rFonts w:ascii="Calibri" w:hAnsi="Calibri" w:cs="Calibri"/>
                <w:bCs/>
                <w:szCs w:val="24"/>
              </w:rPr>
              <w:t>Explaining the effect of music and why it’s needed in film/what it adds</w:t>
            </w:r>
          </w:p>
          <w:p w14:paraId="0D99EE2A" w14:textId="2E154FC9" w:rsidR="003218A0" w:rsidRDefault="003218A0" w:rsidP="00C4661E">
            <w:pPr>
              <w:rPr>
                <w:rFonts w:ascii="Calibri" w:hAnsi="Calibri" w:cs="Calibri"/>
                <w:bCs/>
                <w:szCs w:val="24"/>
              </w:rPr>
            </w:pPr>
            <w:r>
              <w:rPr>
                <w:rFonts w:ascii="Calibri" w:hAnsi="Calibri" w:cs="Calibri"/>
                <w:bCs/>
                <w:szCs w:val="24"/>
              </w:rPr>
              <w:t>Provides examples that are fun (‘grown ups’ example for diegetic and non-diegetic sound)</w:t>
            </w:r>
          </w:p>
          <w:p w14:paraId="27D95C06" w14:textId="02A29070" w:rsidR="003218A0" w:rsidRDefault="003218A0" w:rsidP="00C4661E">
            <w:pPr>
              <w:rPr>
                <w:rFonts w:ascii="Calibri" w:hAnsi="Calibri" w:cs="Calibri"/>
                <w:bCs/>
                <w:szCs w:val="24"/>
              </w:rPr>
            </w:pPr>
            <w:r>
              <w:rPr>
                <w:rFonts w:ascii="Calibri" w:hAnsi="Calibri" w:cs="Calibri"/>
                <w:bCs/>
                <w:szCs w:val="24"/>
              </w:rPr>
              <w:t xml:space="preserve">Much higher engagement, possibly due to nature of the lesson. Class is about cinematography, so lots of assessing students what shots do, their effect, why this is being done. After introducing methods and skills he always asks students what they are, why it gets used, etc. Again, always expanding on student’s answers. Allowing student to </w:t>
            </w:r>
            <w:r>
              <w:rPr>
                <w:rFonts w:ascii="Calibri" w:hAnsi="Calibri" w:cs="Calibri"/>
                <w:bCs/>
                <w:szCs w:val="24"/>
              </w:rPr>
              <w:lastRenderedPageBreak/>
              <w:t>be a part of the lesson, students feel comfortable asking questions and adding to existing points to further their understanding. Debate and discussion are always welcome.</w:t>
            </w:r>
          </w:p>
          <w:p w14:paraId="5AA6CC99" w14:textId="318BD7EE" w:rsidR="003218A0" w:rsidRDefault="003218A0" w:rsidP="00C4661E">
            <w:pPr>
              <w:rPr>
                <w:rFonts w:ascii="Calibri" w:hAnsi="Calibri" w:cs="Calibri"/>
                <w:bCs/>
                <w:szCs w:val="24"/>
              </w:rPr>
            </w:pPr>
            <w:r>
              <w:rPr>
                <w:rFonts w:ascii="Calibri" w:hAnsi="Calibri" w:cs="Calibri"/>
                <w:bCs/>
                <w:szCs w:val="24"/>
              </w:rPr>
              <w:t>Showing music video example and asking questions throughout</w:t>
            </w:r>
          </w:p>
          <w:p w14:paraId="4C03F328" w14:textId="77777777" w:rsidR="003218A0" w:rsidRDefault="003218A0" w:rsidP="00C4661E">
            <w:pPr>
              <w:rPr>
                <w:rFonts w:ascii="Calibri" w:hAnsi="Calibri" w:cs="Calibri"/>
                <w:bCs/>
                <w:szCs w:val="24"/>
              </w:rPr>
            </w:pPr>
            <w:r>
              <w:rPr>
                <w:rFonts w:ascii="Calibri" w:hAnsi="Calibri" w:cs="Calibri"/>
                <w:bCs/>
                <w:szCs w:val="24"/>
              </w:rPr>
              <w:t>Task – identify theme within genres</w:t>
            </w:r>
          </w:p>
          <w:p w14:paraId="4E941CBF" w14:textId="77777777" w:rsidR="003218A0" w:rsidRDefault="003218A0" w:rsidP="00C4661E">
            <w:pPr>
              <w:rPr>
                <w:rFonts w:ascii="Calibri" w:hAnsi="Calibri" w:cs="Calibri"/>
                <w:bCs/>
                <w:szCs w:val="24"/>
              </w:rPr>
            </w:pPr>
            <w:r>
              <w:rPr>
                <w:rFonts w:ascii="Calibri" w:hAnsi="Calibri" w:cs="Calibri"/>
                <w:bCs/>
                <w:szCs w:val="24"/>
              </w:rPr>
              <w:t>Identify the specifics of creative camera within chosen games</w:t>
            </w:r>
          </w:p>
          <w:p w14:paraId="128AD74B" w14:textId="5CE784A0" w:rsidR="003218A0" w:rsidRDefault="003218A0" w:rsidP="00C4661E">
            <w:pPr>
              <w:rPr>
                <w:rFonts w:ascii="Calibri" w:hAnsi="Calibri" w:cs="Calibri"/>
                <w:bCs/>
                <w:szCs w:val="24"/>
              </w:rPr>
            </w:pPr>
            <w:r>
              <w:rPr>
                <w:rFonts w:ascii="Calibri" w:hAnsi="Calibri" w:cs="Calibri"/>
                <w:bCs/>
                <w:szCs w:val="24"/>
              </w:rPr>
              <w:t>replicate a shot from a chosen music video</w:t>
            </w:r>
          </w:p>
          <w:p w14:paraId="7B43B257" w14:textId="38D7E3B0" w:rsidR="003218A0" w:rsidRPr="00966367" w:rsidRDefault="003218A0" w:rsidP="00C4661E">
            <w:pPr>
              <w:rPr>
                <w:rFonts w:ascii="Calibri" w:hAnsi="Calibri" w:cs="Calibri"/>
                <w:bCs/>
                <w:szCs w:val="24"/>
              </w:rPr>
            </w:pPr>
            <w:r>
              <w:rPr>
                <w:rFonts w:ascii="Calibri" w:hAnsi="Calibri" w:cs="Calibri"/>
                <w:bCs/>
                <w:szCs w:val="24"/>
              </w:rPr>
              <w:t xml:space="preserve">Allows students to look at cameras and decide which ones they would like to use for the task. Gives them timeframe to complete the task. Involved in their decision process such as watching the videos students have chosen and encouraging them/words of encouragement. </w:t>
            </w:r>
          </w:p>
          <w:p w14:paraId="5E4C0331" w14:textId="4D46B08D" w:rsidR="003218A0" w:rsidRDefault="003218A0" w:rsidP="00C4661E">
            <w:pPr>
              <w:rPr>
                <w:rFonts w:ascii="Calibri" w:hAnsi="Calibri" w:cs="Calibri"/>
                <w:bCs/>
                <w:szCs w:val="24"/>
              </w:rPr>
            </w:pPr>
            <w:r>
              <w:rPr>
                <w:rFonts w:ascii="Calibri" w:hAnsi="Calibri" w:cs="Calibri"/>
                <w:bCs/>
                <w:szCs w:val="24"/>
              </w:rPr>
              <w:t>Physical demonstration on use of equipment. Has students gathered around while he demonstrates and introduces them to the equipment, stating names and uses. Also adds in about how students can take out this kit for other projects/modules.</w:t>
            </w:r>
          </w:p>
          <w:p w14:paraId="56478602" w14:textId="26AEF885" w:rsidR="003218A0" w:rsidRDefault="003218A0" w:rsidP="00C4661E">
            <w:pPr>
              <w:rPr>
                <w:rFonts w:ascii="Calibri" w:hAnsi="Calibri" w:cs="Calibri"/>
                <w:bCs/>
                <w:szCs w:val="24"/>
              </w:rPr>
            </w:pPr>
            <w:r>
              <w:rPr>
                <w:rFonts w:ascii="Calibri" w:hAnsi="Calibri" w:cs="Calibri"/>
                <w:bCs/>
                <w:szCs w:val="24"/>
              </w:rPr>
              <w:t>Takes kit out for students, offers help, asks questions to encourage participation (do you want the greenscreen or do you want me to take it down?</w:t>
            </w:r>
            <w:r w:rsidR="00966367">
              <w:rPr>
                <w:rFonts w:ascii="Calibri" w:hAnsi="Calibri" w:cs="Calibri"/>
                <w:bCs/>
                <w:szCs w:val="24"/>
              </w:rPr>
              <w:t>)</w:t>
            </w:r>
          </w:p>
          <w:p w14:paraId="687B5228" w14:textId="38A82C0E" w:rsidR="003218A0" w:rsidRPr="00966367" w:rsidRDefault="003218A0" w:rsidP="00C4661E">
            <w:pPr>
              <w:rPr>
                <w:rFonts w:ascii="Calibri" w:hAnsi="Calibri" w:cs="Calibri"/>
                <w:bCs/>
                <w:szCs w:val="24"/>
              </w:rPr>
            </w:pPr>
            <w:r>
              <w:rPr>
                <w:rFonts w:ascii="Calibri" w:hAnsi="Calibri" w:cs="Calibri"/>
                <w:bCs/>
                <w:szCs w:val="24"/>
              </w:rPr>
              <w:t>Allows students to talk through their ideas and explain themselves, offers to add to these ideas and talks to students discussing how they can achieve this. Very encouraging throughout and guides students towards creating their ideas. allows student exploring their creativity</w:t>
            </w:r>
          </w:p>
          <w:p w14:paraId="02354799" w14:textId="2180BB38" w:rsidR="003218A0" w:rsidRDefault="003218A0" w:rsidP="00C4661E">
            <w:pPr>
              <w:rPr>
                <w:rFonts w:ascii="Calibri" w:hAnsi="Calibri" w:cs="Calibri"/>
                <w:bCs/>
                <w:szCs w:val="24"/>
              </w:rPr>
            </w:pPr>
            <w:r>
              <w:rPr>
                <w:rFonts w:ascii="Calibri" w:hAnsi="Calibri" w:cs="Calibri"/>
                <w:bCs/>
                <w:szCs w:val="24"/>
              </w:rPr>
              <w:t>Explains process – WHEN to turn main lights off – after everything else is set up. Transfers to work life in future. Walks through setting up with students when noticing they’re not knowledgeable. TEACHING STRATEGY.</w:t>
            </w:r>
          </w:p>
          <w:p w14:paraId="4AAD928E" w14:textId="629B0FF5" w:rsidR="003218A0" w:rsidRDefault="003218A0" w:rsidP="00C4661E">
            <w:pPr>
              <w:rPr>
                <w:rFonts w:ascii="Calibri" w:hAnsi="Calibri" w:cs="Calibri"/>
                <w:bCs/>
                <w:szCs w:val="24"/>
              </w:rPr>
            </w:pPr>
            <w:r>
              <w:rPr>
                <w:rFonts w:ascii="Calibri" w:hAnsi="Calibri" w:cs="Calibri"/>
                <w:bCs/>
                <w:szCs w:val="24"/>
              </w:rPr>
              <w:t>Health and safety and warnings giving to students. Always supervising and keeping up with what they’re doing</w:t>
            </w:r>
          </w:p>
          <w:p w14:paraId="3D0D5FAD" w14:textId="71C0282E" w:rsidR="003218A0" w:rsidRDefault="003218A0" w:rsidP="00C4661E">
            <w:pPr>
              <w:rPr>
                <w:rFonts w:ascii="Calibri" w:hAnsi="Calibri" w:cs="Calibri"/>
                <w:bCs/>
                <w:szCs w:val="24"/>
              </w:rPr>
            </w:pPr>
            <w:r>
              <w:rPr>
                <w:rFonts w:ascii="Calibri" w:hAnsi="Calibri" w:cs="Calibri"/>
                <w:bCs/>
                <w:szCs w:val="24"/>
              </w:rPr>
              <w:t>Individualizes help and support to each group, gives them advice on how to recreate a scene.</w:t>
            </w:r>
          </w:p>
          <w:p w14:paraId="667516F0" w14:textId="73D2686A" w:rsidR="003218A0" w:rsidRDefault="003218A0" w:rsidP="00C4661E">
            <w:pPr>
              <w:rPr>
                <w:rFonts w:ascii="Calibri" w:hAnsi="Calibri" w:cs="Calibri"/>
                <w:bCs/>
                <w:szCs w:val="24"/>
              </w:rPr>
            </w:pPr>
            <w:r>
              <w:rPr>
                <w:rFonts w:ascii="Calibri" w:hAnsi="Calibri" w:cs="Calibri"/>
                <w:bCs/>
                <w:szCs w:val="24"/>
              </w:rPr>
              <w:t>Reminds students of timeframe and how much time they have left</w:t>
            </w:r>
          </w:p>
          <w:p w14:paraId="0CD5D959" w14:textId="69FCA683" w:rsidR="003218A0" w:rsidRDefault="003218A0" w:rsidP="00C4661E">
            <w:pPr>
              <w:rPr>
                <w:rFonts w:ascii="Calibri" w:hAnsi="Calibri" w:cs="Calibri"/>
                <w:bCs/>
                <w:szCs w:val="24"/>
              </w:rPr>
            </w:pPr>
            <w:r>
              <w:rPr>
                <w:rFonts w:ascii="Calibri" w:hAnsi="Calibri" w:cs="Calibri"/>
                <w:bCs/>
                <w:szCs w:val="24"/>
              </w:rPr>
              <w:t xml:space="preserve">‘hovers’ around the room keeping up with students’ progress and offers help continuously </w:t>
            </w:r>
          </w:p>
          <w:p w14:paraId="306C1655" w14:textId="1C8CE11C" w:rsidR="003218A0" w:rsidRPr="00966367" w:rsidRDefault="003218A0" w:rsidP="00C4661E">
            <w:pPr>
              <w:rPr>
                <w:rFonts w:ascii="Calibri" w:hAnsi="Calibri" w:cs="Calibri"/>
                <w:bCs/>
                <w:szCs w:val="24"/>
              </w:rPr>
            </w:pPr>
            <w:r>
              <w:rPr>
                <w:rFonts w:ascii="Calibri" w:hAnsi="Calibri" w:cs="Calibri"/>
                <w:bCs/>
                <w:szCs w:val="24"/>
              </w:rPr>
              <w:t>Shows the students’ final work to the class at the end, walks through what was done well and what could be improved.</w:t>
            </w:r>
          </w:p>
        </w:tc>
      </w:tr>
      <w:tr w:rsidR="003218A0" w:rsidRPr="00C71C2F" w14:paraId="7050E6C0" w14:textId="77777777" w:rsidTr="00C4661E">
        <w:trPr>
          <w:jc w:val="center"/>
        </w:trPr>
        <w:tc>
          <w:tcPr>
            <w:tcW w:w="10490" w:type="dxa"/>
            <w:gridSpan w:val="2"/>
            <w:shd w:val="clear" w:color="auto" w:fill="auto"/>
          </w:tcPr>
          <w:p w14:paraId="69EBAAF3" w14:textId="63A4A9C4" w:rsidR="003218A0" w:rsidRDefault="003218A0" w:rsidP="00C4661E">
            <w:pPr>
              <w:rPr>
                <w:rFonts w:ascii="Calibri" w:hAnsi="Calibri" w:cs="Calibri"/>
                <w:b/>
                <w:szCs w:val="24"/>
              </w:rPr>
            </w:pPr>
            <w:r w:rsidRPr="00C71C2F">
              <w:rPr>
                <w:rFonts w:ascii="Calibri" w:hAnsi="Calibri" w:cs="Calibri"/>
                <w:b/>
                <w:szCs w:val="24"/>
              </w:rPr>
              <w:t>What I have learned:</w:t>
            </w:r>
          </w:p>
          <w:p w14:paraId="4C0ED6BD" w14:textId="3F119FB1" w:rsidR="003218A0" w:rsidRPr="00966367" w:rsidRDefault="003218A0" w:rsidP="00C4661E">
            <w:pPr>
              <w:rPr>
                <w:rFonts w:ascii="Calibri" w:hAnsi="Calibri" w:cs="Calibri"/>
                <w:bCs/>
                <w:szCs w:val="24"/>
              </w:rPr>
            </w:pPr>
            <w:r>
              <w:rPr>
                <w:rFonts w:ascii="Calibri" w:hAnsi="Calibri" w:cs="Calibri"/>
                <w:bCs/>
                <w:szCs w:val="24"/>
              </w:rPr>
              <w:t>Giving students autonomy increases and encourages engagement, but it is always important to readily provide help and guidance. Allowing students to explore their creativity and guide them towards producing them instead of ordering them what to do is best to increase engagement.</w:t>
            </w:r>
          </w:p>
        </w:tc>
      </w:tr>
      <w:tr w:rsidR="003218A0" w:rsidRPr="00C71C2F" w14:paraId="0381FC30" w14:textId="77777777" w:rsidTr="00C4661E">
        <w:trPr>
          <w:jc w:val="center"/>
        </w:trPr>
        <w:tc>
          <w:tcPr>
            <w:tcW w:w="10490" w:type="dxa"/>
            <w:gridSpan w:val="2"/>
            <w:shd w:val="clear" w:color="auto" w:fill="auto"/>
          </w:tcPr>
          <w:p w14:paraId="255330C0" w14:textId="5AF82051" w:rsidR="00966367" w:rsidRPr="00966367" w:rsidRDefault="003218A0" w:rsidP="00C4661E">
            <w:pPr>
              <w:rPr>
                <w:rFonts w:ascii="Calibri" w:hAnsi="Calibri" w:cs="Calibri"/>
                <w:b/>
                <w:bCs/>
              </w:rPr>
            </w:pPr>
            <w:r w:rsidRPr="1B5D5813">
              <w:rPr>
                <w:rFonts w:ascii="Calibri" w:hAnsi="Calibri" w:cs="Calibri"/>
                <w:b/>
                <w:bCs/>
              </w:rPr>
              <w:t>Targets to improve my own practice (mapped to professional standards):</w:t>
            </w:r>
            <w:r w:rsidR="00966367">
              <w:rPr>
                <w:rFonts w:ascii="Calibri" w:hAnsi="Calibri" w:cs="Calibri"/>
                <w:b/>
                <w:bCs/>
              </w:rPr>
              <w:t xml:space="preserve"> </w:t>
            </w:r>
            <w:r>
              <w:rPr>
                <w:rFonts w:ascii="Calibri" w:hAnsi="Calibri" w:cs="Calibri"/>
              </w:rPr>
              <w:t>I would like to utilise V2 of the professional standards by using what I have learned from Tom’s approach and applying it to my own practice so I can promote engagement and provide opportunity for students</w:t>
            </w:r>
            <w:r w:rsidR="00966367">
              <w:rPr>
                <w:rFonts w:ascii="Calibri" w:hAnsi="Calibri" w:cs="Calibri"/>
              </w:rPr>
              <w:t>.</w:t>
            </w:r>
          </w:p>
        </w:tc>
      </w:tr>
    </w:tbl>
    <w:p w14:paraId="386A413D" w14:textId="77777777" w:rsidR="003218A0" w:rsidRPr="00F86CBE" w:rsidRDefault="003218A0" w:rsidP="00EA2979">
      <w:pPr>
        <w:spacing w:line="360" w:lineRule="auto"/>
      </w:pPr>
    </w:p>
    <w:sectPr w:rsidR="003218A0" w:rsidRPr="00F86C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1DBD9" w14:textId="77777777" w:rsidR="00377EB2" w:rsidRDefault="00377EB2" w:rsidP="00DF17A5">
      <w:pPr>
        <w:spacing w:after="0" w:line="240" w:lineRule="auto"/>
      </w:pPr>
      <w:r>
        <w:separator/>
      </w:r>
    </w:p>
  </w:endnote>
  <w:endnote w:type="continuationSeparator" w:id="0">
    <w:p w14:paraId="7F00444B" w14:textId="77777777" w:rsidR="00377EB2" w:rsidRDefault="00377EB2" w:rsidP="00DF1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5C7A4" w14:textId="77777777" w:rsidR="00377EB2" w:rsidRDefault="00377EB2" w:rsidP="00DF17A5">
      <w:pPr>
        <w:spacing w:after="0" w:line="240" w:lineRule="auto"/>
      </w:pPr>
      <w:r>
        <w:separator/>
      </w:r>
    </w:p>
  </w:footnote>
  <w:footnote w:type="continuationSeparator" w:id="0">
    <w:p w14:paraId="552ABDEC" w14:textId="77777777" w:rsidR="00377EB2" w:rsidRDefault="00377EB2" w:rsidP="00DF17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D0474"/>
    <w:multiLevelType w:val="hybridMultilevel"/>
    <w:tmpl w:val="2A86B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57883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279"/>
    <w:rsid w:val="00017588"/>
    <w:rsid w:val="000F538D"/>
    <w:rsid w:val="00105B65"/>
    <w:rsid w:val="001C2863"/>
    <w:rsid w:val="00241025"/>
    <w:rsid w:val="002F4AFF"/>
    <w:rsid w:val="003218A0"/>
    <w:rsid w:val="00377EB2"/>
    <w:rsid w:val="003A4201"/>
    <w:rsid w:val="003E3279"/>
    <w:rsid w:val="0042624B"/>
    <w:rsid w:val="004913CE"/>
    <w:rsid w:val="00513C36"/>
    <w:rsid w:val="006B5F48"/>
    <w:rsid w:val="007139AA"/>
    <w:rsid w:val="00770608"/>
    <w:rsid w:val="008677C4"/>
    <w:rsid w:val="00966367"/>
    <w:rsid w:val="009E3C88"/>
    <w:rsid w:val="00A4548A"/>
    <w:rsid w:val="00A56A90"/>
    <w:rsid w:val="00A72A15"/>
    <w:rsid w:val="00B902ED"/>
    <w:rsid w:val="00CC67F1"/>
    <w:rsid w:val="00DF17A5"/>
    <w:rsid w:val="00E172FC"/>
    <w:rsid w:val="00E508A4"/>
    <w:rsid w:val="00EA2979"/>
    <w:rsid w:val="00F10795"/>
    <w:rsid w:val="00F57F96"/>
    <w:rsid w:val="00F67A61"/>
    <w:rsid w:val="00F86CBE"/>
    <w:rsid w:val="00FF2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21DDF"/>
  <w15:chartTrackingRefBased/>
  <w15:docId w15:val="{CA028E2E-A687-F445-976E-7BC2656FA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2979"/>
  </w:style>
  <w:style w:type="paragraph" w:styleId="Heading1">
    <w:name w:val="heading 1"/>
    <w:basedOn w:val="Normal"/>
    <w:next w:val="Normal"/>
    <w:link w:val="Heading1Char"/>
    <w:uiPriority w:val="9"/>
    <w:qFormat/>
    <w:rsid w:val="00EA297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EA2979"/>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EA2979"/>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EA2979"/>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EA2979"/>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EA2979"/>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EA2979"/>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A2979"/>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EA2979"/>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97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EA297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semiHidden/>
    <w:rsid w:val="00EA297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EA297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EA297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EA297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EA297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A2979"/>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EA297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EA2979"/>
    <w:pPr>
      <w:spacing w:line="240" w:lineRule="auto"/>
    </w:pPr>
    <w:rPr>
      <w:b/>
      <w:bCs/>
      <w:color w:val="4472C4" w:themeColor="accent1"/>
      <w:sz w:val="18"/>
      <w:szCs w:val="18"/>
    </w:rPr>
  </w:style>
  <w:style w:type="paragraph" w:styleId="Title">
    <w:name w:val="Title"/>
    <w:basedOn w:val="Normal"/>
    <w:next w:val="Normal"/>
    <w:link w:val="TitleChar"/>
    <w:uiPriority w:val="10"/>
    <w:qFormat/>
    <w:rsid w:val="00EA2979"/>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A2979"/>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EA2979"/>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EA2979"/>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EA2979"/>
    <w:rPr>
      <w:b/>
      <w:bCs/>
    </w:rPr>
  </w:style>
  <w:style w:type="character" w:styleId="Emphasis">
    <w:name w:val="Emphasis"/>
    <w:basedOn w:val="DefaultParagraphFont"/>
    <w:uiPriority w:val="20"/>
    <w:qFormat/>
    <w:rsid w:val="00EA2979"/>
    <w:rPr>
      <w:i/>
      <w:iCs/>
    </w:rPr>
  </w:style>
  <w:style w:type="paragraph" w:styleId="NoSpacing">
    <w:name w:val="No Spacing"/>
    <w:link w:val="NoSpacingChar"/>
    <w:uiPriority w:val="1"/>
    <w:qFormat/>
    <w:rsid w:val="00EA2979"/>
    <w:pPr>
      <w:spacing w:after="0" w:line="240" w:lineRule="auto"/>
    </w:pPr>
  </w:style>
  <w:style w:type="character" w:customStyle="1" w:styleId="NoSpacingChar">
    <w:name w:val="No Spacing Char"/>
    <w:basedOn w:val="DefaultParagraphFont"/>
    <w:link w:val="NoSpacing"/>
    <w:uiPriority w:val="1"/>
    <w:rsid w:val="00EA2979"/>
  </w:style>
  <w:style w:type="paragraph" w:styleId="ListParagraph">
    <w:name w:val="List Paragraph"/>
    <w:basedOn w:val="Normal"/>
    <w:uiPriority w:val="34"/>
    <w:qFormat/>
    <w:rsid w:val="00EA2979"/>
    <w:pPr>
      <w:ind w:left="720"/>
      <w:contextualSpacing/>
    </w:pPr>
  </w:style>
  <w:style w:type="paragraph" w:styleId="Quote">
    <w:name w:val="Quote"/>
    <w:basedOn w:val="Normal"/>
    <w:next w:val="Normal"/>
    <w:link w:val="QuoteChar"/>
    <w:uiPriority w:val="29"/>
    <w:qFormat/>
    <w:rsid w:val="00EA2979"/>
    <w:rPr>
      <w:i/>
      <w:iCs/>
      <w:color w:val="000000" w:themeColor="text1"/>
    </w:rPr>
  </w:style>
  <w:style w:type="character" w:customStyle="1" w:styleId="QuoteChar">
    <w:name w:val="Quote Char"/>
    <w:basedOn w:val="DefaultParagraphFont"/>
    <w:link w:val="Quote"/>
    <w:uiPriority w:val="29"/>
    <w:rsid w:val="00EA2979"/>
    <w:rPr>
      <w:i/>
      <w:iCs/>
      <w:color w:val="000000" w:themeColor="text1"/>
    </w:rPr>
  </w:style>
  <w:style w:type="paragraph" w:styleId="IntenseQuote">
    <w:name w:val="Intense Quote"/>
    <w:basedOn w:val="Normal"/>
    <w:next w:val="Normal"/>
    <w:link w:val="IntenseQuoteChar"/>
    <w:uiPriority w:val="30"/>
    <w:qFormat/>
    <w:rsid w:val="00EA2979"/>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EA2979"/>
    <w:rPr>
      <w:b/>
      <w:bCs/>
      <w:i/>
      <w:iCs/>
      <w:color w:val="4472C4" w:themeColor="accent1"/>
    </w:rPr>
  </w:style>
  <w:style w:type="character" w:styleId="SubtleEmphasis">
    <w:name w:val="Subtle Emphasis"/>
    <w:basedOn w:val="DefaultParagraphFont"/>
    <w:uiPriority w:val="19"/>
    <w:qFormat/>
    <w:rsid w:val="00EA2979"/>
    <w:rPr>
      <w:i/>
      <w:iCs/>
      <w:color w:val="808080" w:themeColor="text1" w:themeTint="7F"/>
    </w:rPr>
  </w:style>
  <w:style w:type="character" w:styleId="IntenseEmphasis">
    <w:name w:val="Intense Emphasis"/>
    <w:basedOn w:val="DefaultParagraphFont"/>
    <w:uiPriority w:val="21"/>
    <w:qFormat/>
    <w:rsid w:val="00EA2979"/>
    <w:rPr>
      <w:b/>
      <w:bCs/>
      <w:i/>
      <w:iCs/>
      <w:color w:val="4472C4" w:themeColor="accent1"/>
    </w:rPr>
  </w:style>
  <w:style w:type="character" w:styleId="SubtleReference">
    <w:name w:val="Subtle Reference"/>
    <w:basedOn w:val="DefaultParagraphFont"/>
    <w:uiPriority w:val="31"/>
    <w:qFormat/>
    <w:rsid w:val="00EA2979"/>
    <w:rPr>
      <w:smallCaps/>
      <w:color w:val="ED7D31" w:themeColor="accent2"/>
      <w:u w:val="single"/>
    </w:rPr>
  </w:style>
  <w:style w:type="character" w:styleId="IntenseReference">
    <w:name w:val="Intense Reference"/>
    <w:basedOn w:val="DefaultParagraphFont"/>
    <w:uiPriority w:val="32"/>
    <w:qFormat/>
    <w:rsid w:val="00EA2979"/>
    <w:rPr>
      <w:b/>
      <w:bCs/>
      <w:smallCaps/>
      <w:color w:val="ED7D31" w:themeColor="accent2"/>
      <w:spacing w:val="5"/>
      <w:u w:val="single"/>
    </w:rPr>
  </w:style>
  <w:style w:type="character" w:styleId="BookTitle">
    <w:name w:val="Book Title"/>
    <w:basedOn w:val="DefaultParagraphFont"/>
    <w:uiPriority w:val="33"/>
    <w:qFormat/>
    <w:rsid w:val="00EA2979"/>
    <w:rPr>
      <w:b/>
      <w:bCs/>
      <w:smallCaps/>
      <w:spacing w:val="5"/>
    </w:rPr>
  </w:style>
  <w:style w:type="paragraph" w:styleId="TOCHeading">
    <w:name w:val="TOC Heading"/>
    <w:basedOn w:val="Heading1"/>
    <w:next w:val="Normal"/>
    <w:uiPriority w:val="39"/>
    <w:semiHidden/>
    <w:unhideWhenUsed/>
    <w:qFormat/>
    <w:rsid w:val="00EA2979"/>
    <w:pPr>
      <w:outlineLvl w:val="9"/>
    </w:pPr>
  </w:style>
  <w:style w:type="paragraph" w:customStyle="1" w:styleId="PersonalName">
    <w:name w:val="Personal Name"/>
    <w:basedOn w:val="Title"/>
    <w:rsid w:val="00EA2979"/>
    <w:rPr>
      <w:b/>
      <w:caps/>
      <w:color w:val="000000"/>
      <w:sz w:val="28"/>
      <w:szCs w:val="28"/>
    </w:rPr>
  </w:style>
  <w:style w:type="paragraph" w:styleId="NormalWeb">
    <w:name w:val="Normal (Web)"/>
    <w:basedOn w:val="Normal"/>
    <w:uiPriority w:val="99"/>
    <w:unhideWhenUsed/>
    <w:rsid w:val="001C28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C2863"/>
    <w:rPr>
      <w:color w:val="0563C1" w:themeColor="hyperlink"/>
      <w:u w:val="single"/>
    </w:rPr>
  </w:style>
  <w:style w:type="character" w:styleId="UnresolvedMention">
    <w:name w:val="Unresolved Mention"/>
    <w:basedOn w:val="DefaultParagraphFont"/>
    <w:uiPriority w:val="99"/>
    <w:semiHidden/>
    <w:unhideWhenUsed/>
    <w:rsid w:val="001C2863"/>
    <w:rPr>
      <w:color w:val="605E5C"/>
      <w:shd w:val="clear" w:color="auto" w:fill="E1DFDD"/>
    </w:rPr>
  </w:style>
  <w:style w:type="paragraph" w:styleId="Header">
    <w:name w:val="header"/>
    <w:basedOn w:val="Normal"/>
    <w:link w:val="HeaderChar"/>
    <w:uiPriority w:val="99"/>
    <w:unhideWhenUsed/>
    <w:rsid w:val="00DF17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17A5"/>
  </w:style>
  <w:style w:type="paragraph" w:styleId="Footer">
    <w:name w:val="footer"/>
    <w:basedOn w:val="Normal"/>
    <w:link w:val="FooterChar"/>
    <w:uiPriority w:val="99"/>
    <w:unhideWhenUsed/>
    <w:rsid w:val="00DF17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17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708</TotalTime>
  <Pages>13</Pages>
  <Words>3865</Words>
  <Characters>22034</Characters>
  <Application>Microsoft Office Word</Application>
  <DocSecurity>0</DocSecurity>
  <Lines>183</Lines>
  <Paragraphs>51</Paragraphs>
  <ScaleCrop>false</ScaleCrop>
  <Company/>
  <LinksUpToDate>false</LinksUpToDate>
  <CharactersWithSpaces>25848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Mccallum (1907466)</dc:creator>
  <cp:keywords/>
  <dc:description/>
  <cp:lastModifiedBy>Sophie Mccallum (1907466)</cp:lastModifiedBy>
  <cp:revision>35</cp:revision>
  <dcterms:created xsi:type="dcterms:W3CDTF">2023-11-09T12:56:00Z</dcterms:created>
  <dcterms:modified xsi:type="dcterms:W3CDTF">2023-11-16T15:48:00Z</dcterms:modified>
</cp:coreProperties>
</file>