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160"/>
        <w:ind w:hanging="0"/>
        <w:rPr>
          <w:lang w:val="en-US"/>
        </w:rPr>
      </w:pPr>
      <w:r>
        <w:rPr>
          <w:lang w:val="en-US"/>
        </w:rPr>
      </w:r>
    </w:p>
    <w:p>
      <w:pPr>
        <w:pStyle w:val="Normal"/>
        <w:spacing w:lineRule="auto" w:line="259" w:before="0" w:after="160"/>
        <w:ind w:hanging="0"/>
        <w:rPr>
          <w:lang w:val="en-US"/>
        </w:rPr>
      </w:pPr>
      <w:r>
        <w:rPr>
          <w:lang w:val="en-US"/>
        </w:rPr>
      </w:r>
    </w:p>
    <w:p>
      <w:pPr>
        <w:pStyle w:val="Normal"/>
        <w:spacing w:lineRule="auto" w:line="259" w:before="0" w:after="160"/>
        <w:ind w:hanging="0"/>
        <w:jc w:val="center"/>
        <w:rPr>
          <w:lang w:val="en-US"/>
        </w:rPr>
      </w:pPr>
      <w:r>
        <w:rPr>
          <w:lang w:val="en-US"/>
        </w:rPr>
        <w:t>Accounting and Finance</w:t>
      </w:r>
    </w:p>
    <w:p>
      <w:pPr>
        <w:pStyle w:val="Normal"/>
        <w:spacing w:lineRule="auto" w:line="259" w:before="0" w:after="160"/>
        <w:ind w:hanging="0"/>
        <w:jc w:val="center"/>
        <w:rPr>
          <w:lang w:val="en-US"/>
        </w:rPr>
      </w:pPr>
      <w:r>
        <w:rPr>
          <w:lang w:val="en-US"/>
        </w:rPr>
        <w:t>Na</w:t>
      </w:r>
      <w:r>
        <w:rPr>
          <w:color w:val="000000"/>
          <w:lang w:val="en-US"/>
        </w:rPr>
        <w:t>me: SAJOR JALLOH</w:t>
      </w:r>
    </w:p>
    <w:p>
      <w:pPr>
        <w:pStyle w:val="Normal"/>
        <w:spacing w:lineRule="auto" w:line="259" w:before="0" w:after="160"/>
        <w:ind w:hanging="0"/>
        <w:jc w:val="center"/>
        <w:rPr>
          <w:lang w:val="en-US"/>
        </w:rPr>
      </w:pPr>
      <w:r>
        <w:rPr>
          <w:color w:val="000000"/>
          <w:lang w:val="en-US"/>
        </w:rPr>
        <w:t>STUDENT NUMBER: 1920818</w:t>
      </w:r>
    </w:p>
    <w:p>
      <w:pPr>
        <w:pStyle w:val="Normal"/>
        <w:spacing w:lineRule="auto" w:line="259" w:before="0" w:after="160"/>
        <w:ind w:hanging="0"/>
        <w:jc w:val="center"/>
        <w:rPr>
          <w:color w:val="000000"/>
        </w:rPr>
      </w:pPr>
      <w:r>
        <w:rPr>
          <w:color w:val="000000"/>
          <w:lang w:val="en-US"/>
        </w:rPr>
        <w:t>LECTURE</w:t>
      </w:r>
      <w:r>
        <w:rPr>
          <w:b w:val="false"/>
          <w:bCs w:val="false"/>
          <w:color w:val="000000"/>
          <w:lang w:val="en-US"/>
        </w:rPr>
        <w:t>:</w:t>
      </w:r>
      <w:r>
        <w:rPr>
          <w:b w:val="false"/>
          <w:bCs w:val="false"/>
          <w:color w:val="000000"/>
          <w:sz w:val="24"/>
          <w:szCs w:val="24"/>
          <w:lang w:val="en-US"/>
        </w:rPr>
        <w:t xml:space="preserve"> </w:t>
      </w:r>
      <w:r>
        <w:rPr>
          <w:rFonts w:ascii="Segoe UI;Segoe UI Web (West European);Segoe UI;apple-system;BlinkMacSystemFont;Roboto;Helvetica Neue;sans-serif" w:hAnsi="Segoe UI;Segoe UI Web (West European);Segoe UI;apple-system;BlinkMacSystemFont;Roboto;Helvetica Neue;sans-serif"/>
          <w:b w:val="false"/>
          <w:bCs w:val="false"/>
          <w:i w:val="false"/>
          <w:caps w:val="false"/>
          <w:smallCaps w:val="false"/>
          <w:color w:val="000000"/>
          <w:spacing w:val="0"/>
          <w:sz w:val="24"/>
          <w:szCs w:val="24"/>
          <w:lang w:val="en-US"/>
        </w:rPr>
        <w:t>NADEEM MIRZA</w:t>
      </w:r>
      <w:r>
        <w:rPr>
          <w:b w:val="false"/>
          <w:bCs w:val="false"/>
          <w:color w:val="000000"/>
          <w:sz w:val="24"/>
          <w:szCs w:val="24"/>
          <w:lang w:val="en-US"/>
        </w:rPr>
        <w:t xml:space="preserve"> </w:t>
      </w:r>
    </w:p>
    <w:p>
      <w:pPr>
        <w:pStyle w:val="Normal"/>
        <w:spacing w:lineRule="auto" w:line="259" w:before="0" w:after="160"/>
        <w:ind w:hanging="0"/>
        <w:jc w:val="center"/>
        <w:rPr>
          <w:lang w:val="en-US"/>
        </w:rPr>
      </w:pPr>
      <w:r>
        <w:rPr>
          <w:lang w:val="en-US"/>
        </w:rPr>
      </w:r>
    </w:p>
    <w:sdt>
      <w:sdtPr>
        <w:docPartObj>
          <w:docPartGallery w:val="Table of Contents"/>
          <w:docPartUnique w:val="true"/>
        </w:docPartObj>
      </w:sdtPr>
      <w:sdtContent>
        <w:p>
          <w:pPr>
            <w:pStyle w:val="ContentsHeading"/>
            <w:jc w:val="center"/>
            <w:rPr>
              <w:b/>
              <w:b/>
              <w:bCs/>
              <w:color w:val="auto"/>
            </w:rPr>
          </w:pPr>
          <w:r>
            <w:br w:type="page"/>
          </w:r>
          <w:r>
            <w:rPr>
              <w:b/>
              <w:bCs/>
              <w:color w:val="auto"/>
            </w:rPr>
            <w:t>Table of Contents</w:t>
          </w:r>
        </w:p>
        <w:p>
          <w:pPr>
            <w:pStyle w:val="Contents1"/>
            <w:tabs>
              <w:tab w:val="clear" w:pos="720"/>
              <w:tab w:val="right" w:pos="9350" w:leader="dot"/>
            </w:tabs>
            <w:rPr>
              <w:rFonts w:ascii="Calibri" w:hAnsi="Calibri" w:eastAsia="" w:asciiTheme="minorHAnsi" w:eastAsiaTheme="minorEastAsia" w:hAnsiTheme="minorHAnsi"/>
              <w:sz w:val="22"/>
              <w:lang w:eastAsia="en-GB"/>
            </w:rPr>
          </w:pPr>
          <w:r>
            <w:fldChar w:fldCharType="begin"/>
          </w:r>
          <w:r>
            <w:rPr>
              <w:webHidden/>
              <w:rStyle w:val="IndexLink"/>
              <w:vanish w:val="false"/>
              <w:lang w:val="en-US"/>
            </w:rPr>
            <w:instrText> TOC \z \o "1-3" \u \h</w:instrText>
          </w:r>
          <w:r>
            <w:rPr>
              <w:webHidden/>
              <w:rStyle w:val="IndexLink"/>
              <w:vanish w:val="false"/>
              <w:lang w:val="en-US"/>
            </w:rPr>
            <w:fldChar w:fldCharType="separate"/>
          </w:r>
          <w:hyperlink w:anchor="_Toc110598102">
            <w:r>
              <w:rPr>
                <w:webHidden/>
                <w:rStyle w:val="IndexLink"/>
                <w:vanish w:val="false"/>
                <w:lang w:val="en-US"/>
              </w:rPr>
              <w:t>Question 1</w:t>
            </w:r>
            <w:r>
              <w:rPr>
                <w:webHidden/>
              </w:rPr>
              <w:fldChar w:fldCharType="begin"/>
            </w:r>
            <w:r>
              <w:rPr>
                <w:webHidden/>
              </w:rPr>
              <w:instrText>PAGEREF _Toc110598102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lang w:eastAsia="en-GB"/>
            </w:rPr>
          </w:pPr>
          <w:hyperlink w:anchor="_Toc110598103">
            <w:r>
              <w:rPr>
                <w:webHidden/>
                <w:rStyle w:val="IndexLink"/>
                <w:vanish w:val="false"/>
                <w:lang w:val="en-US"/>
              </w:rPr>
              <w:t>Part A</w:t>
            </w:r>
            <w:r>
              <w:rPr>
                <w:webHidden/>
              </w:rPr>
              <w:fldChar w:fldCharType="begin"/>
            </w:r>
            <w:r>
              <w:rPr>
                <w:webHidden/>
              </w:rPr>
              <w:instrText>PAGEREF _Toc110598103 \h</w:instrText>
            </w:r>
            <w:r>
              <w:rPr>
                <w:webHidden/>
              </w:rPr>
              <w:fldChar w:fldCharType="separate"/>
            </w:r>
            <w:r>
              <w:rPr>
                <w:rStyle w:val="IndexLink"/>
                <w:vanish w:val="false"/>
              </w:rPr>
              <w:tab/>
              <w:t>3</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lang w:eastAsia="en-GB"/>
            </w:rPr>
          </w:pPr>
          <w:hyperlink w:anchor="_Toc110598104">
            <w:r>
              <w:rPr>
                <w:webHidden/>
                <w:rStyle w:val="IndexLink"/>
                <w:vanish w:val="false"/>
                <w:lang w:val="en-US"/>
              </w:rPr>
              <w:t>Part B</w:t>
            </w:r>
            <w:r>
              <w:rPr>
                <w:webHidden/>
              </w:rPr>
              <w:fldChar w:fldCharType="begin"/>
            </w:r>
            <w:r>
              <w:rPr>
                <w:webHidden/>
              </w:rPr>
              <w:instrText>PAGEREF _Toc110598104 \h</w:instrText>
            </w:r>
            <w:r>
              <w:rPr>
                <w:webHidden/>
              </w:rPr>
              <w:fldChar w:fldCharType="separate"/>
            </w:r>
            <w:r>
              <w:rPr>
                <w:rStyle w:val="IndexLink"/>
                <w:vanish w:val="false"/>
              </w:rPr>
              <w:tab/>
              <w:t>4</w:t>
            </w:r>
            <w:r>
              <w:rPr>
                <w:webHidden/>
              </w:rPr>
              <w:fldChar w:fldCharType="end"/>
            </w:r>
          </w:hyperlink>
        </w:p>
        <w:p>
          <w:pPr>
            <w:pStyle w:val="Contents3"/>
            <w:tabs>
              <w:tab w:val="clear" w:pos="720"/>
              <w:tab w:val="right" w:pos="9350" w:leader="dot"/>
            </w:tabs>
            <w:rPr/>
          </w:pPr>
          <w:hyperlink w:anchor="_Toc110598105">
            <w:r>
              <w:rPr>
                <w:webHidden/>
              </w:rPr>
              <w:fldChar w:fldCharType="begin"/>
            </w:r>
            <w:r>
              <w:rPr>
                <w:webHidden/>
              </w:rPr>
              <w:instrText>PAGEREF _Toc110598105 \h</w:instrText>
            </w:r>
            <w:r>
              <w:rPr>
                <w:webHidden/>
              </w:rPr>
              <w:fldChar w:fldCharType="separate"/>
            </w:r>
            <w:r>
              <w:rPr>
                <w:webHidden/>
                <w:rStyle w:val="IndexLink"/>
                <w:vanish w:val="false"/>
              </w:rPr>
              <w:t>Balance sheet.</w:t>
              <w:tab/>
              <w:t>5</w:t>
            </w:r>
            <w:r>
              <w:rPr>
                <w:webHidden/>
              </w:rPr>
              <w:fldChar w:fldCharType="end"/>
            </w:r>
          </w:hyperlink>
        </w:p>
        <w:p>
          <w:pPr>
            <w:pStyle w:val="Contents3"/>
            <w:tabs>
              <w:tab w:val="clear" w:pos="720"/>
              <w:tab w:val="right" w:pos="9350" w:leader="dot"/>
            </w:tabs>
            <w:rPr/>
          </w:pPr>
          <w:hyperlink w:anchor="_Toc110598106">
            <w:r>
              <w:rPr>
                <w:webHidden/>
              </w:rPr>
              <w:fldChar w:fldCharType="begin"/>
            </w:r>
            <w:r>
              <w:rPr>
                <w:webHidden/>
              </w:rPr>
              <w:instrText>PAGEREF _Toc110598106 \h</w:instrText>
            </w:r>
            <w:r>
              <w:rPr>
                <w:webHidden/>
              </w:rPr>
              <w:fldChar w:fldCharType="separate"/>
            </w:r>
            <w:r>
              <w:rPr>
                <w:webHidden/>
                <w:rStyle w:val="IndexLink"/>
                <w:vanish w:val="false"/>
              </w:rPr>
              <w:t>Shareholder’s Equity</w:t>
              <w:tab/>
              <w:t>6</w:t>
            </w:r>
            <w:r>
              <w:rPr>
                <w:webHidden/>
              </w:rPr>
              <w:fldChar w:fldCharType="end"/>
            </w:r>
          </w:hyperlink>
        </w:p>
        <w:p>
          <w:pPr>
            <w:pStyle w:val="Contents3"/>
            <w:tabs>
              <w:tab w:val="clear" w:pos="720"/>
              <w:tab w:val="right" w:pos="9350" w:leader="dot"/>
            </w:tabs>
            <w:rPr/>
          </w:pPr>
          <w:hyperlink w:anchor="_Toc110598107">
            <w:r>
              <w:rPr>
                <w:webHidden/>
              </w:rPr>
              <w:fldChar w:fldCharType="begin"/>
            </w:r>
            <w:r>
              <w:rPr>
                <w:webHidden/>
              </w:rPr>
              <w:instrText>PAGEREF _Toc110598107 \h</w:instrText>
            </w:r>
            <w:r>
              <w:rPr>
                <w:webHidden/>
              </w:rPr>
              <w:fldChar w:fldCharType="separate"/>
            </w:r>
            <w:r>
              <w:rPr>
                <w:webHidden/>
                <w:rStyle w:val="IndexLink"/>
                <w:vanish w:val="false"/>
              </w:rPr>
              <w:t>Income Statement</w:t>
              <w:tab/>
              <w:t>6</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lang w:eastAsia="en-GB"/>
            </w:rPr>
          </w:pPr>
          <w:hyperlink w:anchor="_Toc110598108">
            <w:r>
              <w:rPr>
                <w:webHidden/>
                <w:rStyle w:val="IndexLink"/>
                <w:vanish w:val="false"/>
                <w:lang w:val="en-US"/>
              </w:rPr>
              <w:t>Question 2</w:t>
            </w:r>
            <w:r>
              <w:rPr>
                <w:webHidden/>
              </w:rPr>
              <w:fldChar w:fldCharType="begin"/>
            </w:r>
            <w:r>
              <w:rPr>
                <w:webHidden/>
              </w:rPr>
              <w:instrText>PAGEREF _Toc110598108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lang w:eastAsia="en-GB"/>
            </w:rPr>
          </w:pPr>
          <w:hyperlink w:anchor="_Toc110598109">
            <w:r>
              <w:rPr>
                <w:webHidden/>
                <w:rStyle w:val="IndexLink"/>
                <w:vanish w:val="false"/>
                <w:lang w:val="en-US"/>
              </w:rPr>
              <w:t>Part A</w:t>
            </w:r>
            <w:r>
              <w:rPr>
                <w:webHidden/>
              </w:rPr>
              <w:fldChar w:fldCharType="begin"/>
            </w:r>
            <w:r>
              <w:rPr>
                <w:webHidden/>
              </w:rPr>
              <w:instrText>PAGEREF _Toc110598109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lang w:eastAsia="en-GB"/>
            </w:rPr>
          </w:pPr>
          <w:hyperlink w:anchor="_Toc110598110">
            <w:r>
              <w:rPr>
                <w:webHidden/>
                <w:rStyle w:val="IndexLink"/>
                <w:vanish w:val="false"/>
                <w:lang w:val="en-US"/>
              </w:rPr>
              <w:t>Part B</w:t>
            </w:r>
            <w:r>
              <w:rPr>
                <w:webHidden/>
              </w:rPr>
              <w:fldChar w:fldCharType="begin"/>
            </w:r>
            <w:r>
              <w:rPr>
                <w:webHidden/>
              </w:rPr>
              <w:instrText>PAGEREF _Toc110598110 \h</w:instrText>
            </w:r>
            <w:r>
              <w:rPr>
                <w:webHidden/>
              </w:rPr>
              <w:fldChar w:fldCharType="separate"/>
            </w:r>
            <w:r>
              <w:rPr>
                <w:rStyle w:val="IndexLink"/>
                <w:vanish w:val="false"/>
              </w:rPr>
              <w:tab/>
              <w:t>7</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lang w:eastAsia="en-GB"/>
            </w:rPr>
          </w:pPr>
          <w:hyperlink w:anchor="_Toc110598111">
            <w:r>
              <w:rPr>
                <w:webHidden/>
                <w:rStyle w:val="IndexLink"/>
                <w:vanish w:val="false"/>
                <w:lang w:val="en-US"/>
              </w:rPr>
              <w:t>References</w:t>
            </w:r>
            <w:r>
              <w:rPr>
                <w:webHidden/>
              </w:rPr>
              <w:fldChar w:fldCharType="begin"/>
            </w:r>
            <w:r>
              <w:rPr>
                <w:webHidden/>
              </w:rPr>
              <w:instrText>PAGEREF _Toc110598111 \h</w:instrText>
            </w:r>
            <w:r>
              <w:rPr>
                <w:webHidden/>
              </w:rPr>
              <w:fldChar w:fldCharType="separate"/>
            </w:r>
            <w:r>
              <w:rPr>
                <w:rStyle w:val="IndexLink"/>
                <w:vanish w:val="false"/>
              </w:rPr>
              <w:tab/>
              <w:t>11</w:t>
            </w:r>
            <w:r>
              <w:rPr>
                <w:webHidden/>
              </w:rPr>
              <w:fldChar w:fldCharType="end"/>
            </w:r>
          </w:hyperlink>
        </w:p>
        <w:p>
          <w:pPr>
            <w:pStyle w:val="Normal"/>
            <w:rPr/>
          </w:pPr>
          <w:r>
            <w:rPr/>
          </w:r>
          <w:r>
            <w:rPr/>
            <w:fldChar w:fldCharType="end"/>
          </w:r>
        </w:p>
      </w:sdtContent>
    </w:sdt>
    <w:p>
      <w:pPr>
        <w:pStyle w:val="Normal"/>
        <w:spacing w:lineRule="auto" w:line="259" w:before="0" w:after="160"/>
        <w:ind w:hanging="0"/>
        <w:rPr>
          <w:rFonts w:eastAsia="" w:cs="" w:cstheme="majorBidi" w:eastAsiaTheme="majorEastAsia"/>
          <w:b/>
          <w:b/>
          <w:color w:val="000000" w:themeColor="text1"/>
          <w:szCs w:val="32"/>
          <w:lang w:val="en-US"/>
        </w:rPr>
      </w:pPr>
      <w:r>
        <w:rPr>
          <w:rFonts w:eastAsia="" w:cs="" w:cstheme="majorBidi" w:eastAsiaTheme="majorEastAsia"/>
          <w:b/>
          <w:color w:val="000000" w:themeColor="text1"/>
          <w:szCs w:val="32"/>
          <w:lang w:val="en-US"/>
        </w:rPr>
      </w:r>
      <w:bookmarkStart w:id="0" w:name="_GoBack"/>
      <w:bookmarkStart w:id="1" w:name="_GoBack"/>
      <w:bookmarkEnd w:id="1"/>
      <w:r>
        <w:br w:type="page"/>
      </w:r>
    </w:p>
    <w:p>
      <w:pPr>
        <w:pStyle w:val="Heading1"/>
        <w:rPr>
          <w:lang w:val="en-US"/>
        </w:rPr>
      </w:pPr>
      <w:bookmarkStart w:id="2" w:name="_Toc110598102"/>
      <w:r>
        <w:rPr>
          <w:lang w:val="en-US"/>
        </w:rPr>
        <w:t>Question 1</w:t>
      </w:r>
      <w:bookmarkEnd w:id="2"/>
      <w:r>
        <w:rPr>
          <w:lang w:val="en-US"/>
        </w:rPr>
        <w:t xml:space="preserve"> </w:t>
      </w:r>
    </w:p>
    <w:p>
      <w:pPr>
        <w:pStyle w:val="Heading2"/>
        <w:rPr>
          <w:lang w:val="en-US"/>
        </w:rPr>
      </w:pPr>
      <w:bookmarkStart w:id="3" w:name="_Toc110598103"/>
      <w:r>
        <w:rPr>
          <w:lang w:val="en-US"/>
        </w:rPr>
        <w:t>Part A</w:t>
      </w:r>
      <w:bookmarkEnd w:id="3"/>
      <w:r>
        <w:rPr>
          <w:lang w:val="en-US"/>
        </w:rPr>
        <w:t xml:space="preserve"> </w:t>
      </w:r>
    </w:p>
    <w:p>
      <w:pPr>
        <w:pStyle w:val="Normal"/>
        <w:ind w:hanging="0"/>
        <w:jc w:val="center"/>
        <w:rPr>
          <w:b/>
          <w:b/>
          <w:bCs/>
          <w:lang w:val="en-US"/>
        </w:rPr>
      </w:pPr>
      <w:r>
        <w:rPr>
          <w:b/>
          <w:bCs/>
          <w:lang w:val="en-US"/>
        </w:rPr>
        <w:t>Wales PLC</w:t>
      </w:r>
    </w:p>
    <w:p>
      <w:pPr>
        <w:pStyle w:val="Normal"/>
        <w:rPr>
          <w:lang w:val="en-US"/>
        </w:rPr>
      </w:pPr>
      <w:r>
        <w:rPr/>
        <w:drawing>
          <wp:inline distT="0" distB="0" distL="0" distR="0">
            <wp:extent cx="4905375" cy="24955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4905375" cy="2495550"/>
                    </a:xfrm>
                    <a:prstGeom prst="rect">
                      <a:avLst/>
                    </a:prstGeom>
                  </pic:spPr>
                </pic:pic>
              </a:graphicData>
            </a:graphic>
          </wp:inline>
        </w:drawing>
      </w:r>
    </w:p>
    <w:p>
      <w:pPr>
        <w:pStyle w:val="Normal"/>
        <w:ind w:hanging="0"/>
        <w:rPr>
          <w:lang w:val="en-US"/>
        </w:rPr>
      </w:pPr>
      <w:r>
        <w:rPr/>
        <w:drawing>
          <wp:inline distT="0" distB="0" distL="0" distR="0">
            <wp:extent cx="6417310" cy="3667125"/>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tretch>
                      <a:fillRect/>
                    </a:stretch>
                  </pic:blipFill>
                  <pic:spPr bwMode="auto">
                    <a:xfrm>
                      <a:off x="0" y="0"/>
                      <a:ext cx="6417310" cy="3667125"/>
                    </a:xfrm>
                    <a:prstGeom prst="rect">
                      <a:avLst/>
                    </a:prstGeom>
                  </pic:spPr>
                </pic:pic>
              </a:graphicData>
            </a:graphic>
          </wp:inline>
        </w:drawing>
      </w:r>
    </w:p>
    <w:p>
      <w:pPr>
        <w:pStyle w:val="Normal"/>
        <w:ind w:hanging="0"/>
        <w:rPr>
          <w:lang w:val="en-US"/>
        </w:rPr>
      </w:pPr>
      <w:r>
        <w:rPr>
          <w:lang w:val="en-US"/>
        </w:rPr>
      </w:r>
    </w:p>
    <w:p>
      <w:pPr>
        <w:pStyle w:val="Heading2"/>
        <w:rPr>
          <w:lang w:val="en-US"/>
        </w:rPr>
      </w:pPr>
      <w:bookmarkStart w:id="4" w:name="_Toc110598104"/>
      <w:r>
        <w:rPr>
          <w:lang w:val="en-US"/>
        </w:rPr>
        <w:t>Part B</w:t>
      </w:r>
      <w:bookmarkEnd w:id="4"/>
      <w:r>
        <w:rPr>
          <w:lang w:val="en-US"/>
        </w:rPr>
        <w:t xml:space="preserve"> </w:t>
      </w:r>
    </w:p>
    <w:p>
      <w:pPr>
        <w:pStyle w:val="Normal"/>
        <w:rPr/>
      </w:pPr>
      <w:r>
        <w:rPr/>
        <w:t>Financial management is “the management of funds as they leave or enter an organization.” Financial management is essential because it ensures that an organization is on track to achieve its business goals. In addition, financial management is essential because it helps managers take “corrective” steps when necessary. Basic knowledge of financial management includes budgeting, financial analysis and ratio analysis (Bansal and Kar, 2021). Financial statements are important because they provide the best information for good financial management. Managers use budgets to measure the performance and “level of control” of various parts of the organization. Budgets help managers align projects with available resources.</w:t>
      </w:r>
    </w:p>
    <w:p>
      <w:pPr>
        <w:pStyle w:val="Normal"/>
        <w:rPr/>
      </w:pPr>
      <w:r>
        <w:rPr/>
        <w:t>This makes it easier to evaluate the financial results of different parts of the organization. Another ‘knowledge’ used in money management is ‘ratio analysis’. It assesses the financial health of a business organization. Other widely used financial ratios are debt and liquidity. Managers also use the Financial Management Research Test. According to the Cai et al., (2021), “Audit is necessary because it verifies the correctness of the financial statements and the accounting methods used (Cai et al., 2021). Audit is necessary because it ensures control of the financial condition of the company. The financial statement also shows the income. This document ensures the prudent management of the financial situation of the organization.</w:t>
      </w:r>
    </w:p>
    <w:p>
      <w:pPr>
        <w:pStyle w:val="Normal"/>
        <w:rPr/>
      </w:pPr>
      <w:r>
        <w:rPr/>
        <w:t>Financial statements are an important “profile” of a business organization. This summary provides a complete overview of the organization’s financial position. In this context, financial statements play an important role in any business or organization. The two primary financial statements include the income statement and the balance sheet (Mondal and Bauri, 2022). A balance sheet (also known as a statement of financial position) is a detailed overview of a company’s financial balance sheet.</w:t>
      </w:r>
    </w:p>
    <w:p>
      <w:pPr>
        <w:pStyle w:val="Normal"/>
        <w:rPr/>
      </w:pPr>
      <w:r>
        <w:rPr/>
        <w:t>The balance sheet provides a detailed “snapshot” of the organization’s financial position. It lists the organization’s assets, equity and liabilities “at the end of the financial year”. Managers can use this statement to estimate the difference between a company’s assets and liabilities. This document makes it easier for management to understand the “total value” of the company. It determines the financial condition of the company. An income statement is a financial document that summarizes an organization’s actual performance over a period of time. Business owners can use this document to find out whether the organization made a loss or a profit in its financial year. If so, the report helps management assess the organization’s financial performance.</w:t>
      </w:r>
    </w:p>
    <w:p>
      <w:pPr>
        <w:pStyle w:val="Normal"/>
        <w:rPr/>
      </w:pPr>
      <w:r>
        <w:rPr/>
        <w:t>Organizations in the same industry often operate almost identically. If so, managers can benchmark the organization’s performance against current industry standards (Cai et al., 2021). This approach facilitates an understanding of the key factors that influence the actions of key players in the field. After understanding the popular trends in the industry, managers understand the various factors that influence the performance of various organizations in the industry.</w:t>
      </w:r>
    </w:p>
    <w:p>
      <w:pPr>
        <w:pStyle w:val="Normal"/>
        <w:rPr/>
      </w:pPr>
      <w:r>
        <w:rPr/>
        <w:t>Identified trends help managers gain a holistic view of the opportunities, challenges, strengths and obstacles affecting companies in the sector (Bansal and Kar, 2021). After documenting these principles in a particular industry, managers assess and understand the organization’s current performance. Therefore, the company’s performance depends on the profitability or attractiveness of its field. It explains how managers can compare an organization’s performance against industry trends to understand its current performance.</w:t>
      </w:r>
    </w:p>
    <w:p>
      <w:pPr>
        <w:pStyle w:val="Normal"/>
        <w:rPr/>
      </w:pPr>
      <w:r>
        <w:rPr/>
        <w:t>Together, a company’s financial statements provide information about its financial health. If the income statement shows that the company is making a profit, but the cash flow statement and balance sheet show the opposite, the company’s profits may be growing slowly. Understanding financial statements ensures that additional criteria and processes allow the business to make necessary operational changes and determine its overall Companies health.</w:t>
      </w:r>
    </w:p>
    <w:p>
      <w:pPr>
        <w:pStyle w:val="Heading3"/>
        <w:rPr/>
      </w:pPr>
      <w:bookmarkStart w:id="5" w:name="_Toc110598105"/>
      <w:r>
        <w:rPr/>
        <w:t>Balance sheet.</w:t>
      </w:r>
      <w:bookmarkEnd w:id="5"/>
      <w:r>
        <w:rPr/>
        <w:t> </w:t>
      </w:r>
    </w:p>
    <w:p>
      <w:pPr>
        <w:pStyle w:val="Normal"/>
        <w:rPr/>
      </w:pPr>
      <w:r>
        <w:rPr/>
        <w:t>This table looks at an organization’s fixed assets, liabilities and equity as of a given date. Bushman (2007) agrees that assets and liabilities are generally short-term and long-term categories, including cash accounts, so assets must equalize liabilities and equity at some point. The I Choose Life balance sheet focuses on an organization’s assets and liabilities, investments and equity, and fixed assets. Land is treated as an asset, but unlike other fixed assets, it does not depreciate because it does not wear out. The cost of the land and its equipment is about 10,000 a year, which is not a large amount, and to be part of this organization you need to use that investment ability.</w:t>
      </w:r>
    </w:p>
    <w:p>
      <w:pPr>
        <w:pStyle w:val="Heading3"/>
        <w:rPr/>
      </w:pPr>
      <w:bookmarkStart w:id="6" w:name="_Toc110598106"/>
      <w:r>
        <w:rPr/>
        <w:t>Shareholder’s Equity</w:t>
      </w:r>
      <w:bookmarkEnd w:id="6"/>
    </w:p>
    <w:p>
      <w:pPr>
        <w:pStyle w:val="Normal"/>
        <w:rPr/>
      </w:pPr>
      <w:r>
        <w:rPr/>
        <w:t>The term equity refers to the difference between the stated value of an asset and a liability. As noted in the appendix, the stated value of equity differs from the current or market value of the economy.</w:t>
      </w:r>
    </w:p>
    <w:p>
      <w:pPr>
        <w:pStyle w:val="Heading3"/>
        <w:rPr/>
      </w:pPr>
      <w:bookmarkStart w:id="7" w:name="_Toc110598107"/>
      <w:r>
        <w:rPr/>
        <w:t>Income Statement</w:t>
      </w:r>
      <w:bookmarkEnd w:id="7"/>
    </w:p>
    <w:p>
      <w:pPr>
        <w:pStyle w:val="Normal"/>
        <w:rPr/>
      </w:pPr>
      <w:r>
        <w:rPr/>
        <w:t>This financial statement shows the company’s revenue, cost, and profit for the most recent financial period. It can be used to determine a company’s cash flow, profit margin, and other financial indicators. The revenue section shows the company’s revenue for a given period. Some organizations divide revenues by business unit or geographic location; in some organizations, such as affiliates, salespeople and manufacturers use the term sales instead of revenue, but it’s still the same concept: total revenue = revenue - expenses. Revenue is the income received by the company from the sale of products or the rental of products or services from the company. Fees are considered cash flows that generate revenue. Income can be calculated as follows: Net Profit = Income + Profit - Loss. An organization’s profit is an advantage that affects the environment, such as an increase in sales as a basic benefit and a price increase during holidays, while a loss is the result of a decrease in revenue from organizational costs.</w:t>
      </w:r>
    </w:p>
    <w:p>
      <w:pPr>
        <w:pStyle w:val="Normal"/>
        <w:rPr/>
      </w:pPr>
      <w:r>
        <w:rPr/>
      </w:r>
    </w:p>
    <w:p>
      <w:pPr>
        <w:pStyle w:val="Heading1"/>
        <w:rPr>
          <w:lang w:val="en-US"/>
        </w:rPr>
      </w:pPr>
      <w:bookmarkStart w:id="8" w:name="_Toc110598108"/>
      <w:r>
        <w:rPr>
          <w:lang w:val="en-US"/>
        </w:rPr>
        <w:t>Question 2</w:t>
      </w:r>
      <w:bookmarkEnd w:id="8"/>
      <w:r>
        <w:rPr>
          <w:lang w:val="en-US"/>
        </w:rPr>
        <w:t xml:space="preserve"> </w:t>
      </w:r>
    </w:p>
    <w:p>
      <w:pPr>
        <w:pStyle w:val="Heading2"/>
        <w:rPr>
          <w:lang w:val="en-US"/>
        </w:rPr>
      </w:pPr>
      <w:bookmarkStart w:id="9" w:name="_Toc110598109"/>
      <w:r>
        <w:rPr>
          <w:lang w:val="en-US"/>
        </w:rPr>
        <w:t>Part A</w:t>
      </w:r>
      <w:bookmarkEnd w:id="9"/>
      <w:r>
        <w:rPr>
          <w:lang w:val="en-US"/>
        </w:rPr>
        <w:t xml:space="preserve"> </w:t>
      </w:r>
    </w:p>
    <w:p>
      <w:pPr>
        <w:pStyle w:val="Normal"/>
        <w:ind w:hanging="0"/>
        <w:jc w:val="center"/>
        <w:rPr>
          <w:b/>
          <w:b/>
          <w:bCs/>
          <w:lang w:val="en-US"/>
        </w:rPr>
      </w:pPr>
      <w:r>
        <w:rPr>
          <w:b/>
          <w:bCs/>
          <w:lang w:val="en-US"/>
        </w:rPr>
        <w:t>Sweets PLC</w:t>
      </w:r>
    </w:p>
    <w:p>
      <w:pPr>
        <w:pStyle w:val="Normal"/>
        <w:ind w:hanging="0"/>
        <w:rPr>
          <w:lang w:val="en-US"/>
        </w:rPr>
      </w:pPr>
      <w:r>
        <w:rPr/>
        <w:drawing>
          <wp:inline distT="0" distB="0" distL="0" distR="0">
            <wp:extent cx="6475730" cy="4181475"/>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
                    <pic:cNvPicPr>
                      <a:picLocks noChangeAspect="1" noChangeArrowheads="1"/>
                    </pic:cNvPicPr>
                  </pic:nvPicPr>
                  <pic:blipFill>
                    <a:blip r:embed="rId4"/>
                    <a:stretch>
                      <a:fillRect/>
                    </a:stretch>
                  </pic:blipFill>
                  <pic:spPr bwMode="auto">
                    <a:xfrm>
                      <a:off x="0" y="0"/>
                      <a:ext cx="6475730" cy="4181475"/>
                    </a:xfrm>
                    <a:prstGeom prst="rect">
                      <a:avLst/>
                    </a:prstGeom>
                  </pic:spPr>
                </pic:pic>
              </a:graphicData>
            </a:graphic>
          </wp:inline>
        </w:drawing>
      </w:r>
    </w:p>
    <w:p>
      <w:pPr>
        <w:pStyle w:val="Normal"/>
        <w:ind w:hanging="0"/>
        <w:rPr>
          <w:lang w:val="en-US"/>
        </w:rPr>
      </w:pPr>
      <w:r>
        <w:rPr>
          <w:lang w:val="en-US"/>
        </w:rPr>
      </w:r>
    </w:p>
    <w:p>
      <w:pPr>
        <w:pStyle w:val="Heading2"/>
        <w:rPr>
          <w:lang w:val="en-US"/>
        </w:rPr>
      </w:pPr>
      <w:bookmarkStart w:id="10" w:name="_Toc110598110"/>
      <w:r>
        <w:rPr>
          <w:lang w:val="en-US"/>
        </w:rPr>
        <w:t>Part B</w:t>
      </w:r>
      <w:bookmarkEnd w:id="10"/>
      <w:r>
        <w:rPr>
          <w:lang w:val="en-US"/>
        </w:rPr>
        <w:t xml:space="preserve"> </w:t>
      </w:r>
    </w:p>
    <w:p>
      <w:pPr>
        <w:pStyle w:val="Normal"/>
        <w:rPr/>
      </w:pPr>
      <w:r>
        <w:rPr/>
        <w:t>While ratio analysis is a useful tool for analysing a company’s financial performance, it has its limitations. The first limitation is that ratio analysis focuses on the human side of the business. Company performance is primarily based on financial statements, but it is a resource for employees who contribute to increasing income by producing work. Second, ratio analysis identifies the causes of discrepancies in company direction statistics, but not aggregate statistics. Therefore, statistics are not important for decision-making, because reasons do not correspond to numerical values (Olayinka, 2022). Measurements are also complex for multi-service companies. Each sector must find the average of the industry associated with that sector. This means that an institution’s summary of grades may not reflect departmental performance.</w:t>
      </w:r>
    </w:p>
    <w:p>
      <w:pPr>
        <w:pStyle w:val="Normal"/>
        <w:rPr/>
      </w:pPr>
      <w:r>
        <w:rPr/>
        <w:t>Another obvious limitation is that the estimates are forward-looking and do not reflect current financial conditions. The company may have underperformed last financial year, but its current financial numbers are higher than the industry average. Therefore, historical ratios can misrepresent the financial situation and ultimately mislead managers and investors in their decisions. Ultimately, a company’s performance depends on many factors, including external and internal factors. Although the ratio analysis is related to the internal and external environment, factors such as inflation to adjust the balance sheet and external environmental factors such as recession are not taken into account (Olayinka, 2022). Therefore, measurements must be combined with other diagnostic methods to create a complete diagnostic system.</w:t>
      </w:r>
    </w:p>
    <w:p>
      <w:pPr>
        <w:pStyle w:val="Normal"/>
        <w:rPr/>
      </w:pPr>
      <w:r>
        <w:rPr/>
        <w:t>The quick ratio, also known as the acid test ratio, falls under the category of liquidity ratios. It does this by finding the ratio of the company’s working capital to current liabilities and the amount of working capital excluding inventory. This is a pessimistic view of the company’s short-term solvency, assuming that the company will have difficulty selling inventory. Banks use it to determine a company’s ability to repay instalment loans. Investors also use it to determine a company’s ability to repay its creditors.</w:t>
      </w:r>
    </w:p>
    <w:p>
      <w:pPr>
        <w:pStyle w:val="Normal"/>
        <w:rPr/>
      </w:pPr>
      <w:r>
        <w:rPr/>
        <w:t>The asset turnover rate falls under the lab or force ratio category. It is derived by finding the ratio of the cost of inventory sold to the average cost of inventory. This ratio is used to determine the value of a company’s assets (McCosker, 2021). Banks may need this ratio to determine whether a company’s inventory is liquid enough to provide cash to pay off instalment loans. Investors also need this ratio to determine how quickly a company can sell its assets.</w:t>
      </w:r>
    </w:p>
    <w:p>
      <w:pPr>
        <w:pStyle w:val="Normal"/>
        <w:rPr/>
      </w:pPr>
      <w:r>
        <w:rPr/>
        <w:t>Credit assessment belongs to the category of financial assessment. It is calculated by finding the ratio of the company’s total liabilities to total assets. The ratio helps determine the proportion of an investor’s assets that are financed by debt (McCosker, 2021). A high credit rating may indicate a risk of default. Banks use this ratio to determine whether a company has borrowed so much that it is at risk of bankruptcy. Investors also use this ratio to determine the credit risk they can take when investing in companies.</w:t>
      </w:r>
    </w:p>
    <w:p>
      <w:pPr>
        <w:pStyle w:val="Normal"/>
        <w:rPr/>
      </w:pPr>
      <w:r>
        <w:rPr/>
        <w:t>Profit margin is an indicator of profit sharing. To do this, he finds the relationship between operating results and profit. This ratio can be used to determine a company’s revenue generation efficiency. Banks use this ratio to determine how much of sales can be used to pay interest on loans. Investors also use this ratio to determine the amount available to pay debt and dividends.</w:t>
      </w:r>
    </w:p>
    <w:p>
      <w:pPr>
        <w:pStyle w:val="Normal"/>
        <w:rPr/>
      </w:pPr>
      <w:r>
        <w:rPr/>
        <w:t>Investors and analysts use ratio analysis to evaluate a company’s financial health by looking at past and current financial statements. Comparative data can show a company’s performance over a period of time and can be used to estimate likely future performance (Lokanan, 2021). The data also compares the company’s financial position to industry benchmarks and measures how the company compares to other companies in the same industry.</w:t>
      </w:r>
    </w:p>
    <w:p>
      <w:pPr>
        <w:pStyle w:val="Normal"/>
        <w:rPr/>
      </w:pPr>
      <w:r>
        <w:rPr/>
        <w:t>Investors can easily use ratio analysis and all the calculations needed to calculate the ratios can be found in the company’s financial statements.</w:t>
      </w:r>
    </w:p>
    <w:p>
      <w:pPr>
        <w:pStyle w:val="Normal"/>
        <w:rPr/>
      </w:pPr>
      <w:r>
        <w:rPr/>
        <w:t>Company valuation and benchmarks. They value industry stocks. They also measure companies today based on historical data. Understanding the valuations that drive volatility is also important in many cases, as managers may sometimes change strategies to make the valuations of their stocks and companies more attractive (Olayinka, 2022). In general, metrics are not usually used alone, but in combination with other metrics. A good understanding of the metrics in each of the four categories mentioned earlier will provide a holistic view of the company from different perspectives and help identify potential red flags (McCosker, 2021).</w:t>
      </w:r>
    </w:p>
    <w:p>
      <w:pPr>
        <w:pStyle w:val="Normal"/>
        <w:rPr/>
      </w:pPr>
      <w:r>
        <w:rPr/>
        <w:t>Based on the metrics and data provided in the above agreement, it can be concluded that the company’s performance is increasing compared to last year. Compared to last year, the trend is increasing.</w:t>
      </w:r>
    </w:p>
    <w:p>
      <w:pPr>
        <w:pStyle w:val="Normal"/>
        <w:rPr/>
      </w:pPr>
      <w:r>
        <w:rPr/>
        <w:t>Return on equity and return on equity have improved compared to last year.</w:t>
      </w:r>
    </w:p>
    <w:p>
      <w:pPr>
        <w:pStyle w:val="Normal"/>
        <w:rPr/>
      </w:pPr>
      <w:r>
        <w:rPr/>
        <w:t>In addition, the net profit of 2020 (i.e. 431) increased compared to the net profit of 2021 (i.e. 366). Then, its gross margin increased by 0.718%.</w:t>
      </w:r>
    </w:p>
    <w:p>
      <w:pPr>
        <w:pStyle w:val="Normal"/>
        <w:rPr/>
      </w:pPr>
      <w:r>
        <w:rPr/>
        <w:t>In addition, earnings per share are increasing. Thanks to this growth, the company was able to generate more profit (255 million) than last year (242 million).</w:t>
      </w:r>
    </w:p>
    <w:p>
      <w:pPr>
        <w:pStyle w:val="Normal"/>
        <w:rPr/>
      </w:pPr>
      <w:r>
        <w:rPr/>
        <w:t>This shows that Sweet plc’s business is growing. Its market value has also increased in 2020.</w:t>
      </w:r>
    </w:p>
    <w:p>
      <w:pPr>
        <w:pStyle w:val="Normal"/>
        <w:rPr/>
      </w:pPr>
      <w:r>
        <w:rPr/>
        <w:t>Asset turnover hasn’t changed much over the year, but it’s a welcome change.</w:t>
      </w:r>
    </w:p>
    <w:p>
      <w:pPr>
        <w:pStyle w:val="Normal"/>
        <w:rPr/>
      </w:pPr>
      <w:r>
        <w:rPr/>
        <w:t>While the company used to collect claims in 73 days, now it takes only 68 days. Although there has been improvement since last year, the company needs further improvements in billing.</w:t>
      </w:r>
    </w:p>
    <w:p>
      <w:pPr>
        <w:pStyle w:val="Normal"/>
        <w:rPr/>
      </w:pPr>
      <w:r>
        <w:rPr/>
        <w:t>Current features still need improvement. With improvements compared to 2021, the company needs to take further steps in this direction.</w:t>
      </w:r>
    </w:p>
    <w:p>
      <w:pPr>
        <w:pStyle w:val="Normal"/>
        <w:rPr/>
      </w:pPr>
      <w:r>
        <w:rPr/>
        <w:t>Interest expenses have increased since last year. Transfer figures are acceptable due to continued growth in business value, but interest rates are rejected. This is due to increased corporate debt.</w:t>
      </w:r>
    </w:p>
    <w:p>
      <w:pPr>
        <w:pStyle w:val="Normal"/>
        <w:rPr/>
      </w:pPr>
      <w:r>
        <w:rPr/>
        <w:t>In general, it can be concluded that the company’s operations have improved compared to last year.</w:t>
      </w:r>
    </w:p>
    <w:p>
      <w:pPr>
        <w:pStyle w:val="Normal"/>
        <w:rPr/>
      </w:pPr>
      <w:r>
        <w:rPr/>
        <w:t>ROCE, Quick Ratio, Inventory Turnover Ratio, Interest Turnover Ratio and Debt Ratio increased, profit margin decreased slightly and the company’s dividend pay-out increased year-on-year and year-on-year. Overall, the company’s financial performance has improved.</w:t>
      </w:r>
    </w:p>
    <w:p>
      <w:pPr>
        <w:pStyle w:val="Normal"/>
        <w:rPr/>
      </w:pPr>
      <w:r>
        <w:rPr/>
        <w:t>If a company does not have enough working capital, it will have difficulty paying short-term debts, which can lead to business failure and loss of creditor confidence.</w:t>
      </w:r>
    </w:p>
    <w:p>
      <w:pPr>
        <w:pStyle w:val="Normal"/>
        <w:rPr/>
      </w:pPr>
      <w:r>
        <w:rPr/>
      </w:r>
      <w:r>
        <w:br w:type="page"/>
      </w:r>
    </w:p>
    <w:p>
      <w:pPr>
        <w:pStyle w:val="Heading1"/>
        <w:rPr>
          <w:lang w:val="en-US"/>
        </w:rPr>
      </w:pPr>
      <w:bookmarkStart w:id="11" w:name="_Toc110598111"/>
      <w:r>
        <w:rPr>
          <w:lang w:val="en-US"/>
        </w:rPr>
        <w:t>References</w:t>
      </w:r>
      <w:bookmarkEnd w:id="11"/>
    </w:p>
    <w:p>
      <w:pPr>
        <w:pStyle w:val="NoSpacing"/>
        <w:rPr/>
      </w:pPr>
      <w:r>
        <w:rPr>
          <w:lang w:val="en-GB"/>
        </w:rPr>
        <w:t>Bansal, R. and Kar, S.K., 2021. Departmental stores in India: financial performance analysis. </w:t>
      </w:r>
      <w:r>
        <w:rPr>
          <w:i/>
          <w:iCs/>
          <w:lang w:val="en-GB"/>
        </w:rPr>
        <w:t>Emerald Emerging Markets Case Studies</w:t>
      </w:r>
      <w:r>
        <w:rPr>
          <w:lang w:val="en-GB"/>
        </w:rPr>
        <w:t>.</w:t>
      </w:r>
    </w:p>
    <w:p>
      <w:pPr>
        <w:pStyle w:val="NoSpacing"/>
        <w:rPr>
          <w:lang w:val="en-GB"/>
        </w:rPr>
      </w:pPr>
      <w:r>
        <w:rPr>
          <w:lang w:val="en-GB"/>
        </w:rPr>
        <w:t>Cai, J., Hong, L., Hu, N. and Liu, Y., 2021. An Equity Research for Investment on Pharmaceutical Companies Based on Ratio Analysis. </w:t>
      </w:r>
      <w:r>
        <w:rPr>
          <w:i/>
          <w:iCs/>
          <w:lang w:val="en-GB"/>
        </w:rPr>
        <w:t>life</w:t>
      </w:r>
      <w:r>
        <w:rPr>
          <w:lang w:val="en-GB"/>
        </w:rPr>
        <w:t>, </w:t>
      </w:r>
      <w:r>
        <w:rPr>
          <w:i/>
          <w:iCs/>
          <w:lang w:val="en-GB"/>
        </w:rPr>
        <w:t>2</w:t>
      </w:r>
      <w:r>
        <w:rPr>
          <w:lang w:val="en-GB"/>
        </w:rPr>
        <w:t>, p.7.</w:t>
      </w:r>
    </w:p>
    <w:p>
      <w:pPr>
        <w:pStyle w:val="NoSpacing"/>
        <w:rPr>
          <w:lang w:val="en-GB"/>
        </w:rPr>
      </w:pPr>
      <w:r>
        <w:rPr>
          <w:lang w:val="en-GB"/>
        </w:rPr>
        <w:t>Lokanan, M., 2021. Applying Four Quantitative Prediction Techniques to Detect Fraud in Financial Statements. </w:t>
      </w:r>
      <w:r>
        <w:rPr>
          <w:i/>
          <w:iCs/>
          <w:lang w:val="en-GB"/>
        </w:rPr>
        <w:t>Journal of Forensic and Investigative Accounting</w:t>
      </w:r>
      <w:r>
        <w:rPr>
          <w:lang w:val="en-GB"/>
        </w:rPr>
        <w:t>, </w:t>
      </w:r>
      <w:r>
        <w:rPr>
          <w:i/>
          <w:iCs/>
          <w:lang w:val="en-GB"/>
        </w:rPr>
        <w:t>13</w:t>
      </w:r>
      <w:r>
        <w:rPr>
          <w:lang w:val="en-GB"/>
        </w:rPr>
        <w:t>(2).</w:t>
      </w:r>
    </w:p>
    <w:p>
      <w:pPr>
        <w:pStyle w:val="NoSpacing"/>
        <w:rPr>
          <w:lang w:val="en-GB"/>
        </w:rPr>
      </w:pPr>
      <w:r>
        <w:rPr>
          <w:lang w:val="en-GB"/>
        </w:rPr>
        <w:t>McCosker, P., 2021. Interpretation of Financial Statements. In </w:t>
      </w:r>
      <w:r>
        <w:rPr>
          <w:i/>
          <w:iCs/>
          <w:lang w:val="en-GB"/>
        </w:rPr>
        <w:t>Financial and Managerial Aspects in Human Resource Management: A Practical Guide</w:t>
      </w:r>
      <w:r>
        <w:rPr>
          <w:lang w:val="en-GB"/>
        </w:rPr>
        <w:t>. Emerald Publishing Limited.</w:t>
      </w:r>
    </w:p>
    <w:p>
      <w:pPr>
        <w:pStyle w:val="NoSpacing"/>
        <w:rPr>
          <w:lang w:val="en-GB"/>
        </w:rPr>
      </w:pPr>
      <w:r>
        <w:rPr>
          <w:lang w:val="en-GB"/>
        </w:rPr>
        <w:t>Mondal, A. and Bauri, S., 2022. Climate Risk and Financial Performance of Energy Companies-A Cross-Country Analysis. </w:t>
      </w:r>
      <w:r>
        <w:rPr>
          <w:i/>
          <w:iCs/>
          <w:lang w:val="en-GB"/>
        </w:rPr>
        <w:t>International Journal of Financial Management</w:t>
      </w:r>
      <w:r>
        <w:rPr>
          <w:lang w:val="en-GB"/>
        </w:rPr>
        <w:t>, </w:t>
      </w:r>
      <w:r>
        <w:rPr>
          <w:i/>
          <w:iCs/>
          <w:lang w:val="en-GB"/>
        </w:rPr>
        <w:t>12</w:t>
      </w:r>
      <w:r>
        <w:rPr>
          <w:lang w:val="en-GB"/>
        </w:rPr>
        <w:t>(1).</w:t>
      </w:r>
    </w:p>
    <w:p>
      <w:pPr>
        <w:pStyle w:val="NoSpacing"/>
        <w:spacing w:before="120" w:after="120"/>
        <w:rPr>
          <w:lang w:val="en-GB"/>
        </w:rPr>
      </w:pPr>
      <w:r>
        <w:rPr>
          <w:lang w:val="en-GB"/>
        </w:rPr>
        <w:t>Olayinka, A.A., 2022. Financial statement analysis as a tool for investment decisions and assessment of companies’ performance. </w:t>
      </w:r>
      <w:r>
        <w:rPr>
          <w:i/>
          <w:iCs/>
          <w:lang w:val="en-GB"/>
        </w:rPr>
        <w:t>International Journal of Financial, Accounting, and Management</w:t>
      </w:r>
      <w:r>
        <w:rPr>
          <w:lang w:val="en-GB"/>
        </w:rPr>
        <w:t>, </w:t>
      </w:r>
      <w:r>
        <w:rPr>
          <w:i/>
          <w:iCs/>
          <w:lang w:val="en-GB"/>
        </w:rPr>
        <w:t>4</w:t>
      </w:r>
      <w:r>
        <w:rPr>
          <w:lang w:val="en-GB"/>
        </w:rPr>
        <w:t>(1), pp.49-66.</w:t>
      </w:r>
    </w:p>
    <w:sectPr>
      <w:headerReference w:type="default" r:id="rId5"/>
      <w:type w:val="nextPage"/>
      <w:pgSz w:w="12240" w:h="15840"/>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 w:name="Calibri Light">
    <w:charset w:val="00"/>
    <w:family w:val="roman"/>
    <w:pitch w:val="variable"/>
  </w:font>
  <w:font w:name="Segoe UI">
    <w:altName w:val="Segoe UI Web (West European)"/>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324202291"/>
    </w:sdtPr>
    <w:sdtContent>
      <w:p>
        <w:pPr>
          <w:pStyle w:val="Header"/>
          <w:jc w:val="right"/>
          <w:rPr/>
        </w:pPr>
        <w:r>
          <w:rPr/>
          <w:fldChar w:fldCharType="begin"/>
        </w:r>
        <w:r>
          <w:rPr/>
          <w:instrText> PAGE </w:instrText>
        </w:r>
        <w:r>
          <w:rPr/>
          <w:fldChar w:fldCharType="separate"/>
        </w:r>
        <w:r>
          <w:rPr/>
          <w:t>11</w:t>
        </w:r>
        <w:r>
          <w:rPr/>
          <w:fldChar w:fldCharType="end"/>
        </w:r>
      </w:p>
    </w:sdtContent>
  </w:sdt>
  <w:p>
    <w:pPr>
      <w:pStyle w:val="Header"/>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06a72"/>
    <w:pPr>
      <w:widowControl/>
      <w:suppressAutoHyphens w:val="true"/>
      <w:bidi w:val="0"/>
      <w:spacing w:lineRule="auto" w:line="360" w:before="120" w:after="120"/>
      <w:ind w:firstLine="720"/>
      <w:jc w:val="left"/>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671253"/>
    <w:pPr>
      <w:keepNext w:val="true"/>
      <w:keepLines/>
      <w:spacing w:before="240" w:after="0"/>
      <w:ind w:hanging="0"/>
      <w:jc w:val="center"/>
      <w:outlineLvl w:val="0"/>
    </w:pPr>
    <w:rPr>
      <w:rFonts w:eastAsia="" w:cs="" w:cstheme="majorBidi" w:eastAsiaTheme="majorEastAsia"/>
      <w:b/>
      <w:color w:val="000000" w:themeColor="text1"/>
      <w:szCs w:val="32"/>
    </w:rPr>
  </w:style>
  <w:style w:type="paragraph" w:styleId="Heading2">
    <w:name w:val="Heading 2"/>
    <w:basedOn w:val="Normal"/>
    <w:next w:val="Normal"/>
    <w:link w:val="Heading2Char"/>
    <w:uiPriority w:val="9"/>
    <w:unhideWhenUsed/>
    <w:qFormat/>
    <w:rsid w:val="00671253"/>
    <w:pPr>
      <w:keepNext w:val="true"/>
      <w:keepLines/>
      <w:ind w:hanging="0"/>
      <w:outlineLvl w:val="1"/>
    </w:pPr>
    <w:rPr>
      <w:rFonts w:eastAsia="" w:cs="" w:cstheme="majorBidi" w:eastAsiaTheme="majorEastAsia"/>
      <w:b/>
      <w:i/>
      <w:color w:val="000000" w:themeColor="text1"/>
      <w:szCs w:val="26"/>
    </w:rPr>
  </w:style>
  <w:style w:type="paragraph" w:styleId="Heading3">
    <w:name w:val="Heading 3"/>
    <w:basedOn w:val="Normal"/>
    <w:next w:val="Normal"/>
    <w:link w:val="Heading3Char"/>
    <w:uiPriority w:val="9"/>
    <w:unhideWhenUsed/>
    <w:qFormat/>
    <w:rsid w:val="00492d25"/>
    <w:pPr>
      <w:keepNext w:val="true"/>
      <w:keepLines/>
      <w:ind w:hanging="0"/>
      <w:outlineLvl w:val="2"/>
    </w:pPr>
    <w:rPr>
      <w:rFonts w:eastAsia="" w:cs="" w:asciiTheme="majorBidi" w:cstheme="majorBidi" w:eastAsiaTheme="majorEastAsia" w:hAnsiTheme="majorBidi"/>
      <w:i/>
      <w:color w:val="000000" w:themeColor="text1"/>
      <w:szCs w:val="24"/>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671253"/>
    <w:rPr>
      <w:rFonts w:ascii="Times New Roman" w:hAnsi="Times New Roman" w:eastAsia="" w:cs="" w:cstheme="majorBidi" w:eastAsiaTheme="majorEastAsia"/>
      <w:b/>
      <w:color w:val="000000" w:themeColor="text1"/>
      <w:sz w:val="24"/>
      <w:szCs w:val="32"/>
      <w:lang w:val="en-GB"/>
    </w:rPr>
  </w:style>
  <w:style w:type="character" w:styleId="Heading2Char" w:customStyle="1">
    <w:name w:val="Heading 2 Char"/>
    <w:basedOn w:val="DefaultParagraphFont"/>
    <w:link w:val="Heading2"/>
    <w:uiPriority w:val="9"/>
    <w:qFormat/>
    <w:rsid w:val="00671253"/>
    <w:rPr>
      <w:rFonts w:ascii="Times New Roman" w:hAnsi="Times New Roman" w:eastAsia="" w:cs="" w:cstheme="majorBidi" w:eastAsiaTheme="majorEastAsia"/>
      <w:b/>
      <w:i/>
      <w:color w:val="000000" w:themeColor="text1"/>
      <w:sz w:val="24"/>
      <w:szCs w:val="26"/>
      <w:lang w:val="en-GB"/>
    </w:rPr>
  </w:style>
  <w:style w:type="character" w:styleId="Heading3Char" w:customStyle="1">
    <w:name w:val="Heading 3 Char"/>
    <w:basedOn w:val="DefaultParagraphFont"/>
    <w:link w:val="Heading3"/>
    <w:uiPriority w:val="9"/>
    <w:qFormat/>
    <w:rsid w:val="00492d25"/>
    <w:rPr>
      <w:rFonts w:eastAsia="" w:cs="" w:asciiTheme="majorBidi" w:cstheme="majorBidi" w:eastAsiaTheme="majorEastAsia" w:hAnsiTheme="majorBidi"/>
      <w:i/>
      <w:color w:val="000000" w:themeColor="text1"/>
      <w:sz w:val="24"/>
      <w:szCs w:val="24"/>
      <w:lang w:val="en-GB"/>
    </w:rPr>
  </w:style>
  <w:style w:type="character" w:styleId="InternetLink">
    <w:name w:val="Hyperlink"/>
    <w:basedOn w:val="DefaultParagraphFont"/>
    <w:uiPriority w:val="99"/>
    <w:unhideWhenUsed/>
    <w:rsid w:val="00876796"/>
    <w:rPr>
      <w:color w:val="0563C1" w:themeColor="hyperlink"/>
      <w:u w:val="single"/>
    </w:rPr>
  </w:style>
  <w:style w:type="character" w:styleId="HeaderChar" w:customStyle="1">
    <w:name w:val="Header Char"/>
    <w:basedOn w:val="DefaultParagraphFont"/>
    <w:link w:val="Header"/>
    <w:uiPriority w:val="99"/>
    <w:qFormat/>
    <w:rsid w:val="00ca0d5e"/>
    <w:rPr>
      <w:rFonts w:ascii="Times New Roman" w:hAnsi="Times New Roman"/>
      <w:sz w:val="24"/>
      <w:lang w:val="en-GB"/>
    </w:rPr>
  </w:style>
  <w:style w:type="character" w:styleId="FooterChar" w:customStyle="1">
    <w:name w:val="Footer Char"/>
    <w:basedOn w:val="DefaultParagraphFont"/>
    <w:link w:val="Footer"/>
    <w:uiPriority w:val="99"/>
    <w:qFormat/>
    <w:rsid w:val="00ca0d5e"/>
    <w:rPr>
      <w:rFonts w:ascii="Times New Roman" w:hAnsi="Times New Roman"/>
      <w:sz w:val="24"/>
      <w:lang w:val="en-GB"/>
    </w:rPr>
  </w:style>
  <w:style w:type="character" w:styleId="IndexLink">
    <w:name w:val="Index Link"/>
    <w:qFormat/>
    <w:rPr/>
  </w:style>
  <w:style w:type="character" w:styleId="BalloonTextChar">
    <w:name w:val="Balloon Text Char"/>
    <w:qFormat/>
    <w:rPr>
      <w:rFonts w:ascii="Segoe UI" w:hAnsi="Segoe UI" w:cs="Segoe UI"/>
      <w:sz w:val="18"/>
      <w:szCs w:val="18"/>
    </w:rPr>
  </w:style>
  <w:style w:type="character" w:styleId="CommentSubjectChar">
    <w:name w:val="Comment Subject Char"/>
    <w:qFormat/>
    <w:rPr>
      <w:rFonts w:ascii="Times New Roman" w:hAnsi="Times New Roman"/>
      <w:b/>
      <w:bCs/>
      <w:sz w:val="20"/>
      <w:szCs w:val="20"/>
    </w:rPr>
  </w:style>
  <w:style w:type="character" w:styleId="CommentTextChar">
    <w:name w:val="Comment Text Char"/>
    <w:qFormat/>
    <w:rPr>
      <w:rFonts w:ascii="Times New Roman" w:hAnsi="Times New Roman"/>
      <w:sz w:val="20"/>
      <w:szCs w:val="20"/>
    </w:rPr>
  </w:style>
  <w:style w:type="character" w:styleId="Annotationreference">
    <w:name w:val="annotation reference"/>
    <w:qFormat/>
    <w:rPr>
      <w:sz w:val="16"/>
      <w:szCs w:val="16"/>
    </w:rPr>
  </w:style>
  <w:style w:type="character" w:styleId="NormalChar">
    <w:name w:val="normal Char"/>
    <w:qFormat/>
    <w:rPr>
      <w:rFonts w:ascii="Times New Roman" w:hAnsi="Times New Roman" w:eastAsia="Arial" w:cs="Times New Roman"/>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NoSpacing">
    <w:name w:val="No Spacing"/>
    <w:uiPriority w:val="1"/>
    <w:qFormat/>
    <w:rsid w:val="00f06a72"/>
    <w:pPr>
      <w:widowControl/>
      <w:suppressAutoHyphens w:val="true"/>
      <w:bidi w:val="0"/>
      <w:spacing w:lineRule="auto" w:line="360" w:before="120" w:after="120"/>
      <w:ind w:left="720" w:hanging="720"/>
      <w:jc w:val="left"/>
    </w:pPr>
    <w:rPr>
      <w:rFonts w:ascii="Times New Roman" w:hAnsi="Times New Roman" w:eastAsia="Calibri" w:cs="" w:cstheme="minorBidi" w:eastAsiaTheme="minorHAnsi"/>
      <w:color w:val="auto"/>
      <w:kern w:val="0"/>
      <w:sz w:val="24"/>
      <w:szCs w:val="22"/>
      <w:lang w:val="en-US" w:eastAsia="en-US" w:bidi="ar-SA"/>
    </w:rPr>
  </w:style>
  <w:style w:type="paragraph" w:styleId="HeaderandFooter">
    <w:name w:val="Header and Footer"/>
    <w:basedOn w:val="Normal"/>
    <w:qFormat/>
    <w:pPr/>
    <w:rPr/>
  </w:style>
  <w:style w:type="paragraph" w:styleId="Header">
    <w:name w:val="Header"/>
    <w:basedOn w:val="Normal"/>
    <w:link w:val="HeaderChar"/>
    <w:uiPriority w:val="99"/>
    <w:unhideWhenUsed/>
    <w:rsid w:val="00ca0d5e"/>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ca0d5e"/>
    <w:pPr>
      <w:tabs>
        <w:tab w:val="clear" w:pos="720"/>
        <w:tab w:val="center" w:pos="4513" w:leader="none"/>
        <w:tab w:val="right" w:pos="9026" w:leader="none"/>
      </w:tabs>
      <w:spacing w:lineRule="auto" w:line="240" w:before="0" w:after="0"/>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ca0d5e"/>
    <w:pPr>
      <w:spacing w:lineRule="auto" w:line="259"/>
      <w:jc w:val="left"/>
      <w:outlineLvl w:val="9"/>
    </w:pPr>
    <w:rPr>
      <w:rFonts w:ascii="Calibri Light" w:hAnsi="Calibri Light" w:asciiTheme="majorHAnsi" w:hAnsiTheme="majorHAnsi"/>
      <w:b w:val="false"/>
      <w:color w:val="2E74B5" w:themeColor="accent1" w:themeShade="bf"/>
      <w:sz w:val="32"/>
      <w:lang w:val="en-US"/>
    </w:rPr>
  </w:style>
  <w:style w:type="paragraph" w:styleId="Contents1">
    <w:name w:val="TOC 1"/>
    <w:basedOn w:val="Normal"/>
    <w:next w:val="Normal"/>
    <w:autoRedefine/>
    <w:uiPriority w:val="39"/>
    <w:unhideWhenUsed/>
    <w:rsid w:val="00ca0d5e"/>
    <w:pPr>
      <w:spacing w:before="120" w:after="100"/>
    </w:pPr>
    <w:rPr/>
  </w:style>
  <w:style w:type="paragraph" w:styleId="Contents2">
    <w:name w:val="TOC 2"/>
    <w:basedOn w:val="Normal"/>
    <w:next w:val="Normal"/>
    <w:autoRedefine/>
    <w:uiPriority w:val="39"/>
    <w:unhideWhenUsed/>
    <w:rsid w:val="00ca0d5e"/>
    <w:pPr>
      <w:spacing w:before="120" w:after="100"/>
      <w:ind w:left="240" w:firstLine="720"/>
    </w:pPr>
    <w:rPr/>
  </w:style>
  <w:style w:type="paragraph" w:styleId="Contents3">
    <w:name w:val="TOC 3"/>
    <w:basedOn w:val="Normal"/>
    <w:next w:val="Normal"/>
    <w:autoRedefine/>
    <w:uiPriority w:val="39"/>
    <w:unhideWhenUsed/>
    <w:rsid w:val="006e5ed3"/>
    <w:pPr>
      <w:spacing w:before="120" w:after="100"/>
      <w:ind w:left="480" w:firstLine="720"/>
    </w:pPr>
    <w:rPr/>
  </w:style>
  <w:style w:type="paragraph" w:styleId="BalloonText">
    <w:name w:val="Balloon Text"/>
    <w:basedOn w:val="Normal"/>
    <w:qFormat/>
    <w:pPr>
      <w:spacing w:lineRule="exact" w:line="240" w:before="0" w:after="0"/>
      <w:ind w:firstLine="720"/>
    </w:pPr>
    <w:rPr>
      <w:rFonts w:ascii="Segoe UI" w:hAnsi="Segoe UI" w:cs="Segoe UI"/>
      <w:sz w:val="18"/>
      <w:szCs w:val="18"/>
    </w:rPr>
  </w:style>
  <w:style w:type="paragraph" w:styleId="Annotationsubject">
    <w:name w:val="annotation subject"/>
    <w:qFormat/>
    <w:pPr>
      <w:widowControl/>
      <w:suppressAutoHyphens w:val="true"/>
      <w:bidi w:val="0"/>
      <w:spacing w:lineRule="exact" w:line="240" w:before="0" w:after="160"/>
      <w:ind w:firstLine="720"/>
      <w:jc w:val="left"/>
    </w:pPr>
    <w:rPr>
      <w:rFonts w:ascii="Calibri" w:hAnsi="Calibri" w:eastAsia="Calibri" w:cs="" w:asciiTheme="minorHAnsi" w:cstheme="minorBidi" w:eastAsiaTheme="minorHAnsi" w:hAnsiTheme="minorHAnsi"/>
      <w:b/>
      <w:bCs/>
      <w:color w:val="auto"/>
      <w:kern w:val="0"/>
      <w:sz w:val="20"/>
      <w:szCs w:val="20"/>
      <w:lang w:val="en-US" w:eastAsia="en-US" w:bidi="ar-SA"/>
    </w:rPr>
  </w:style>
  <w:style w:type="paragraph" w:styleId="Annotationtext">
    <w:name w:val="annotation text"/>
    <w:basedOn w:val="Normal"/>
    <w:qFormat/>
    <w:pPr>
      <w:spacing w:lineRule="exact" w:line="240"/>
      <w:ind w:firstLine="720"/>
    </w:pPr>
    <w:rPr>
      <w:sz w:val="20"/>
      <w:szCs w:val="20"/>
    </w:rPr>
  </w:style>
  <w:style w:type="paragraph" w:styleId="ListParagraph">
    <w:name w:val="List Paragraph"/>
    <w:basedOn w:val="Normal"/>
    <w:qFormat/>
    <w:pPr>
      <w:spacing w:before="120" w:after="120"/>
      <w:ind w:left="720" w:firstLine="720"/>
      <w:contextualSpacing/>
    </w:pPr>
    <w:rPr/>
  </w:style>
  <w:style w:type="paragraph" w:styleId="Normal10">
    <w:name w:val="Normal1_0"/>
    <w:basedOn w:val="Normal"/>
    <w:qFormat/>
    <w:pPr>
      <w:ind w:firstLine="720"/>
    </w:pPr>
    <w:rPr>
      <w:rFonts w:eastAsia="Arial" w:cs="Times New Roman"/>
      <w:lang w:val="en-US"/>
    </w:rPr>
  </w:style>
  <w:style w:type="paragraph" w:styleId="Normal1">
    <w:name w:val="Normal1"/>
    <w:basedOn w:val="Normal"/>
    <w:qFormat/>
    <w:pPr>
      <w:ind w:firstLine="720"/>
    </w:pPr>
    <w:rPr>
      <w:rFonts w:eastAsia="Arial" w:cs="Times New Roman"/>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11F697-EB85-467F-9DD0-B6ADCB4E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Application>LibreOffice/7.2.7.2$Windows_X86_64 LibreOffice_project/8d71d29d553c0f7dcbfa38fbfda25ee34cce99a2</Application>
  <AppVersion>15.0000</AppVersion>
  <Pages>5</Pages>
  <Words>2148</Words>
  <Characters>11923</Characters>
  <CharactersWithSpaces>14014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dc:description/>
  <dc:language>en-GB</dc:language>
  <cp:lastModifiedBy/>
  <dcterms:modified xsi:type="dcterms:W3CDTF">2022-08-30T20:01:46Z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