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CE1" w:rsidRDefault="00DE3CE1" w:rsidP="00DE3CE1">
      <w:r>
        <w:t xml:space="preserve">Within this assignment I will be focusing on the use of Assessment for Learning. Assessment for learning, is a form of formative assessment, and is a tool used by teachers within schools to gain an understanding of their pupils learning. (Black and Wiliam 1998), </w:t>
      </w:r>
      <w:r w:rsidRPr="00B73FE5">
        <w:rPr>
          <w:i/>
        </w:rPr>
        <w:t>‘Teachers need to know about their pupils’ progress and difficulties with learning so that they can adapt their own work to meet pupils’</w:t>
      </w:r>
      <w:r>
        <w:rPr>
          <w:i/>
        </w:rPr>
        <w:t xml:space="preserve"> </w:t>
      </w:r>
      <w:r w:rsidRPr="00B73FE5">
        <w:rPr>
          <w:i/>
        </w:rPr>
        <w:t>needs.’</w:t>
      </w:r>
      <w:r>
        <w:t xml:space="preserve"> There are four main aspects to assessment for learning. The first of these is sharing criteria with the learners. This means that learners understand how their work should look, and what the next steps they are going to take are. The second aspect is the use of questions and quality talk. Using this within the classroom ensures the inclusion of all learners within lessons sharing their thoughts and ideas, reinforcing the lessons learning. The third is the quality of feedback. This aspect being similar to the use of success criteria means that pupils learning remains on track and pupils understand where to go next. The final aspect is peer and self assessment. Using this within a classroom allows pupils to benefit from evaluating one and others work, as well as becoming more confident when working independently. Implementing the use of these four tools helps teachers adapt their teaching strategies to meet the needs of their learners, as well as help pupils adapt their learning strategies, whilst promoting motivation to reach success rather than failure says Bullock, and British Council. Assessment for Learning’s main use within a classroom is to aid pupil progression, linking to what Bullock said about striving for their learner’s success. Agreeing with this is the Welsh Government (2022) using a diagram (find in appendix). Within this, they begin linking the use of assessment within the new Welsh curriculum. They begin with the learner themselves upholding each of the four purposes, with each of these then branching off with the idea that, with the use of assessment, learners will always be progressing within their learning. It is clear from this that the use of assessment within a classroom, is not to cause stress and unease, but is rather a tool to help the continuum of success for all learners. </w:t>
      </w:r>
    </w:p>
    <w:p w:rsidR="00DE3CE1" w:rsidRDefault="00DE3CE1" w:rsidP="00DE3CE1">
      <w:r>
        <w:t xml:space="preserve">Within my writing I will be focusing on three lesson plans I have written, each focusing on a different area of learning. These lessons are for year two pupils within progression step two. The class’ ages range from six and seven, and the pupils have recently began their time within year two, having this topic as their first. The lessons planned are suitable for all learners within the class, with the use of differentiation on certain tasks to ensure all learners have an opportunity to succeed (find lesson plans in appendix). All three of these lessons I have created are based on the same theme; the theme I have chosen to focus on is Dinosaurs. I felt this was a suitable theme to focus on as it is age appropriate, and an exciting topic for younger children to be learning about, therefore leading to a large amount of engagement throughout the entire topic. In doing this I am hopeful that this level of engagement within an exciting topic for learning will ultimately help boost this pupil progression within each of the Areas of Learning I have chosen, with a large use of various Assessment for learning strategies to do so.                                                                                                                                                                    The first lesson I have created is within the Expressive arts area of learning. For this lesson, pupils will be creating their own 3D model/ sculpture of a dinosaur, with the aim of this lesson being that pupils are able to manipulate various different materials to successfully build their own 3D dinosaur sculpture.  The second lesson I have created is within the Language, Literacy and Communication area of learning. The main focus of this lesson will be to create a storyboard, based on the story ‘Harry and the dinosaurs at the museum’, with the intention that pupils will be progressing in their ability to recall information, as well as re-telling a story in their own words. The third and final lesson I have created is within the Science and Technology area of learning. This lesson is based on what the living environment of a dinosaur was like, looking back on planet earth all those years ago. The </w:t>
      </w:r>
      <w:r>
        <w:lastRenderedPageBreak/>
        <w:t>main intention of learning within the lesson is for pupils to understand that when we combine acids and bases/ different chemicals, we create what is called a chemical reaction. To help this understanding, we will all participate in a whole class experiment creating our own volcanic eruption in a model volcano, as these would have been part of a dinosaurs living environment. I feel this is a really useful task to ensure learning has occurred as it is a very out of the ordinary experience to happen within a classroom, therefore making it memorable. Agreeing with this method of teaching is philosopher John Dewey, who’s theories were based on the idea that children learn through doing, rather than reciting, Cole and Study.com (2023).</w:t>
      </w:r>
    </w:p>
    <w:p w:rsidR="00DE3CE1" w:rsidRDefault="00DE3CE1" w:rsidP="00DE3CE1">
      <w:r>
        <w:t xml:space="preserve">According to Laveault and Allal (2016, pg 181), assessment for learning has been embraced by many educators across the world. However, the two suggest that there are challenges presented to teachers when implementing assessment for learning into their classrooms. The main concern raised by the pair is that many teachers are faced with the dilemma of choosing to either teach in readiness for assessment/ testing, to ensure high test scores are attained, or to teach in a way that supports learners to develop using various learning strategies. It is understandable that this can be a cause for concern for many teachers when planning lessons as, as a teacher your main focus should be to see your pupils achieving and progressing both as individuals and learners. However, with the pressure of inspections and the increasing pressure from governments for higher test results, it seems that learning would be striving more towards assessment and testing, which could cause an increase in stress and negative effects on pupil well-being, rather than teaching for a gradual development. Supporting this view in an article from The Guardian is Weale (2017) who highlights the increasing stress felt within primary school classrooms revolving around assessment/ examination. Within the article Weale highlights some of the physical effects primary school pupils have faced, including: a child losing their eyelashes, many facing sleeplessness, and an overall rise in anxiety levels based on a survey taken by primary school teachers. Due to this, it can be said that the question: ‘should assessment be taken internally on a daily bases, through various AfL strategies by a teacher, rather than through end of term examination and assessment?’ should be raised.                                                                         Contradicting this, here in Wales it seems that improvements are being made towards this subject within our new curriculum. The main reason a teacher should use assessment for learning strategies within a lesson is to see their pupils progress, and understand the next steps they should take within their learning. Donaldson (2015, pg 75) highlights this within his book Successful Futures. Although this book was written in 2015, Donaldson’s ideas for the Welsh curriculum are now being implemented within Welsh schools meaning this holds high relevance within this. Donaldson suggested that in order for pupils to progress, they should have received high quality feedback from their teachers, based on formative assessments carried out by the teacher. He says that this feedback should inform pupils of their next steps within learning, and the teacher should have gained an understanding into which pupils are progressing and those who need some extra help. As well as this, the Welsh curriculum now consists of ‘What Matters Statements’ and ‘Progression Steps’. Each of these outline what the pupils should be striving towards, achieving, and where to go next, ultimately helping learners progress within all AOLE’s. Therefore, following the curriculum, within my lesson plans I have used various forms of AfL which focus on the feedback element, as well as others which focus on assessing for understanding. Following this, as mentioned earlier, there are four elements to AfL: Sharing criteria with learners, quality of talk, quality of questioning, and self and peer evaluation. According to Hattie and Clarke (2019 pg.9) feedback is one of the most key aspects to Assessment for learning. Referring back to Black and Wiliam within their writing, the </w:t>
      </w:r>
      <w:r>
        <w:lastRenderedPageBreak/>
        <w:t>two highlight the importance of feedback, stating that the use of feedback allows pupils to recognize the next steps they need to take and how to achieve them. As well as this, the two follow on to say that the four of these aspects are all linked in the ‘underpinned confidence that every student can improve’.</w:t>
      </w:r>
    </w:p>
    <w:p w:rsidR="00DE3CE1" w:rsidRDefault="00DE3CE1" w:rsidP="00DE3CE1">
      <w:r>
        <w:t xml:space="preserve">A very common form of feedback presented within classrooms is live marking from the teacher. These are sometimes known as pit stops. This is where during a task the teacher will pause everyone and mark the pupils work. This means that as the teacher is marking, if a majority of pupils seem to be struggling on a specific question or task, they can provide whole class or individual feedback to the pupils to ensure that they firstly understand what they are struggling with, and secondly how they can move forward from this, ensuring that as they move forward they can achieve some kind of success. Agreeing with this method is Wells and Teacher Toolkit, (2018) who encourages the use of live marking within a classroom, suggesting that it can help a teacher discover misconceptions and immediately prevent them from progressing any further. However, Wells also provides some disadvantages towards this tool stating that it is time consuming. Although this may be the case, after using this strategy myself I know that on the whole it helps produce consistent accurate work from pupils, as they haven’t continued in a method they are confused with but rather have gained a better understanding, and shown it within the rest of their work. I will also discuss this strategy further within my writing.                                                                                                         A commonly used AfL strategy used to check for understanding is through questioning. This can be used at the end of a presentation, during a task, at the end of a topic, or wherever the teacher may feel necessary. Usually to do this a teacher will come to a lesson with pre- planned questions to ask the class. These could be relevant to the lesson taking place, or to a topic as a whole. It is a very useful tool for a teacher to establish where their learners understanding lies in the moment. Agreeing with this is Royal Society of Chemistry, the use of questioning holds great importance within a classroom as it helps develop understanding and competence. Similarly, Tobin (1987 pg.70) would agree that this is a useful tool, if used in the correct way. Tobin believes that in order to understand information or follow instructions correctly, pupils must be provided with sufficient cognitive processing time. By leaving this time, pupils are able to think more deeply into what has been asked and how they should answer. By posing a question and expecting an answer straight away, a teacher is more likely to find that they have fewer participants offering answers, as well as a lack of accurate answers. Therefore it is vital that a teacher allows this time for pupils to process what they have heard, before immediately putting them on the spot. </w:t>
      </w:r>
    </w:p>
    <w:p w:rsidR="00DE3CE1" w:rsidRDefault="00DE3CE1" w:rsidP="00DE3CE1">
      <w:r>
        <w:t xml:space="preserve">The first area of learning I have created a lesson for is expressive arts, specifically focusing on the art aspect. As year two is part of progression step two, the pupils within the class are still quite young and experimenting a lot using expressive arts to do work sometimes through play, which therefore leads to an increase of independence to discover things for themselves within the class. Supporting this is Montessori, who thought that schools should encourage learners to take responsibility over their own learning, taking control of their own learning (Demirbaga 2018).Therefore, considering this; I felt that this was a suitable area of learning to use in order to help develop this independence and intrigue. Within this 3D sculptures lesson, the main intention/ focal point of learning is for pupils to be able to sort through various materials, and manipulate them to create their own 3D sculpture of a dinosaur. As the main theme the pupils are learning about is dinosaurs, they already hold some knowledge on this subject, meaning that this lesson is not focused on the dinosaur aspect, but rather focusing on the skills being developed to progress an understanding of how various different </w:t>
      </w:r>
      <w:r>
        <w:lastRenderedPageBreak/>
        <w:t xml:space="preserve">materials feel, move, bend to decipher which materials are best for them to use. I will begin this lesson with sharing the success criteria with the learners, for example, the model should be 3D, it should replicate a dinosaur. In sharing this I will also present the learners with a WAGOLL. Doing this aids pupils understanding of their end objective, activating initial thinking into what materials they may use, and how they will reach their end goal. A theorist who would support the use of a WAGOLL within a classroom is Lev Vygotski. Vygotski’s theory was based on the idea of a more knowledgeable other working as a scaffolding to walk alongside a learner in their work to help them complete the task (Structural learning 2022). In this circumstance the WAGOLL works alongside the pupils as scaffolding.                                                                                                                                                           </w:t>
      </w:r>
    </w:p>
    <w:p w:rsidR="00DE3CE1" w:rsidRDefault="00DE3CE1" w:rsidP="00DE3CE1">
      <w:r>
        <w:t>To end this lesson, pupils will peer assess each others work, referring back to the success criteria to make a judgement on whether their peer has reached success. Doing this helps pupils move forward in their learning as, peers within the class may provide points of improvement that the learner may not have thought of, as well as myself when marking. Using pupils from within a class to help other progress in their own creativity can be a very useful tool, especially for pupils at this age. According to the George Land creativity test, children are most creative from the ages of three to five. To do this test they continued to test the same children as they grew older. The results showed that over time, the older the children grew, the more their creativity depreciated. The difference between the test results at age three to five up to ten was a 68% drop (Naiman 2014). This therefore means that it is vital to continue to reinforce this creativity within year two and onwards, and using pupils peers who have the potential to be more creative than myself now, is a very useful tool within the classroom. Despite this, according to Chan C.(2010), peer assessment does hold some disadvantages, stating: peer pressure may hold a high role in how a pupil assesses another’s work. By having peers from the same class mark each others work, they may mark a friend’s work as correct, when in reality it is not fully successful. Another issue Chan points attention to is that pupils are not used to marking one and others work. I myself have seen where this can be the case when on placement. I had pupils peer assess each others work referring back to the success criteria we made as a class. Within this task I found myself continually having to point pupils in the right direction of what they should be looking for, despite them having success criteria available to them. It seems they were lacking the initiative to establish for themselves where their peers should be moving forward within their learning. Despite this, I myself feel that this is still a very useful strategy to use within a classroom to assess for learning and understanding, as in order for a pupil to mark another’s work, they have to hold a good understanding of the subject they are working on, meaning the marking pupil has retained some understanding and undertaken some learning from the lesson themselves.</w:t>
      </w:r>
    </w:p>
    <w:p w:rsidR="00DE3CE1" w:rsidRDefault="00DE3CE1" w:rsidP="00DE3CE1">
      <w:r>
        <w:t xml:space="preserve">The second lesson is within the Literacy, Language and Communication area of learning. For this lesson pupils will be read the story ‘Harry and the dinosaurs at the museum’. This lesson again links to the main theme of dinosaurs, but is not focused directly on the pupils learning about dinosaurs. Instead the main learning intention for this lesson is for pupils to be able to recall information they have heard from a story, and retell it in the first person including standard forms of verbs. I have chosen this as the learning intention as within the new Welsh Government cross curricular literacy framework for writing, under the title ‘Vocabulary, spelling and grammar’, within the progression step two column it states: </w:t>
      </w:r>
    </w:p>
    <w:p w:rsidR="00DE3CE1" w:rsidRDefault="00DE3CE1" w:rsidP="00DE3CE1">
      <w:pPr>
        <w:jc w:val="center"/>
        <w:rPr>
          <w:i/>
        </w:rPr>
      </w:pPr>
      <w:r w:rsidRPr="00973BCE">
        <w:rPr>
          <w:i/>
        </w:rPr>
        <w:t>‘I can use standard forms of language, including standard forms of verbs, e.g. I see/he saw, I go/he went, and subject verb agreement, e.g. I was/we were.’</w:t>
      </w:r>
      <w:r>
        <w:rPr>
          <w:i/>
        </w:rPr>
        <w:t xml:space="preserve"> </w:t>
      </w:r>
    </w:p>
    <w:p w:rsidR="00DE3CE1" w:rsidRDefault="00DE3CE1" w:rsidP="00DE3CE1">
      <w:r>
        <w:lastRenderedPageBreak/>
        <w:t xml:space="preserve">Therefore, with the priority of pupil progression in mind, using these progression steps and through assessment for learning, I am able to establish where the pupils are at currently, what they need to do next, and how they are going to get there.                                                                                                                               The main AfL strategy I have used within this lesson is the main task. The main task for this lesson is to create a story board. This is where pupils will have to show whether they have understood what they have heard/ read, but further, be able to re-write it in the first person, as if they are Harry. According to Bakkegard (2023) storyboards can also be seen as an alternative to using a quiz to check for understanding. Despite this, from my own experience I have seen that some pupils will take more time to complete the drawing/ colouring aspect of a storyboard, dismissing the writing. Therefore, within the lesson I will have to be prepared for this ensuring I make sure all pupils focus on the main task, this being the writing aspect, before then moving on to complete the drawing. Furthermore, following the use of this AfL tool, I will also be completing live marking within the lesson. I have chosen to use this assessment for learning strategy as it allows me to spot any misconceptions in the moment. As I said before, this could be the pupils completing the drawing before the writing, but this could also be pupils mixing up the order of the story or missing aspects out that hold importance within the story. Doing this also means that I am able to walk around the classroom whilst work is being completed and if I can see that a majority of pupils are completing work wrong, or are struggling on a certain aspect of the writing, I can take a ‘pit stop’. During this ‘pit stop’ I will have the whole class pause their work, and I will take the time to explain further what the pupils need to do on the piece of work they may be struggling on. This would then mean that after the completion of this pause, the pupils will progress in the production of their work with a far better understanding of what they are doing and where they may have taken a wrong turn, which therefore leads to much better work being produced. I myself used this strategy on my placement within year six and found that it works very well to help boost pupils understanding. After taking a pause the pupils instantly showed an increase in confidence, and almost all completed most questions within the task correctly. This strategy does come with it’s disadvantages however. One of the main disadvantages being that this can be time consuming. A ‘pit stop’ pause should only take around five to ten minutes within the lesson, however, this is not guaranteed and has the potential to take up far more time than anticipated. Contradicting this however, is Morgan and Cambridge Assessment Internal Education (2019 pg. 9), who highlights the importance of the use of live marking within a lesson, suggesting the benefits it provides for the class. Morgan suggests that some of these benefits are that it allows the teacher the opportunity to give examples and model, she believes it is time efficient, and it allows a teacher to differentiate their feedback based on the pupil whose work they are marking. Therefore, taking all of this into account, I feel that this is an extremely useful AfL strategy to use. </w:t>
      </w:r>
    </w:p>
    <w:p w:rsidR="00DE3CE1" w:rsidRDefault="00DE3CE1" w:rsidP="00DE3CE1">
      <w:r>
        <w:t xml:space="preserve">The third and final area of learning I have planned a lesson for is: science and technology. This lesson also fits into the classes overall theme of dinosaurs, but this lesson will be focusing on the living environments of a dinosaur. There are two main aspects of learning within this lesson: the first being the pupils discovery of what the world looked like at the time of the dinosaurs, and the second is for pupils to gain an understanding what happens when we mix acids and bases/ different chemicals, using a model volcano. The main intention of learning within these however is for pupils to understand that combining these, we create a chemical reaction. The main AfL strategy I have used within this lesson is Exit Cards. These will be used at the end of the lesson to assess the learning from the lesson. For this, before completing the mini volcano experiment, I will warn pupils that they </w:t>
      </w:r>
      <w:r>
        <w:lastRenderedPageBreak/>
        <w:t>will have to answer a question at the end of the lesson, meaning they need to make sure they are listening carefully. By doing this, there should be an instant increase in pupils engagement which will lead to a better understanding in what they are learning about as they are far more alert and focused. At the end of the lesson I will ask the pupils to write the key words from the lesson on their cards, as well as a mini explanation of what this is caused by. The answer I would be expecting to have written is a chemical reaction is caused when we mix different chemicals together. I wouldn’t expect an answer with the correct words like acids and bases, as these pupils are still quite young, and so I would like them to learn in a way that they will understand before then progressing their vocabulary in this area in later year groups. If on these exit cards I can see pupils haven’t fully grasped this concept, I will then carry this feedback through to the next science lesson, where I will reinforce this learning to ensure pupils are progressing in their learning. Agreeing with this is Johnson (2023) who argues that exit cards are beneficial tools for teachers to use as they provide feedback that monitors students progress, and those who have confidence and understanding, and those who will need extra help in this area. Some may say however that although an exit card is a useful AfL tool, it does not deal with any misconceptions in the moment. This means that any pupils who haven’t fully understood a task, are left with a lack of understanding until their next lesson. Agreeing with this is Wiliam (2017 pg.139) who explains the importance of immediate In person feedback. Wiliam states that many pupils have appreciated in person immediate feedback far more, as well as many teachers who also appreciate this as a useful tool to help progress learning and understanding. Considering this, I do feel the use of exit cards could become more problematic, however, I do feel that if I continue to reinforce learning throughout the lesson, most pupils should leave with a good understanding of what has just been taught, therefore presenting no problems for the use of exit cards at the end of the lesson.</w:t>
      </w:r>
    </w:p>
    <w:p w:rsidR="003D41C8" w:rsidRDefault="00DE3CE1">
      <w:r>
        <w:t>In conclusion, I feel that there should be an increased use of assessment for learning taking place within primary school classrooms. As Wales now also has it’s own new curriculum, I feel the use of assessment for learning is vital, especially to see pupils progressing in understanding and learning moving between each of the progression steps. I also feel that teacher’s should use at least one for</w:t>
      </w:r>
      <w:r w:rsidR="00226AD8">
        <w:t>m</w:t>
      </w:r>
      <w:r>
        <w:t xml:space="preserve"> of assessment for learning within each of their lessons, specifically focusing on feedback. If pupils are not receiving feedback, they have no clear vision for themselves as to what they should be improving on or how they can be challenging themselves more. As well as this, feedback from pupils to a teacher is just as important, as a teacher is able to see how they need to amend their pedagogy to ensure they are explaining in a way that is going to help their pupils progress within their learning. Reinforcing this idea is Spendlove (2009 pg. 3) who explains that feedback is central within assessment for learning, and holds equal importance from both teachers, as well as learners.                                  Whilst progressing as a learner/ researcher myself it has become clear to me how important it is to include assessment for learning within my lessons. Upon reading about David Wiliam and his beliefs and findings towards formative assessment, some of which are based on pupil feedback, I feel it is extremely important to ensure you are always assessing for understanding and learning, in various ways to ensure your pupils are always progressing within their learning, ensuring no pupils are left behind.                </w:t>
      </w:r>
    </w:p>
    <w:p w:rsidR="003D41C8" w:rsidRPr="003D41C8" w:rsidRDefault="003D41C8">
      <w:pPr>
        <w:rPr>
          <w:b/>
          <w:sz w:val="28"/>
          <w:szCs w:val="28"/>
        </w:rPr>
      </w:pPr>
      <w:r w:rsidRPr="003D41C8">
        <w:rPr>
          <w:b/>
          <w:sz w:val="28"/>
          <w:szCs w:val="28"/>
        </w:rPr>
        <w:t>References</w:t>
      </w:r>
    </w:p>
    <w:p w:rsidR="006605F0" w:rsidRDefault="006605F0" w:rsidP="003D41C8">
      <w:r>
        <w:t xml:space="preserve">Bakkegard, (2023) Using storyboards in the classroom. Available at: </w:t>
      </w:r>
      <w:hyperlink r:id="rId6" w:anchor=":~:text=Check%20for%20understanding%3A%20For%20reading,instead%20of%20taking%20a%20quiz" w:history="1">
        <w:r w:rsidRPr="00654DCA">
          <w:rPr>
            <w:rStyle w:val="Hyperlink"/>
            <w:color w:val="auto"/>
          </w:rPr>
          <w:t>https://www.edutopia.org/article/using-storyboards-</w:t>
        </w:r>
        <w:r w:rsidRPr="00654DCA">
          <w:rPr>
            <w:rStyle w:val="Hyperlink"/>
            <w:color w:val="auto"/>
          </w:rPr>
          <w:lastRenderedPageBreak/>
          <w:t>classroom/#:~:text=Check%20for%20understanding%3A%20For%20reading,instead%20of%20taking%20a%20quiz</w:t>
        </w:r>
      </w:hyperlink>
      <w:r w:rsidRPr="00654DCA">
        <w:t>.</w:t>
      </w:r>
      <w:r>
        <w:t xml:space="preserve"> </w:t>
      </w:r>
    </w:p>
    <w:p w:rsidR="006605F0" w:rsidRDefault="006605F0" w:rsidP="003D41C8">
      <w:r>
        <w:t xml:space="preserve">Black and Wiliam, (1998) </w:t>
      </w:r>
      <w:r>
        <w:rPr>
          <w:i/>
        </w:rPr>
        <w:t xml:space="preserve">Inside the Black Box, </w:t>
      </w:r>
      <w:r>
        <w:t xml:space="preserve">pp. 139-144, 146-148. Sage journals. Available at: </w:t>
      </w:r>
      <w:hyperlink r:id="rId7" w:history="1">
        <w:r w:rsidRPr="0034561F">
          <w:rPr>
            <w:rStyle w:val="Hyperlink"/>
            <w:color w:val="auto"/>
          </w:rPr>
          <w:t>https://journals.sagepub.com/doi/epub/10.1177/003172171009200119</w:t>
        </w:r>
      </w:hyperlink>
      <w:r>
        <w:t xml:space="preserve"> </w:t>
      </w:r>
    </w:p>
    <w:p w:rsidR="006605F0" w:rsidRDefault="006605F0" w:rsidP="003D41C8">
      <w:r>
        <w:t xml:space="preserve">Bullock, and British Council, (Date not provided) </w:t>
      </w:r>
      <w:r>
        <w:rPr>
          <w:i/>
        </w:rPr>
        <w:t xml:space="preserve">Assessment for Learning, </w:t>
      </w:r>
      <w:r>
        <w:t xml:space="preserve">Available at: </w:t>
      </w:r>
      <w:hyperlink r:id="rId8" w:anchor=":~:text=It%20is%20a%20process%20by,and%20achievement%20rather%20than%20failure" w:history="1">
        <w:r w:rsidRPr="00805948">
          <w:rPr>
            <w:rStyle w:val="Hyperlink"/>
            <w:color w:val="auto"/>
          </w:rPr>
          <w:t>https://www.teachingenglish.org.uk/professional-development/teachers/assessing-learning/articles/assessment-learning#:~:text=It%20is%20a%20process%20by,and%20achievement%20rather%20than%20failure</w:t>
        </w:r>
      </w:hyperlink>
      <w:r w:rsidRPr="00805948">
        <w:t>.</w:t>
      </w:r>
    </w:p>
    <w:p w:rsidR="006605F0" w:rsidRDefault="006605F0" w:rsidP="003D41C8">
      <w:r>
        <w:t xml:space="preserve">Chan C. (2010), Assessment: Self and peer assessment, Available at: </w:t>
      </w:r>
      <w:hyperlink r:id="rId9" w:history="1">
        <w:r w:rsidRPr="00766230">
          <w:rPr>
            <w:rStyle w:val="Hyperlink"/>
            <w:color w:val="auto"/>
          </w:rPr>
          <w:t>https://ar.talic.hku.hk/self_peer.htm</w:t>
        </w:r>
      </w:hyperlink>
    </w:p>
    <w:p w:rsidR="006605F0" w:rsidRDefault="006605F0" w:rsidP="003D41C8">
      <w:r>
        <w:t xml:space="preserve">Cole and Study.com, (2023) </w:t>
      </w:r>
      <w:r>
        <w:rPr>
          <w:i/>
        </w:rPr>
        <w:t xml:space="preserve">John Dewey Theory and Impact, </w:t>
      </w:r>
      <w:r>
        <w:t xml:space="preserve">Available at: </w:t>
      </w:r>
      <w:hyperlink r:id="rId10" w:anchor=":~:text=Pragmatism%20contributed%20to%20John%20Dewey's,than%20lectures%20or%20reading%20assignments" w:history="1">
        <w:r w:rsidRPr="00420813">
          <w:rPr>
            <w:rStyle w:val="Hyperlink"/>
            <w:color w:val="auto"/>
          </w:rPr>
          <w:t>https://study.com/academy/lesson/john-dewey-on-education-impact-theory.html#:~:text=Pragmatism%20contributed%20to%20John%20Dewey's,than%20lectures%20or%20reading%20assignments</w:t>
        </w:r>
      </w:hyperlink>
      <w:r w:rsidRPr="00420813">
        <w:t>.</w:t>
      </w:r>
      <w:r>
        <w:t xml:space="preserve"> </w:t>
      </w:r>
    </w:p>
    <w:p w:rsidR="006605F0" w:rsidRDefault="006605F0" w:rsidP="003D41C8">
      <w:r>
        <w:t xml:space="preserve">Demirbaga (2018), A comparative analysis: Vygotsky’s sociocultural theory and Montessori’s Theory. P.113-126. Available at: </w:t>
      </w:r>
      <w:hyperlink r:id="rId11" w:history="1">
        <w:r w:rsidRPr="00903138">
          <w:rPr>
            <w:rStyle w:val="Hyperlink"/>
            <w:color w:val="auto"/>
          </w:rPr>
          <w:t>https://www.researchgate.net/profile/Kubra-Kirca-Demirbaga-2/publication/329921672_A_COMPARATIVE_ANALYSIS_VYGOTSKY'S_SOCIOCULTURAL_THEORY_AND_MONTESSORI'S_THEORY/links/5c238d55a6fdccfc706b0876/A-COMPARATIVE-ANALYSIS-VYGOTSKYS-SOCIOCULTURAL-THEORY-AND-MONTESSORIS-THEORY.pdf</w:t>
        </w:r>
      </w:hyperlink>
      <w:r>
        <w:t xml:space="preserve"> </w:t>
      </w:r>
    </w:p>
    <w:p w:rsidR="006605F0" w:rsidRDefault="006605F0" w:rsidP="003D41C8">
      <w:r>
        <w:t xml:space="preserve">Donaldson, (2015) </w:t>
      </w:r>
      <w:r>
        <w:rPr>
          <w:i/>
        </w:rPr>
        <w:t xml:space="preserve">Successful Futures. </w:t>
      </w:r>
      <w:r>
        <w:t xml:space="preserve">Available at: </w:t>
      </w:r>
      <w:hyperlink r:id="rId12" w:history="1">
        <w:r w:rsidRPr="00483286">
          <w:rPr>
            <w:rStyle w:val="Hyperlink"/>
            <w:color w:val="auto"/>
          </w:rPr>
          <w:t>https://www.gov.wales/sites/default/files/publications/2018-03/successful-futures.pdf</w:t>
        </w:r>
      </w:hyperlink>
      <w:r>
        <w:t xml:space="preserve"> </w:t>
      </w:r>
    </w:p>
    <w:p w:rsidR="006605F0" w:rsidRDefault="006605F0">
      <w:r>
        <w:t>Hattie and Clarke, (2019) Visible learning feedback. Publisher: Routledge</w:t>
      </w:r>
    </w:p>
    <w:p w:rsidR="006605F0" w:rsidRDefault="006605F0" w:rsidP="003D41C8">
      <w:r>
        <w:t xml:space="preserve">Johnson, (2023) How to use exit tickets to find out what your students have learned. Available at: </w:t>
      </w:r>
      <w:hyperlink r:id="rId13" w:anchor=":~:text=be%20most%20beneficial.-,The%20benefits%20of%20exit%20tickets,students%20may%20require%20additional%20support" w:history="1">
        <w:r w:rsidRPr="0000054E">
          <w:rPr>
            <w:rStyle w:val="Hyperlink"/>
            <w:color w:val="auto"/>
          </w:rPr>
          <w:t>https://thirdspacelearning.com/blog/exit-ticket/#:~:text=be%20most%20beneficial.-,The%20benefits%20of%20exit%20tickets,students%20may%20require%20additional%20support</w:t>
        </w:r>
      </w:hyperlink>
      <w:r w:rsidRPr="0000054E">
        <w:t>.</w:t>
      </w:r>
      <w:r>
        <w:t xml:space="preserve"> </w:t>
      </w:r>
    </w:p>
    <w:p w:rsidR="006605F0" w:rsidRDefault="006605F0" w:rsidP="003D41C8">
      <w:r>
        <w:t>Laveault, Allal, (2016) Assessment for learning: Meeting the challenge of Implementation. Publisher: Springer, Charm 2016.</w:t>
      </w:r>
    </w:p>
    <w:p w:rsidR="006605F0" w:rsidRDefault="006605F0" w:rsidP="003D41C8">
      <w:r>
        <w:t xml:space="preserve">Morgan, Cambridge Assessment Internal Education, (2019) The power of effective feedback. Available at: </w:t>
      </w:r>
      <w:hyperlink r:id="rId14" w:history="1">
        <w:r w:rsidRPr="00D216D8">
          <w:rPr>
            <w:rStyle w:val="Hyperlink"/>
            <w:color w:val="auto"/>
          </w:rPr>
          <w:t>https://www.cambridgeinternational.org/Images/557886-09.-the-power-of-effective-feedback.pdf</w:t>
        </w:r>
      </w:hyperlink>
      <w:r>
        <w:t xml:space="preserve"> </w:t>
      </w:r>
    </w:p>
    <w:p w:rsidR="006605F0" w:rsidRDefault="006605F0" w:rsidP="003D41C8">
      <w:r>
        <w:t xml:space="preserve">Naiman (2014), Creativity at Work. Available at: </w:t>
      </w:r>
      <w:hyperlink r:id="rId15" w:history="1">
        <w:r w:rsidRPr="00556432">
          <w:rPr>
            <w:rStyle w:val="Hyperlink"/>
            <w:color w:val="auto"/>
          </w:rPr>
          <w:t>https://www.creativityatwork.com/can-creativity-be-taught/</w:t>
        </w:r>
      </w:hyperlink>
      <w:r>
        <w:t xml:space="preserve"> </w:t>
      </w:r>
    </w:p>
    <w:p w:rsidR="006605F0" w:rsidRDefault="006605F0" w:rsidP="003D41C8">
      <w:r>
        <w:t xml:space="preserve">Royal Society of Chemistry, (Date not provided) </w:t>
      </w:r>
      <w:r>
        <w:rPr>
          <w:i/>
        </w:rPr>
        <w:t xml:space="preserve">Assessment for Learning: Questioning. </w:t>
      </w:r>
      <w:r>
        <w:t xml:space="preserve">Available at: </w:t>
      </w:r>
      <w:hyperlink r:id="rId16" w:anchor=":~:text=Questions%20are%20important%20to%20develop,What%20was%20your%20result%3F" w:history="1">
        <w:r w:rsidRPr="007465A3">
          <w:rPr>
            <w:rStyle w:val="Hyperlink"/>
            <w:color w:val="auto"/>
          </w:rPr>
          <w:t>https://edu.rsc.org/assessment-for-learning/questioning-principles-of-assessment-for-learning/4012321.article#:~:text=Questions%20are%20important%20to%20develop,What%20was%20your%20result%3F</w:t>
        </w:r>
      </w:hyperlink>
      <w:r>
        <w:t xml:space="preserve"> </w:t>
      </w:r>
    </w:p>
    <w:p w:rsidR="006605F0" w:rsidRDefault="006605F0" w:rsidP="003D41C8">
      <w:r>
        <w:lastRenderedPageBreak/>
        <w:t>Spendlove, (2009) Putting Assessment for learning into practice. Publisher: Continuum</w:t>
      </w:r>
    </w:p>
    <w:p w:rsidR="006605F0" w:rsidRDefault="006605F0" w:rsidP="003D41C8">
      <w:r>
        <w:t xml:space="preserve">Structural Learning (2022), Vygotski’s Theory. Available at: </w:t>
      </w:r>
      <w:hyperlink r:id="rId17" w:history="1">
        <w:r w:rsidRPr="00DD5C6A">
          <w:rPr>
            <w:rStyle w:val="Hyperlink"/>
            <w:color w:val="auto"/>
          </w:rPr>
          <w:t>https://www.structural-learning.com/post/vygotskys-theory</w:t>
        </w:r>
      </w:hyperlink>
      <w:r>
        <w:t xml:space="preserve"> </w:t>
      </w:r>
    </w:p>
    <w:p w:rsidR="006605F0" w:rsidRDefault="006605F0" w:rsidP="003D41C8">
      <w:r>
        <w:t>Tobin, (1987) Review of Educational Research. Sage Publications.</w:t>
      </w:r>
    </w:p>
    <w:p w:rsidR="006605F0" w:rsidRDefault="006605F0" w:rsidP="003D41C8">
      <w:r>
        <w:t xml:space="preserve">Weale, (2017) ‘More primary school children suffering stress from stats, survey finds’. Available at: </w:t>
      </w:r>
      <w:hyperlink r:id="rId18" w:history="1">
        <w:r w:rsidRPr="00351443">
          <w:rPr>
            <w:rStyle w:val="Hyperlink"/>
            <w:color w:val="auto"/>
          </w:rPr>
          <w:t>https://www.theguardian.com/education/2017/may/01/sats-primary-school-children-suffering-stress-exam-time</w:t>
        </w:r>
      </w:hyperlink>
      <w:r>
        <w:t xml:space="preserve"> </w:t>
      </w:r>
    </w:p>
    <w:p w:rsidR="006605F0" w:rsidRDefault="006605F0" w:rsidP="003D41C8">
      <w:r>
        <w:t xml:space="preserve">Wells, and Teacher Toolkit, (2018) </w:t>
      </w:r>
      <w:r>
        <w:rPr>
          <w:i/>
        </w:rPr>
        <w:t xml:space="preserve">The pros and cons of live marking. </w:t>
      </w:r>
      <w:r>
        <w:t xml:space="preserve">Available At: </w:t>
      </w:r>
      <w:hyperlink r:id="rId19" w:history="1">
        <w:r w:rsidRPr="00F257D8">
          <w:rPr>
            <w:rStyle w:val="Hyperlink"/>
            <w:color w:val="auto"/>
          </w:rPr>
          <w:t>https://www.teachertoolkit.co.uk/2018/03/04/live-marking-2/</w:t>
        </w:r>
      </w:hyperlink>
      <w:r>
        <w:t xml:space="preserve"> </w:t>
      </w:r>
    </w:p>
    <w:p w:rsidR="006605F0" w:rsidRDefault="006605F0" w:rsidP="003D41C8">
      <w:r>
        <w:t xml:space="preserve">Welsh Government (2022), </w:t>
      </w:r>
      <w:r>
        <w:rPr>
          <w:i/>
        </w:rPr>
        <w:t xml:space="preserve">Supporting learner progression: assessment guidance, </w:t>
      </w:r>
      <w:r>
        <w:t xml:space="preserve">Available at: </w:t>
      </w:r>
      <w:hyperlink r:id="rId20" w:history="1">
        <w:r w:rsidRPr="004B00B3">
          <w:rPr>
            <w:rStyle w:val="Hyperlink"/>
            <w:color w:val="auto"/>
          </w:rPr>
          <w:t>https://hwb.gov.wales/curriculum-for-wales/assessment-arrangements/supporting-learner-progression-assessment-guidance/</w:t>
        </w:r>
      </w:hyperlink>
      <w:r>
        <w:t xml:space="preserve"> </w:t>
      </w:r>
    </w:p>
    <w:p w:rsidR="006605F0" w:rsidRDefault="006605F0" w:rsidP="003D41C8">
      <w:r>
        <w:t xml:space="preserve">Welsh Government, (no date provided), Literacy and Numeracy Framework. Available at: </w:t>
      </w:r>
      <w:hyperlink r:id="rId21" w:history="1">
        <w:r w:rsidRPr="00FE5F28">
          <w:rPr>
            <w:rStyle w:val="Hyperlink"/>
            <w:color w:val="auto"/>
          </w:rPr>
          <w:t>https://hwb.gov.wales/curriculum-for-wales/cross-curricular-skills-frameworks/literacy-and-numeracy-framework</w:t>
        </w:r>
      </w:hyperlink>
      <w:r>
        <w:t xml:space="preserve">  </w:t>
      </w:r>
    </w:p>
    <w:p w:rsidR="006605F0" w:rsidRDefault="006605F0" w:rsidP="003D41C8">
      <w:r>
        <w:t>Wiliam, (2017) Embeded Formative Assessments: (Strategies for Classroom Assessment That Drivers Students Engagement and Learning) Published: Solution Tree</w:t>
      </w:r>
    </w:p>
    <w:p w:rsidR="003D41C8" w:rsidRPr="003D41C8" w:rsidRDefault="003D41C8">
      <w:pPr>
        <w:rPr>
          <w:b/>
          <w:sz w:val="28"/>
          <w:szCs w:val="28"/>
        </w:rPr>
      </w:pPr>
      <w:r>
        <w:rPr>
          <w:b/>
          <w:noProof/>
          <w:sz w:val="28"/>
          <w:szCs w:val="28"/>
          <w:lang w:eastAsia="en-GB"/>
        </w:rPr>
        <w:drawing>
          <wp:anchor distT="0" distB="0" distL="114300" distR="114300" simplePos="0" relativeHeight="251658240" behindDoc="0" locked="0" layoutInCell="1" allowOverlap="1">
            <wp:simplePos x="0" y="0"/>
            <wp:positionH relativeFrom="column">
              <wp:posOffset>615315</wp:posOffset>
            </wp:positionH>
            <wp:positionV relativeFrom="paragraph">
              <wp:posOffset>309880</wp:posOffset>
            </wp:positionV>
            <wp:extent cx="4361180" cy="4245610"/>
            <wp:effectExtent l="19050" t="0" r="1270" b="0"/>
            <wp:wrapNone/>
            <wp:docPr id="1" name="Picture 1" descr="C:\Users\hoski\AppData\Local\Packages\Microsoft.Windows.Photos_8wekyb3d8bbwe\TempState\ShareServiceTempFolder\Screenshot 2024-01-02 1417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ski\AppData\Local\Packages\Microsoft.Windows.Photos_8wekyb3d8bbwe\TempState\ShareServiceTempFolder\Screenshot 2024-01-02 141709.jpeg"/>
                    <pic:cNvPicPr>
                      <a:picLocks noChangeAspect="1" noChangeArrowheads="1"/>
                    </pic:cNvPicPr>
                  </pic:nvPicPr>
                  <pic:blipFill>
                    <a:blip r:embed="rId22"/>
                    <a:srcRect/>
                    <a:stretch>
                      <a:fillRect/>
                    </a:stretch>
                  </pic:blipFill>
                  <pic:spPr bwMode="auto">
                    <a:xfrm>
                      <a:off x="0" y="0"/>
                      <a:ext cx="4361180" cy="4245610"/>
                    </a:xfrm>
                    <a:prstGeom prst="rect">
                      <a:avLst/>
                    </a:prstGeom>
                    <a:noFill/>
                    <a:ln w="9525">
                      <a:noFill/>
                      <a:miter lim="800000"/>
                      <a:headEnd/>
                      <a:tailEnd/>
                    </a:ln>
                  </pic:spPr>
                </pic:pic>
              </a:graphicData>
            </a:graphic>
          </wp:anchor>
        </w:drawing>
      </w:r>
      <w:r w:rsidRPr="003D41C8">
        <w:rPr>
          <w:b/>
          <w:sz w:val="28"/>
          <w:szCs w:val="28"/>
        </w:rPr>
        <w:t>Appendix</w:t>
      </w:r>
    </w:p>
    <w:p w:rsidR="003D41C8" w:rsidRDefault="003D41C8"/>
    <w:p w:rsidR="003D41C8" w:rsidRDefault="003D41C8" w:rsidP="003D41C8">
      <w:pPr>
        <w:pStyle w:val="NormalWeb"/>
      </w:pPr>
    </w:p>
    <w:p w:rsidR="00A8427E" w:rsidRDefault="00633196">
      <w:r>
        <w:t xml:space="preserve">                </w:t>
      </w:r>
      <w:r w:rsidR="003D41C8">
        <w:t xml:space="preserve">                   </w:t>
      </w:r>
    </w:p>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r>
        <w:rPr>
          <w:noProof/>
          <w:lang w:eastAsia="en-GB"/>
        </w:rPr>
        <w:drawing>
          <wp:anchor distT="0" distB="0" distL="114300" distR="114300" simplePos="0" relativeHeight="251660288" behindDoc="0" locked="0" layoutInCell="1" allowOverlap="1">
            <wp:simplePos x="0" y="0"/>
            <wp:positionH relativeFrom="column">
              <wp:posOffset>-974863</wp:posOffset>
            </wp:positionH>
            <wp:positionV relativeFrom="paragraph">
              <wp:posOffset>4694058</wp:posOffset>
            </wp:positionV>
            <wp:extent cx="7550592" cy="4778734"/>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7550592" cy="4778734"/>
                    </a:xfrm>
                    <a:prstGeom prst="rect">
                      <a:avLst/>
                    </a:prstGeom>
                    <a:noFill/>
                    <a:ln w="9525">
                      <a:noFill/>
                      <a:miter lim="800000"/>
                      <a:headEnd/>
                      <a:tailEnd/>
                    </a:ln>
                  </pic:spPr>
                </pic:pic>
              </a:graphicData>
            </a:graphic>
          </wp:anchor>
        </w:drawing>
      </w:r>
      <w:r>
        <w:br w:type="page"/>
      </w:r>
    </w:p>
    <w:p w:rsidR="003D41C8" w:rsidRDefault="006605F0">
      <w:r>
        <w:rPr>
          <w:noProof/>
          <w:lang w:eastAsia="en-GB"/>
        </w:rPr>
        <w:lastRenderedPageBreak/>
        <w:drawing>
          <wp:anchor distT="0" distB="0" distL="114300" distR="114300" simplePos="0" relativeHeight="251659264" behindDoc="0" locked="0" layoutInCell="1" allowOverlap="1">
            <wp:simplePos x="0" y="0"/>
            <wp:positionH relativeFrom="column">
              <wp:posOffset>-911860</wp:posOffset>
            </wp:positionH>
            <wp:positionV relativeFrom="paragraph">
              <wp:posOffset>-55880</wp:posOffset>
            </wp:positionV>
            <wp:extent cx="7550150" cy="5796280"/>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7550150" cy="5796280"/>
                    </a:xfrm>
                    <a:prstGeom prst="rect">
                      <a:avLst/>
                    </a:prstGeom>
                    <a:noFill/>
                    <a:ln w="9525">
                      <a:noFill/>
                      <a:miter lim="800000"/>
                      <a:headEnd/>
                      <a:tailEnd/>
                    </a:ln>
                  </pic:spPr>
                </pic:pic>
              </a:graphicData>
            </a:graphic>
          </wp:anchor>
        </w:drawing>
      </w:r>
    </w:p>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6605F0">
      <w:r>
        <w:rPr>
          <w:noProof/>
          <w:lang w:eastAsia="en-GB"/>
        </w:rPr>
        <w:drawing>
          <wp:anchor distT="0" distB="0" distL="114300" distR="114300" simplePos="0" relativeHeight="251661312" behindDoc="0" locked="0" layoutInCell="1" allowOverlap="1">
            <wp:simplePos x="0" y="0"/>
            <wp:positionH relativeFrom="column">
              <wp:posOffset>-871855</wp:posOffset>
            </wp:positionH>
            <wp:positionV relativeFrom="paragraph">
              <wp:posOffset>75565</wp:posOffset>
            </wp:positionV>
            <wp:extent cx="7510780" cy="3227705"/>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7510780" cy="3227705"/>
                    </a:xfrm>
                    <a:prstGeom prst="rect">
                      <a:avLst/>
                    </a:prstGeom>
                    <a:noFill/>
                    <a:ln w="9525">
                      <a:noFill/>
                      <a:miter lim="800000"/>
                      <a:headEnd/>
                      <a:tailEnd/>
                    </a:ln>
                  </pic:spPr>
                </pic:pic>
              </a:graphicData>
            </a:graphic>
          </wp:anchor>
        </w:drawing>
      </w:r>
    </w:p>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r>
        <w:rPr>
          <w:noProof/>
          <w:lang w:eastAsia="en-GB"/>
        </w:rPr>
        <w:drawing>
          <wp:anchor distT="0" distB="0" distL="114300" distR="114300" simplePos="0" relativeHeight="251663360" behindDoc="0" locked="0" layoutInCell="1" allowOverlap="1">
            <wp:simplePos x="0" y="0"/>
            <wp:positionH relativeFrom="column">
              <wp:posOffset>-831740</wp:posOffset>
            </wp:positionH>
            <wp:positionV relativeFrom="paragraph">
              <wp:posOffset>719095</wp:posOffset>
            </wp:positionV>
            <wp:extent cx="7431323" cy="710643"/>
            <wp:effectExtent l="1905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srcRect/>
                    <a:stretch>
                      <a:fillRect/>
                    </a:stretch>
                  </pic:blipFill>
                  <pic:spPr bwMode="auto">
                    <a:xfrm>
                      <a:off x="0" y="0"/>
                      <a:ext cx="7431323" cy="710643"/>
                    </a:xfrm>
                    <a:prstGeom prst="rect">
                      <a:avLst/>
                    </a:prstGeom>
                    <a:noFill/>
                    <a:ln w="9525">
                      <a:noFill/>
                      <a:miter lim="800000"/>
                      <a:headEnd/>
                      <a:tailEnd/>
                    </a:ln>
                  </pic:spPr>
                </pic:pic>
              </a:graphicData>
            </a:graphic>
          </wp:anchor>
        </w:drawing>
      </w:r>
    </w:p>
    <w:p w:rsidR="003D41C8" w:rsidRDefault="006605F0">
      <w:r>
        <w:rPr>
          <w:noProof/>
          <w:lang w:eastAsia="en-GB"/>
        </w:rPr>
        <w:lastRenderedPageBreak/>
        <w:drawing>
          <wp:anchor distT="0" distB="0" distL="114300" distR="114300" simplePos="0" relativeHeight="251662336" behindDoc="0" locked="0" layoutInCell="1" allowOverlap="1">
            <wp:simplePos x="0" y="0"/>
            <wp:positionH relativeFrom="column">
              <wp:posOffset>-871496</wp:posOffset>
            </wp:positionH>
            <wp:positionV relativeFrom="paragraph">
              <wp:posOffset>-842274</wp:posOffset>
            </wp:positionV>
            <wp:extent cx="7510835" cy="5836258"/>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srcRect/>
                    <a:stretch>
                      <a:fillRect/>
                    </a:stretch>
                  </pic:blipFill>
                  <pic:spPr bwMode="auto">
                    <a:xfrm>
                      <a:off x="0" y="0"/>
                      <a:ext cx="7510835" cy="5836258"/>
                    </a:xfrm>
                    <a:prstGeom prst="rect">
                      <a:avLst/>
                    </a:prstGeom>
                    <a:noFill/>
                    <a:ln w="9525">
                      <a:noFill/>
                      <a:miter lim="800000"/>
                      <a:headEnd/>
                      <a:tailEnd/>
                    </a:ln>
                  </pic:spPr>
                </pic:pic>
              </a:graphicData>
            </a:graphic>
          </wp:anchor>
        </w:drawing>
      </w:r>
    </w:p>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3D41C8" w:rsidRDefault="003D41C8"/>
    <w:p w:rsidR="00906960" w:rsidRDefault="00906960"/>
    <w:p w:rsidR="00906960" w:rsidRDefault="006605F0">
      <w:r>
        <w:rPr>
          <w:noProof/>
          <w:lang w:eastAsia="en-GB"/>
        </w:rPr>
        <w:drawing>
          <wp:anchor distT="0" distB="0" distL="114300" distR="114300" simplePos="0" relativeHeight="251664384" behindDoc="0" locked="0" layoutInCell="1" allowOverlap="1">
            <wp:simplePos x="0" y="0"/>
            <wp:positionH relativeFrom="column">
              <wp:posOffset>-875030</wp:posOffset>
            </wp:positionH>
            <wp:positionV relativeFrom="paragraph">
              <wp:posOffset>147320</wp:posOffset>
            </wp:positionV>
            <wp:extent cx="7443470" cy="4786630"/>
            <wp:effectExtent l="19050" t="0" r="5080" b="0"/>
            <wp:wrapNone/>
            <wp:docPr id="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srcRect/>
                    <a:stretch>
                      <a:fillRect/>
                    </a:stretch>
                  </pic:blipFill>
                  <pic:spPr bwMode="auto">
                    <a:xfrm>
                      <a:off x="0" y="0"/>
                      <a:ext cx="7443470" cy="4786630"/>
                    </a:xfrm>
                    <a:prstGeom prst="rect">
                      <a:avLst/>
                    </a:prstGeom>
                    <a:noFill/>
                    <a:ln w="9525">
                      <a:noFill/>
                      <a:miter lim="800000"/>
                      <a:headEnd/>
                      <a:tailEnd/>
                    </a:ln>
                  </pic:spPr>
                </pic:pic>
              </a:graphicData>
            </a:graphic>
          </wp:anchor>
        </w:drawing>
      </w:r>
    </w:p>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6605F0">
      <w:r>
        <w:rPr>
          <w:noProof/>
          <w:lang w:eastAsia="en-GB"/>
        </w:rPr>
        <w:lastRenderedPageBreak/>
        <w:drawing>
          <wp:anchor distT="0" distB="0" distL="114300" distR="114300" simplePos="0" relativeHeight="251665408" behindDoc="0" locked="0" layoutInCell="1" allowOverlap="1">
            <wp:simplePos x="0" y="0"/>
            <wp:positionH relativeFrom="column">
              <wp:posOffset>-870585</wp:posOffset>
            </wp:positionH>
            <wp:positionV relativeFrom="paragraph">
              <wp:posOffset>151130</wp:posOffset>
            </wp:positionV>
            <wp:extent cx="7442200" cy="1947545"/>
            <wp:effectExtent l="19050" t="0" r="6350" b="0"/>
            <wp:wrapNone/>
            <wp:docPr id="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srcRect/>
                    <a:stretch>
                      <a:fillRect/>
                    </a:stretch>
                  </pic:blipFill>
                  <pic:spPr bwMode="auto">
                    <a:xfrm>
                      <a:off x="0" y="0"/>
                      <a:ext cx="7442200" cy="1947545"/>
                    </a:xfrm>
                    <a:prstGeom prst="rect">
                      <a:avLst/>
                    </a:prstGeom>
                    <a:noFill/>
                    <a:ln w="9525">
                      <a:noFill/>
                      <a:miter lim="800000"/>
                      <a:headEnd/>
                      <a:tailEnd/>
                    </a:ln>
                  </pic:spPr>
                </pic:pic>
              </a:graphicData>
            </a:graphic>
          </wp:anchor>
        </w:drawing>
      </w:r>
    </w:p>
    <w:p w:rsidR="00906960" w:rsidRDefault="00906960"/>
    <w:p w:rsidR="00906960" w:rsidRDefault="00906960"/>
    <w:p w:rsidR="003D41C8" w:rsidRDefault="003D41C8"/>
    <w:p w:rsidR="003D41C8" w:rsidRDefault="003D41C8"/>
    <w:p w:rsidR="003D41C8" w:rsidRDefault="003D41C8"/>
    <w:p w:rsidR="003D41C8" w:rsidRDefault="003D41C8"/>
    <w:p w:rsidR="003D41C8" w:rsidRDefault="003D41C8"/>
    <w:p w:rsidR="00906960" w:rsidRDefault="00906960"/>
    <w:p w:rsidR="00906960" w:rsidRDefault="006605F0">
      <w:r>
        <w:rPr>
          <w:noProof/>
          <w:lang w:eastAsia="en-GB"/>
        </w:rPr>
        <w:drawing>
          <wp:anchor distT="0" distB="0" distL="114300" distR="114300" simplePos="0" relativeHeight="251666432" behindDoc="0" locked="0" layoutInCell="1" allowOverlap="1">
            <wp:simplePos x="0" y="0"/>
            <wp:positionH relativeFrom="column">
              <wp:posOffset>-871855</wp:posOffset>
            </wp:positionH>
            <wp:positionV relativeFrom="paragraph">
              <wp:posOffset>236220</wp:posOffset>
            </wp:positionV>
            <wp:extent cx="7499985" cy="5907405"/>
            <wp:effectExtent l="19050" t="0" r="571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srcRect/>
                    <a:stretch>
                      <a:fillRect/>
                    </a:stretch>
                  </pic:blipFill>
                  <pic:spPr bwMode="auto">
                    <a:xfrm>
                      <a:off x="0" y="0"/>
                      <a:ext cx="7499985" cy="5907405"/>
                    </a:xfrm>
                    <a:prstGeom prst="rect">
                      <a:avLst/>
                    </a:prstGeom>
                    <a:noFill/>
                    <a:ln w="9525">
                      <a:noFill/>
                      <a:miter lim="800000"/>
                      <a:headEnd/>
                      <a:tailEnd/>
                    </a:ln>
                  </pic:spPr>
                </pic:pic>
              </a:graphicData>
            </a:graphic>
          </wp:anchor>
        </w:drawing>
      </w:r>
    </w:p>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6605F0">
      <w:r>
        <w:rPr>
          <w:noProof/>
          <w:lang w:eastAsia="en-GB"/>
        </w:rPr>
        <w:drawing>
          <wp:anchor distT="0" distB="0" distL="114300" distR="114300" simplePos="0" relativeHeight="251667456" behindDoc="0" locked="0" layoutInCell="1" allowOverlap="1">
            <wp:simplePos x="0" y="0"/>
            <wp:positionH relativeFrom="column">
              <wp:posOffset>-871855</wp:posOffset>
            </wp:positionH>
            <wp:positionV relativeFrom="paragraph">
              <wp:posOffset>647065</wp:posOffset>
            </wp:positionV>
            <wp:extent cx="7542530" cy="731520"/>
            <wp:effectExtent l="19050" t="0" r="127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srcRect/>
                    <a:stretch>
                      <a:fillRect/>
                    </a:stretch>
                  </pic:blipFill>
                  <pic:spPr bwMode="auto">
                    <a:xfrm>
                      <a:off x="0" y="0"/>
                      <a:ext cx="7542530" cy="731520"/>
                    </a:xfrm>
                    <a:prstGeom prst="rect">
                      <a:avLst/>
                    </a:prstGeom>
                    <a:noFill/>
                    <a:ln w="9525">
                      <a:noFill/>
                      <a:miter lim="800000"/>
                      <a:headEnd/>
                      <a:tailEnd/>
                    </a:ln>
                  </pic:spPr>
                </pic:pic>
              </a:graphicData>
            </a:graphic>
          </wp:anchor>
        </w:drawing>
      </w:r>
    </w:p>
    <w:p w:rsidR="00906960" w:rsidRDefault="00906960">
      <w:r>
        <w:rPr>
          <w:noProof/>
          <w:lang w:eastAsia="en-GB"/>
        </w:rPr>
        <w:lastRenderedPageBreak/>
        <w:drawing>
          <wp:anchor distT="0" distB="0" distL="114300" distR="114300" simplePos="0" relativeHeight="251668480" behindDoc="0" locked="0" layoutInCell="1" allowOverlap="1">
            <wp:simplePos x="0" y="0"/>
            <wp:positionH relativeFrom="column">
              <wp:posOffset>-871855</wp:posOffset>
            </wp:positionH>
            <wp:positionV relativeFrom="paragraph">
              <wp:posOffset>-866775</wp:posOffset>
            </wp:positionV>
            <wp:extent cx="7458075" cy="4905375"/>
            <wp:effectExtent l="19050" t="0" r="9525"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srcRect/>
                    <a:stretch>
                      <a:fillRect/>
                    </a:stretch>
                  </pic:blipFill>
                  <pic:spPr bwMode="auto">
                    <a:xfrm>
                      <a:off x="0" y="0"/>
                      <a:ext cx="7458075" cy="4905375"/>
                    </a:xfrm>
                    <a:prstGeom prst="rect">
                      <a:avLst/>
                    </a:prstGeom>
                    <a:noFill/>
                    <a:ln w="9525">
                      <a:noFill/>
                      <a:miter lim="800000"/>
                      <a:headEnd/>
                      <a:tailEnd/>
                    </a:ln>
                  </pic:spPr>
                </pic:pic>
              </a:graphicData>
            </a:graphic>
          </wp:anchor>
        </w:drawing>
      </w:r>
    </w:p>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r>
        <w:rPr>
          <w:noProof/>
          <w:lang w:eastAsia="en-GB"/>
        </w:rPr>
        <w:drawing>
          <wp:anchor distT="0" distB="0" distL="114300" distR="114300" simplePos="0" relativeHeight="251669504" behindDoc="0" locked="0" layoutInCell="1" allowOverlap="1">
            <wp:simplePos x="0" y="0"/>
            <wp:positionH relativeFrom="column">
              <wp:posOffset>-871855</wp:posOffset>
            </wp:positionH>
            <wp:positionV relativeFrom="paragraph">
              <wp:posOffset>227965</wp:posOffset>
            </wp:positionV>
            <wp:extent cx="7456805" cy="4754880"/>
            <wp:effectExtent l="19050" t="0" r="0" b="0"/>
            <wp:wrapNone/>
            <wp:docPr id="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srcRect/>
                    <a:stretch>
                      <a:fillRect/>
                    </a:stretch>
                  </pic:blipFill>
                  <pic:spPr bwMode="auto">
                    <a:xfrm>
                      <a:off x="0" y="0"/>
                      <a:ext cx="7456805" cy="4754880"/>
                    </a:xfrm>
                    <a:prstGeom prst="rect">
                      <a:avLst/>
                    </a:prstGeom>
                    <a:noFill/>
                    <a:ln w="9525">
                      <a:noFill/>
                      <a:miter lim="800000"/>
                      <a:headEnd/>
                      <a:tailEnd/>
                    </a:ln>
                  </pic:spPr>
                </pic:pic>
              </a:graphicData>
            </a:graphic>
          </wp:anchor>
        </w:drawing>
      </w:r>
    </w:p>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p w:rsidR="00906960" w:rsidRDefault="00906960">
      <w:r>
        <w:rPr>
          <w:noProof/>
          <w:lang w:eastAsia="en-GB"/>
        </w:rPr>
        <w:lastRenderedPageBreak/>
        <w:drawing>
          <wp:anchor distT="0" distB="0" distL="114300" distR="114300" simplePos="0" relativeHeight="251670528" behindDoc="0" locked="0" layoutInCell="1" allowOverlap="1">
            <wp:simplePos x="0" y="0"/>
            <wp:positionH relativeFrom="column">
              <wp:posOffset>-871496</wp:posOffset>
            </wp:positionH>
            <wp:positionV relativeFrom="paragraph">
              <wp:posOffset>-866692</wp:posOffset>
            </wp:positionV>
            <wp:extent cx="7457221" cy="3689405"/>
            <wp:effectExtent l="1905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srcRect/>
                    <a:stretch>
                      <a:fillRect/>
                    </a:stretch>
                  </pic:blipFill>
                  <pic:spPr bwMode="auto">
                    <a:xfrm>
                      <a:off x="0" y="0"/>
                      <a:ext cx="7456788" cy="3689191"/>
                    </a:xfrm>
                    <a:prstGeom prst="rect">
                      <a:avLst/>
                    </a:prstGeom>
                    <a:noFill/>
                    <a:ln w="9525">
                      <a:noFill/>
                      <a:miter lim="800000"/>
                      <a:headEnd/>
                      <a:tailEnd/>
                    </a:ln>
                  </pic:spPr>
                </pic:pic>
              </a:graphicData>
            </a:graphic>
          </wp:anchor>
        </w:drawing>
      </w:r>
    </w:p>
    <w:p w:rsidR="00906960" w:rsidRDefault="00906960"/>
    <w:p w:rsidR="00906960" w:rsidRDefault="00906960"/>
    <w:p w:rsidR="00906960" w:rsidRDefault="00906960"/>
    <w:p w:rsidR="00906960" w:rsidRDefault="00906960"/>
    <w:p w:rsidR="00906960" w:rsidRDefault="00906960"/>
    <w:sectPr w:rsidR="00906960" w:rsidSect="00560B78">
      <w:headerReference w:type="default" r:id="rId3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B60" w:rsidRDefault="00146B60" w:rsidP="00906960">
      <w:pPr>
        <w:spacing w:after="0" w:line="240" w:lineRule="auto"/>
      </w:pPr>
      <w:r>
        <w:separator/>
      </w:r>
    </w:p>
  </w:endnote>
  <w:endnote w:type="continuationSeparator" w:id="1">
    <w:p w:rsidR="00146B60" w:rsidRDefault="00146B60" w:rsidP="009069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B60" w:rsidRDefault="00146B60" w:rsidP="00906960">
      <w:pPr>
        <w:spacing w:after="0" w:line="240" w:lineRule="auto"/>
      </w:pPr>
      <w:r>
        <w:separator/>
      </w:r>
    </w:p>
  </w:footnote>
  <w:footnote w:type="continuationSeparator" w:id="1">
    <w:p w:rsidR="00146B60" w:rsidRDefault="00146B60" w:rsidP="009069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960" w:rsidRPr="007244ED" w:rsidRDefault="00906960" w:rsidP="00906960">
    <w:pPr>
      <w:pStyle w:val="Header"/>
      <w:jc w:val="center"/>
      <w:rPr>
        <w:b/>
      </w:rPr>
    </w:pPr>
    <w:r w:rsidRPr="007244ED">
      <w:rPr>
        <w:b/>
      </w:rPr>
      <w:t>A written assignment critically evaluating how Assessment for Learning can be utilised in a series of learning opportunities to aid pupil progression across chosen areas of learning and experience.</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55530A"/>
    <w:rsid w:val="000418AB"/>
    <w:rsid w:val="00055065"/>
    <w:rsid w:val="00072737"/>
    <w:rsid w:val="0013161D"/>
    <w:rsid w:val="00146B60"/>
    <w:rsid w:val="0015143B"/>
    <w:rsid w:val="00155233"/>
    <w:rsid w:val="00180D24"/>
    <w:rsid w:val="0020430E"/>
    <w:rsid w:val="00224736"/>
    <w:rsid w:val="00226AD8"/>
    <w:rsid w:val="00255283"/>
    <w:rsid w:val="002A2EB2"/>
    <w:rsid w:val="002E5FDB"/>
    <w:rsid w:val="00312B94"/>
    <w:rsid w:val="0037150F"/>
    <w:rsid w:val="003B4099"/>
    <w:rsid w:val="003B73B1"/>
    <w:rsid w:val="003C3865"/>
    <w:rsid w:val="003D41C8"/>
    <w:rsid w:val="00423608"/>
    <w:rsid w:val="00440789"/>
    <w:rsid w:val="004B533C"/>
    <w:rsid w:val="0055530A"/>
    <w:rsid w:val="00560B78"/>
    <w:rsid w:val="00576B2C"/>
    <w:rsid w:val="005C581D"/>
    <w:rsid w:val="005D1817"/>
    <w:rsid w:val="005F2029"/>
    <w:rsid w:val="005F212A"/>
    <w:rsid w:val="00633196"/>
    <w:rsid w:val="00643421"/>
    <w:rsid w:val="006605F0"/>
    <w:rsid w:val="00702CE8"/>
    <w:rsid w:val="00705B4E"/>
    <w:rsid w:val="00712662"/>
    <w:rsid w:val="007244ED"/>
    <w:rsid w:val="00751448"/>
    <w:rsid w:val="007A2188"/>
    <w:rsid w:val="007D6D30"/>
    <w:rsid w:val="008C585F"/>
    <w:rsid w:val="008E628A"/>
    <w:rsid w:val="00906960"/>
    <w:rsid w:val="00921DA1"/>
    <w:rsid w:val="00921E6B"/>
    <w:rsid w:val="00973BCE"/>
    <w:rsid w:val="00997716"/>
    <w:rsid w:val="00A11456"/>
    <w:rsid w:val="00A30367"/>
    <w:rsid w:val="00A62A4B"/>
    <w:rsid w:val="00A8427E"/>
    <w:rsid w:val="00AB668E"/>
    <w:rsid w:val="00AF21EF"/>
    <w:rsid w:val="00B03095"/>
    <w:rsid w:val="00B313A2"/>
    <w:rsid w:val="00B73FE5"/>
    <w:rsid w:val="00B92502"/>
    <w:rsid w:val="00B93551"/>
    <w:rsid w:val="00BC0174"/>
    <w:rsid w:val="00BC77C3"/>
    <w:rsid w:val="00BF3C5D"/>
    <w:rsid w:val="00C30A4A"/>
    <w:rsid w:val="00CF570D"/>
    <w:rsid w:val="00D36452"/>
    <w:rsid w:val="00D544BC"/>
    <w:rsid w:val="00D73D47"/>
    <w:rsid w:val="00DA7B14"/>
    <w:rsid w:val="00DC619C"/>
    <w:rsid w:val="00DE3CE1"/>
    <w:rsid w:val="00E4474C"/>
    <w:rsid w:val="00E66089"/>
    <w:rsid w:val="00F1270D"/>
    <w:rsid w:val="00F3303B"/>
    <w:rsid w:val="00F5337E"/>
    <w:rsid w:val="00F91716"/>
    <w:rsid w:val="00F954A9"/>
    <w:rsid w:val="00FC4EB9"/>
    <w:rsid w:val="00FD0975"/>
    <w:rsid w:val="00FD65A8"/>
    <w:rsid w:val="00FE74E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B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1C8"/>
    <w:rPr>
      <w:color w:val="0000FF" w:themeColor="hyperlink"/>
      <w:u w:val="single"/>
    </w:rPr>
  </w:style>
  <w:style w:type="paragraph" w:styleId="NormalWeb">
    <w:name w:val="Normal (Web)"/>
    <w:basedOn w:val="Normal"/>
    <w:uiPriority w:val="99"/>
    <w:semiHidden/>
    <w:unhideWhenUsed/>
    <w:rsid w:val="003D41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D41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1C8"/>
    <w:rPr>
      <w:rFonts w:ascii="Tahoma" w:hAnsi="Tahoma" w:cs="Tahoma"/>
      <w:sz w:val="16"/>
      <w:szCs w:val="16"/>
    </w:rPr>
  </w:style>
  <w:style w:type="paragraph" w:styleId="Header">
    <w:name w:val="header"/>
    <w:basedOn w:val="Normal"/>
    <w:link w:val="HeaderChar"/>
    <w:uiPriority w:val="99"/>
    <w:semiHidden/>
    <w:unhideWhenUsed/>
    <w:rsid w:val="0090696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06960"/>
  </w:style>
  <w:style w:type="paragraph" w:styleId="Footer">
    <w:name w:val="footer"/>
    <w:basedOn w:val="Normal"/>
    <w:link w:val="FooterChar"/>
    <w:uiPriority w:val="99"/>
    <w:semiHidden/>
    <w:unhideWhenUsed/>
    <w:rsid w:val="0090696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06960"/>
  </w:style>
</w:styles>
</file>

<file path=word/webSettings.xml><?xml version="1.0" encoding="utf-8"?>
<w:webSettings xmlns:r="http://schemas.openxmlformats.org/officeDocument/2006/relationships" xmlns:w="http://schemas.openxmlformats.org/wordprocessingml/2006/main">
  <w:divs>
    <w:div w:id="63957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professional-development/teachers/assessing-learning/articles/assessment-learning" TargetMode="External"/><Relationship Id="rId13" Type="http://schemas.openxmlformats.org/officeDocument/2006/relationships/hyperlink" Target="https://thirdspacelearning.com/blog/exit-ticket/" TargetMode="External"/><Relationship Id="rId18" Type="http://schemas.openxmlformats.org/officeDocument/2006/relationships/hyperlink" Target="https://www.theguardian.com/education/2017/may/01/sats-primary-school-children-suffering-stress-exam-time" TargetMode="External"/><Relationship Id="rId26"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hyperlink" Target="https://hwb.gov.wales/curriculum-for-wales/cross-curricular-skills-frameworks/literacy-and-numeracy-framework" TargetMode="External"/><Relationship Id="rId34" Type="http://schemas.openxmlformats.org/officeDocument/2006/relationships/image" Target="media/image13.png"/><Relationship Id="rId7" Type="http://schemas.openxmlformats.org/officeDocument/2006/relationships/hyperlink" Target="https://journals.sagepub.com/doi/epub/10.1177/003172171009200119" TargetMode="External"/><Relationship Id="rId12" Type="http://schemas.openxmlformats.org/officeDocument/2006/relationships/hyperlink" Target="https://www.gov.wales/sites/default/files/publications/2018-03/successful-futures.pdf" TargetMode="External"/><Relationship Id="rId17" Type="http://schemas.openxmlformats.org/officeDocument/2006/relationships/hyperlink" Target="https://www.structural-learning.com/post/vygotskys-theory"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hyperlink" Target="https://edu.rsc.org/assessment-for-learning/questioning-principles-of-assessment-for-learning/4012321.article" TargetMode="External"/><Relationship Id="rId20" Type="http://schemas.openxmlformats.org/officeDocument/2006/relationships/hyperlink" Target="https://hwb.gov.wales/curriculum-for-wales/assessment-arrangements/supporting-learner-progression-assessment-guidance/" TargetMode="External"/><Relationship Id="rId29" Type="http://schemas.openxmlformats.org/officeDocument/2006/relationships/image" Target="media/image8.png"/><Relationship Id="rId1" Type="http://schemas.openxmlformats.org/officeDocument/2006/relationships/styles" Target="styles.xml"/><Relationship Id="rId6" Type="http://schemas.openxmlformats.org/officeDocument/2006/relationships/hyperlink" Target="https://www.edutopia.org/article/using-storyboards-classroom/" TargetMode="External"/><Relationship Id="rId11" Type="http://schemas.openxmlformats.org/officeDocument/2006/relationships/hyperlink" Target="https://www.researchgate.net/profile/Kubra-Kirca-Demirbaga-2/publication/329921672_A_COMPARATIVE_ANALYSIS_VYGOTSKY'S_SOCIOCULTURAL_THEORY_AND_MONTESSORI'S_THEORY/links/5c238d55a6fdccfc706b0876/A-COMPARATIVE-ANALYSIS-VYGOTSKYS-SOCIOCULTURAL-THEORY-AND-MONTESSORIS-THEORY.pdf"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reativityatwork.com/can-creativity-be-taught/"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fontTable" Target="fontTable.xml"/><Relationship Id="rId10" Type="http://schemas.openxmlformats.org/officeDocument/2006/relationships/hyperlink" Target="https://study.com/academy/lesson/john-dewey-on-education-impact-theory.html" TargetMode="External"/><Relationship Id="rId19" Type="http://schemas.openxmlformats.org/officeDocument/2006/relationships/hyperlink" Target="https://www.teachertoolkit.co.uk/2018/03/04/live-marking-2/" TargetMode="External"/><Relationship Id="rId31"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hyperlink" Target="https://ar.talic.hku.hk/self_peer.htm" TargetMode="External"/><Relationship Id="rId14" Type="http://schemas.openxmlformats.org/officeDocument/2006/relationships/hyperlink" Target="https://www.cambridgeinternational.org/Images/557886-09.-the-power-of-effective-feedback.pdf" TargetMode="External"/><Relationship Id="rId22" Type="http://schemas.openxmlformats.org/officeDocument/2006/relationships/image" Target="media/image1.jpeg"/><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13</Pages>
  <Words>4740</Words>
  <Characters>27018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Hoskins</dc:creator>
  <cp:lastModifiedBy>Andrew Hoskins</cp:lastModifiedBy>
  <cp:revision>4</cp:revision>
  <dcterms:created xsi:type="dcterms:W3CDTF">2024-01-05T21:33:00Z</dcterms:created>
  <dcterms:modified xsi:type="dcterms:W3CDTF">2024-01-08T19:21:00Z</dcterms:modified>
</cp:coreProperties>
</file>