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267313"/>
        <w:docPartObj>
          <w:docPartGallery w:val="Cover Pages"/>
          <w:docPartUnique/>
        </w:docPartObj>
      </w:sdtPr>
      <w:sdtEndPr/>
      <w:sdtContent>
        <w:p w14:paraId="42B7BB78" w14:textId="16805BC0" w:rsidR="006C26D0" w:rsidRDefault="006C26D0">
          <w:r>
            <w:rPr>
              <w:noProof/>
            </w:rPr>
            <mc:AlternateContent>
              <mc:Choice Requires="wps">
                <w:drawing>
                  <wp:anchor distT="0" distB="0" distL="114300" distR="114300" simplePos="0" relativeHeight="251662336" behindDoc="0" locked="0" layoutInCell="1" allowOverlap="1" wp14:anchorId="554C9423" wp14:editId="7F95CDCE">
                    <wp:simplePos x="0" y="0"/>
                    <wp:positionH relativeFrom="column">
                      <wp:posOffset>-833559</wp:posOffset>
                    </wp:positionH>
                    <wp:positionV relativeFrom="paragraph">
                      <wp:posOffset>-289755</wp:posOffset>
                    </wp:positionV>
                    <wp:extent cx="1890346" cy="975702"/>
                    <wp:effectExtent l="0" t="0" r="2540" b="2540"/>
                    <wp:wrapNone/>
                    <wp:docPr id="1" name="Text Box 1"/>
                    <wp:cNvGraphicFramePr/>
                    <a:graphic xmlns:a="http://schemas.openxmlformats.org/drawingml/2006/main">
                      <a:graphicData uri="http://schemas.microsoft.com/office/word/2010/wordprocessingShape">
                        <wps:wsp>
                          <wps:cNvSpPr txBox="1"/>
                          <wps:spPr>
                            <a:xfrm>
                              <a:off x="0" y="0"/>
                              <a:ext cx="1890346" cy="975702"/>
                            </a:xfrm>
                            <a:prstGeom prst="rect">
                              <a:avLst/>
                            </a:prstGeom>
                            <a:solidFill>
                              <a:schemeClr val="lt1"/>
                            </a:solidFill>
                            <a:ln w="6350">
                              <a:noFill/>
                            </a:ln>
                          </wps:spPr>
                          <wps:txbx>
                            <w:txbxContent>
                              <w:p w14:paraId="574D04F9" w14:textId="042B67E7" w:rsidR="006C26D0" w:rsidRDefault="006C26D0">
                                <w:r w:rsidRPr="006C26D0">
                                  <w:rPr>
                                    <w:noProof/>
                                  </w:rPr>
                                  <w:drawing>
                                    <wp:inline distT="0" distB="0" distL="0" distR="0" wp14:anchorId="103DCB28" wp14:editId="3869434D">
                                      <wp:extent cx="1732085" cy="508635"/>
                                      <wp:effectExtent l="0" t="0" r="0" b="0"/>
                                      <wp:docPr id="1025" name="Picture 1" descr="page1image1849360">
                                        <a:extLst xmlns:a="http://schemas.openxmlformats.org/drawingml/2006/main">
                                          <a:ext uri="{FF2B5EF4-FFF2-40B4-BE49-F238E27FC236}">
                                            <a16:creationId xmlns:a16="http://schemas.microsoft.com/office/drawing/2014/main" id="{A2EEA6F3-FD00-B041-958A-D3CBC2C9C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page1image1849360">
                                                <a:extLst>
                                                  <a:ext uri="{FF2B5EF4-FFF2-40B4-BE49-F238E27FC236}">
                                                    <a16:creationId xmlns:a16="http://schemas.microsoft.com/office/drawing/2014/main" id="{A2EEA6F3-FD00-B041-958A-D3CBC2C9C870}"/>
                                                  </a:ext>
                                                </a:extLst>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42884" cy="511806"/>
                                              </a:xfrm>
                                              <a:prstGeom prst="rect">
                                                <a:avLst/>
                                              </a:prstGeom>
                                              <a:solidFill>
                                                <a:schemeClr val="accent1">
                                                  <a:alpha val="79801"/>
                                                </a:schemeClr>
                                              </a:solid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4C9423" id="_x0000_t202" coordsize="21600,21600" o:spt="202" path="m,l,21600r21600,l21600,xe">
                    <v:stroke joinstyle="miter"/>
                    <v:path gradientshapeok="t" o:connecttype="rect"/>
                  </v:shapetype>
                  <v:shape id="Text Box 1" o:spid="_x0000_s1026" type="#_x0000_t202" style="position:absolute;margin-left:-65.65pt;margin-top:-22.8pt;width:148.85pt;height:7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" fillcolor="white [3201]" stroked="f" strokeweight=".5pt">
                    <v:textbox>
                      <w:txbxContent>
                        <w:p w14:paraId="574D04F9" w14:textId="042B67E7" w:rsidR="006C26D0" w:rsidRDefault="006C26D0">
                          <w:r w:rsidRPr="006C26D0">
                            <w:rPr>
                              <w:noProof/>
                            </w:rPr>
                            <w:drawing>
                              <wp:inline distT="0" distB="0" distL="0" distR="0" wp14:anchorId="103DCB28" wp14:editId="3869434D">
                                <wp:extent cx="1732085" cy="508635"/>
                                <wp:effectExtent l="0" t="0" r="0" b="0"/>
                                <wp:docPr id="1025" name="Picture 1" descr="page1image1849360">
                                  <a:extLst xmlns:a="http://schemas.openxmlformats.org/drawingml/2006/main">
                                    <a:ext uri="{FF2B5EF4-FFF2-40B4-BE49-F238E27FC236}">
                                      <a16:creationId xmlns:a16="http://schemas.microsoft.com/office/drawing/2014/main" id="{A2EEA6F3-FD00-B041-958A-D3CBC2C9C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page1image1849360">
                                          <a:extLst>
                                            <a:ext uri="{FF2B5EF4-FFF2-40B4-BE49-F238E27FC236}">
                                              <a16:creationId xmlns:a16="http://schemas.microsoft.com/office/drawing/2014/main" id="{A2EEA6F3-FD00-B041-958A-D3CBC2C9C870}"/>
                                            </a:ext>
                                          </a:extLst>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42884" cy="511806"/>
                                        </a:xfrm>
                                        <a:prstGeom prst="rect">
                                          <a:avLst/>
                                        </a:prstGeom>
                                        <a:solidFill>
                                          <a:schemeClr val="accent1">
                                            <a:alpha val="79801"/>
                                          </a:schemeClr>
                                        </a:solidFill>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D9FBC0B" wp14:editId="13FDB67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494A0A1" w14:textId="5D272446" w:rsidR="006C26D0" w:rsidRDefault="006C26D0">
                                    <w:pPr>
                                      <w:pStyle w:val="NoSpacing"/>
                                      <w:spacing w:after="480"/>
                                      <w:rPr>
                                        <w:i/>
                                        <w:color w:val="262626" w:themeColor="text1" w:themeTint="D9"/>
                                        <w:sz w:val="32"/>
                                        <w:szCs w:val="32"/>
                                      </w:rPr>
                                    </w:pPr>
                                    <w:r>
                                      <w:rPr>
                                        <w:i/>
                                        <w:color w:val="262626" w:themeColor="text1" w:themeTint="D9"/>
                                        <w:sz w:val="32"/>
                                        <w:szCs w:val="32"/>
                                      </w:rPr>
                                      <w:t xml:space="preserve">Student: Ana Maria Elena </w:t>
                                    </w:r>
                                    <w:proofErr w:type="spellStart"/>
                                    <w:r>
                                      <w:rPr>
                                        <w:i/>
                                        <w:color w:val="262626" w:themeColor="text1" w:themeTint="D9"/>
                                        <w:sz w:val="32"/>
                                        <w:szCs w:val="32"/>
                                      </w:rPr>
                                      <w:t>Stanciu</w:t>
                                    </w:r>
                                    <w:proofErr w:type="spellEnd"/>
                                    <w:r>
                                      <w:rPr>
                                        <w:i/>
                                        <w:color w:val="262626" w:themeColor="text1" w:themeTint="D9"/>
                                        <w:sz w:val="32"/>
                                        <w:szCs w:val="32"/>
                                      </w:rPr>
                                      <w:t xml:space="preserve"> (1909953)</w:t>
                                    </w:r>
                                  </w:p>
                                </w:sdtContent>
                              </w:sdt>
                              <w:p w14:paraId="04E32A97" w14:textId="43E7BC47" w:rsidR="006C26D0" w:rsidRDefault="00F1441A">
                                <w:pPr>
                                  <w:pStyle w:val="NoSpacing"/>
                                  <w:rPr>
                                    <w:i/>
                                    <w:color w:val="262626" w:themeColor="text1" w:themeTint="D9"/>
                                    <w:sz w:val="26"/>
                                    <w:szCs w:val="26"/>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6C26D0" w:rsidRPr="006C26D0">
                                      <w:rPr>
                                        <w:i/>
                                        <w:color w:val="262626" w:themeColor="text1" w:themeTint="D9"/>
                                        <w:sz w:val="32"/>
                                        <w:szCs w:val="32"/>
                                      </w:rPr>
                                      <w:t xml:space="preserve">Lecturer: Edward </w:t>
                                    </w:r>
                                    <w:proofErr w:type="spellStart"/>
                                    <w:r w:rsidR="006C26D0" w:rsidRPr="006C26D0">
                                      <w:rPr>
                                        <w:i/>
                                        <w:color w:val="262626" w:themeColor="text1" w:themeTint="D9"/>
                                        <w:sz w:val="32"/>
                                        <w:szCs w:val="32"/>
                                      </w:rPr>
                                      <w:t>Goka</w:t>
                                    </w:r>
                                    <w:proofErr w:type="spellEnd"/>
                                  </w:sdtContent>
                                </w:sdt>
                                <w:r w:rsidR="006C26D0">
                                  <w:rPr>
                                    <w:i/>
                                    <w:color w:val="262626" w:themeColor="text1" w:themeTint="D9"/>
                                    <w:sz w:val="26"/>
                                    <w:szCs w:val="26"/>
                                  </w:rPr>
                                  <w:t xml:space="preserve"> </w:t>
                                </w:r>
                              </w:p>
                              <w:p w14:paraId="2C2ECCA1" w14:textId="57D6E37C" w:rsidR="006C26D0" w:rsidRPr="006C26D0" w:rsidRDefault="006C26D0">
                                <w:pPr>
                                  <w:pStyle w:val="NoSpacing"/>
                                  <w:rPr>
                                    <w:i/>
                                    <w:color w:val="262626" w:themeColor="text1" w:themeTint="D9"/>
                                    <w:sz w:val="32"/>
                                    <w:szCs w:val="32"/>
                                  </w:rPr>
                                </w:pPr>
                                <w:r w:rsidRPr="006C26D0">
                                  <w:rPr>
                                    <w:i/>
                                    <w:color w:val="262626" w:themeColor="text1" w:themeTint="D9"/>
                                    <w:sz w:val="32"/>
                                    <w:szCs w:val="32"/>
                                  </w:rPr>
                                  <w:t>Date: 10 December 2021</w:t>
                                </w:r>
                              </w:p>
                              <w:p w14:paraId="28DFC82D" w14:textId="77777777" w:rsidR="006C26D0" w:rsidRDefault="006C26D0">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1D9FBC0B" id="Text Box 36" o:spid="_x0000_s1027"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494A0A1" w14:textId="5D272446" w:rsidR="006C26D0" w:rsidRDefault="006C26D0">
                              <w:pPr>
                                <w:pStyle w:val="NoSpacing"/>
                                <w:spacing w:after="480"/>
                                <w:rPr>
                                  <w:i/>
                                  <w:color w:val="262626" w:themeColor="text1" w:themeTint="D9"/>
                                  <w:sz w:val="32"/>
                                  <w:szCs w:val="32"/>
                                </w:rPr>
                              </w:pPr>
                              <w:r>
                                <w:rPr>
                                  <w:i/>
                                  <w:color w:val="262626" w:themeColor="text1" w:themeTint="D9"/>
                                  <w:sz w:val="32"/>
                                  <w:szCs w:val="32"/>
                                </w:rPr>
                                <w:t xml:space="preserve">Student: Ana Maria Elena </w:t>
                              </w:r>
                              <w:proofErr w:type="spellStart"/>
                              <w:r>
                                <w:rPr>
                                  <w:i/>
                                  <w:color w:val="262626" w:themeColor="text1" w:themeTint="D9"/>
                                  <w:sz w:val="32"/>
                                  <w:szCs w:val="32"/>
                                </w:rPr>
                                <w:t>Stanciu</w:t>
                              </w:r>
                              <w:proofErr w:type="spellEnd"/>
                              <w:r>
                                <w:rPr>
                                  <w:i/>
                                  <w:color w:val="262626" w:themeColor="text1" w:themeTint="D9"/>
                                  <w:sz w:val="32"/>
                                  <w:szCs w:val="32"/>
                                </w:rPr>
                                <w:t xml:space="preserve"> (1909953)</w:t>
                              </w:r>
                            </w:p>
                          </w:sdtContent>
                        </w:sdt>
                        <w:p w14:paraId="04E32A97" w14:textId="43E7BC47" w:rsidR="006C26D0" w:rsidRDefault="00F1441A">
                          <w:pPr>
                            <w:pStyle w:val="NoSpacing"/>
                            <w:rPr>
                              <w:i/>
                              <w:color w:val="262626" w:themeColor="text1" w:themeTint="D9"/>
                              <w:sz w:val="26"/>
                              <w:szCs w:val="26"/>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6C26D0" w:rsidRPr="006C26D0">
                                <w:rPr>
                                  <w:i/>
                                  <w:color w:val="262626" w:themeColor="text1" w:themeTint="D9"/>
                                  <w:sz w:val="32"/>
                                  <w:szCs w:val="32"/>
                                </w:rPr>
                                <w:t xml:space="preserve">Lecturer: Edward </w:t>
                              </w:r>
                              <w:proofErr w:type="spellStart"/>
                              <w:r w:rsidR="006C26D0" w:rsidRPr="006C26D0">
                                <w:rPr>
                                  <w:i/>
                                  <w:color w:val="262626" w:themeColor="text1" w:themeTint="D9"/>
                                  <w:sz w:val="32"/>
                                  <w:szCs w:val="32"/>
                                </w:rPr>
                                <w:t>Goka</w:t>
                              </w:r>
                              <w:proofErr w:type="spellEnd"/>
                            </w:sdtContent>
                          </w:sdt>
                          <w:r w:rsidR="006C26D0">
                            <w:rPr>
                              <w:i/>
                              <w:color w:val="262626" w:themeColor="text1" w:themeTint="D9"/>
                              <w:sz w:val="26"/>
                              <w:szCs w:val="26"/>
                            </w:rPr>
                            <w:t xml:space="preserve"> </w:t>
                          </w:r>
                        </w:p>
                        <w:p w14:paraId="2C2ECCA1" w14:textId="57D6E37C" w:rsidR="006C26D0" w:rsidRPr="006C26D0" w:rsidRDefault="006C26D0">
                          <w:pPr>
                            <w:pStyle w:val="NoSpacing"/>
                            <w:rPr>
                              <w:i/>
                              <w:color w:val="262626" w:themeColor="text1" w:themeTint="D9"/>
                              <w:sz w:val="32"/>
                              <w:szCs w:val="32"/>
                            </w:rPr>
                          </w:pPr>
                          <w:r w:rsidRPr="006C26D0">
                            <w:rPr>
                              <w:i/>
                              <w:color w:val="262626" w:themeColor="text1" w:themeTint="D9"/>
                              <w:sz w:val="32"/>
                              <w:szCs w:val="32"/>
                            </w:rPr>
                            <w:t>Date: 10 December 2021</w:t>
                          </w:r>
                        </w:p>
                        <w:p w14:paraId="28DFC82D" w14:textId="77777777" w:rsidR="006C26D0" w:rsidRDefault="006C26D0">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74E6747" wp14:editId="65DCB30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2B70BA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5ECE1CFD" wp14:editId="243B0E3F">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b/>
                                    <w:bCs/>
                                    <w:i/>
                                    <w:caps/>
                                    <w:color w:val="262626" w:themeColor="text1" w:themeTint="D9"/>
                                    <w:sz w:val="56"/>
                                    <w:szCs w:val="56"/>
                                    <w:lang w:val="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8EFFF1B" w14:textId="440D1F66" w:rsidR="006C26D0" w:rsidRPr="006C26D0" w:rsidRDefault="006C26D0">
                                    <w:pPr>
                                      <w:pStyle w:val="NoSpacing"/>
                                      <w:spacing w:after="900"/>
                                      <w:rPr>
                                        <w:rFonts w:asciiTheme="majorHAnsi" w:hAnsiTheme="majorHAnsi"/>
                                        <w:i/>
                                        <w:caps/>
                                        <w:color w:val="262626" w:themeColor="text1" w:themeTint="D9"/>
                                        <w:sz w:val="56"/>
                                        <w:szCs w:val="56"/>
                                      </w:rPr>
                                    </w:pPr>
                                    <w:r w:rsidRPr="006C26D0">
                                      <w:rPr>
                                        <w:rFonts w:asciiTheme="majorHAnsi" w:hAnsiTheme="majorHAnsi"/>
                                        <w:b/>
                                        <w:bCs/>
                                        <w:i/>
                                        <w:caps/>
                                        <w:color w:val="262626" w:themeColor="text1" w:themeTint="D9"/>
                                        <w:sz w:val="56"/>
                                        <w:szCs w:val="56"/>
                                        <w:lang w:val="en-GB"/>
                                      </w:rPr>
                                      <w:t>Principles of Health and Social Care Practice BMHP6009-Living with care: The older person</w:t>
                                    </w:r>
                                  </w:p>
                                </w:sdtContent>
                              </w:sdt>
                              <w:sdt>
                                <w:sdtPr>
                                  <w:rPr>
                                    <w:b/>
                                    <w:bCs/>
                                    <w:color w:val="262626" w:themeColor="text1" w:themeTint="D9"/>
                                    <w:sz w:val="36"/>
                                    <w:szCs w:val="36"/>
                                    <w:lang w:val="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A1A5B3E" w14:textId="4DBAB293" w:rsidR="006C26D0" w:rsidRDefault="006C26D0">
                                    <w:pPr>
                                      <w:pStyle w:val="NoSpacing"/>
                                      <w:rPr>
                                        <w:i/>
                                        <w:color w:val="262626" w:themeColor="text1" w:themeTint="D9"/>
                                        <w:sz w:val="36"/>
                                        <w:szCs w:val="36"/>
                                      </w:rPr>
                                    </w:pPr>
                                    <w:r w:rsidRPr="006C26D0">
                                      <w:rPr>
                                        <w:b/>
                                        <w:bCs/>
                                        <w:color w:val="262626" w:themeColor="text1" w:themeTint="D9"/>
                                        <w:sz w:val="36"/>
                                        <w:szCs w:val="36"/>
                                        <w:lang w:val="en-GB"/>
                                      </w:rPr>
                                      <w:t>Do aging societies poses challenges for Health and Social Care systems?</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ECE1CFD" id="Text Box 38" o:spid="_x0000_s1028"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" filled="f" stroked="f" strokeweight=".5pt">
                    <v:textbox style="mso-fit-shape-to-text:t" inset="93.6pt,,0">
                      <w:txbxContent>
                        <w:sdt>
                          <w:sdtPr>
                            <w:rPr>
                              <w:rFonts w:asciiTheme="majorHAnsi" w:hAnsiTheme="majorHAnsi"/>
                              <w:b/>
                              <w:bCs/>
                              <w:i/>
                              <w:caps/>
                              <w:color w:val="262626" w:themeColor="text1" w:themeTint="D9"/>
                              <w:sz w:val="56"/>
                              <w:szCs w:val="56"/>
                              <w:lang w:val="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8EFFF1B" w14:textId="440D1F66" w:rsidR="006C26D0" w:rsidRPr="006C26D0" w:rsidRDefault="006C26D0">
                              <w:pPr>
                                <w:pStyle w:val="NoSpacing"/>
                                <w:spacing w:after="900"/>
                                <w:rPr>
                                  <w:rFonts w:asciiTheme="majorHAnsi" w:hAnsiTheme="majorHAnsi"/>
                                  <w:i/>
                                  <w:caps/>
                                  <w:color w:val="262626" w:themeColor="text1" w:themeTint="D9"/>
                                  <w:sz w:val="56"/>
                                  <w:szCs w:val="56"/>
                                </w:rPr>
                              </w:pPr>
                              <w:r w:rsidRPr="006C26D0">
                                <w:rPr>
                                  <w:rFonts w:asciiTheme="majorHAnsi" w:hAnsiTheme="majorHAnsi"/>
                                  <w:b/>
                                  <w:bCs/>
                                  <w:i/>
                                  <w:caps/>
                                  <w:color w:val="262626" w:themeColor="text1" w:themeTint="D9"/>
                                  <w:sz w:val="56"/>
                                  <w:szCs w:val="56"/>
                                  <w:lang w:val="en-GB"/>
                                </w:rPr>
                                <w:t>Principles of Health and Social Care Practice BMHP6009-Living with care: The older person</w:t>
                              </w:r>
                            </w:p>
                          </w:sdtContent>
                        </w:sdt>
                        <w:sdt>
                          <w:sdtPr>
                            <w:rPr>
                              <w:b/>
                              <w:bCs/>
                              <w:color w:val="262626" w:themeColor="text1" w:themeTint="D9"/>
                              <w:sz w:val="36"/>
                              <w:szCs w:val="36"/>
                              <w:lang w:val="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A1A5B3E" w14:textId="4DBAB293" w:rsidR="006C26D0" w:rsidRDefault="006C26D0">
                              <w:pPr>
                                <w:pStyle w:val="NoSpacing"/>
                                <w:rPr>
                                  <w:i/>
                                  <w:color w:val="262626" w:themeColor="text1" w:themeTint="D9"/>
                                  <w:sz w:val="36"/>
                                  <w:szCs w:val="36"/>
                                </w:rPr>
                              </w:pPr>
                              <w:r w:rsidRPr="006C26D0">
                                <w:rPr>
                                  <w:b/>
                                  <w:bCs/>
                                  <w:color w:val="262626" w:themeColor="text1" w:themeTint="D9"/>
                                  <w:sz w:val="36"/>
                                  <w:szCs w:val="36"/>
                                  <w:lang w:val="en-GB"/>
                                </w:rPr>
                                <w:t>Do aging societies poses challenges for Health and Social Care systems?</w:t>
                              </w:r>
                            </w:p>
                          </w:sdtContent>
                        </w:sdt>
                      </w:txbxContent>
                    </v:textbox>
                    <w10:wrap anchorx="page" anchory="page"/>
                  </v:shape>
                </w:pict>
              </mc:Fallback>
            </mc:AlternateContent>
          </w:r>
        </w:p>
        <w:p w14:paraId="25A79CAD" w14:textId="089E55CA" w:rsidR="006C26D0" w:rsidRDefault="006C26D0">
          <w:r>
            <w:br w:type="page"/>
          </w:r>
        </w:p>
      </w:sdtContent>
    </w:sdt>
    <w:sdt>
      <w:sdtPr>
        <w:id w:val="-155869994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960BC12" w14:textId="7DC389D9" w:rsidR="00F1441A" w:rsidRDefault="00F1441A">
          <w:pPr>
            <w:pStyle w:val="TOCHeading"/>
          </w:pPr>
          <w:r>
            <w:t>Table of Contents</w:t>
          </w:r>
        </w:p>
        <w:p w14:paraId="0AE78225" w14:textId="742E66D2" w:rsidR="00F1441A" w:rsidRDefault="00F1441A">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89962734" w:history="1">
            <w:r w:rsidRPr="00CF757D">
              <w:rPr>
                <w:rStyle w:val="Hyperlink"/>
                <w:rFonts w:eastAsiaTheme="minorEastAsia"/>
                <w:noProof/>
              </w:rPr>
              <w:t>Introduc</w:t>
            </w:r>
            <w:r w:rsidRPr="00CF757D">
              <w:rPr>
                <w:rStyle w:val="Hyperlink"/>
                <w:rFonts w:eastAsiaTheme="minorEastAsia"/>
                <w:noProof/>
              </w:rPr>
              <w:t>t</w:t>
            </w:r>
            <w:r w:rsidRPr="00CF757D">
              <w:rPr>
                <w:rStyle w:val="Hyperlink"/>
                <w:rFonts w:eastAsiaTheme="minorEastAsia"/>
                <w:noProof/>
              </w:rPr>
              <w:t>ion</w:t>
            </w:r>
            <w:r>
              <w:rPr>
                <w:noProof/>
                <w:webHidden/>
              </w:rPr>
              <w:tab/>
            </w:r>
            <w:r>
              <w:rPr>
                <w:noProof/>
                <w:webHidden/>
              </w:rPr>
              <w:fldChar w:fldCharType="begin"/>
            </w:r>
            <w:r>
              <w:rPr>
                <w:noProof/>
                <w:webHidden/>
              </w:rPr>
              <w:instrText xml:space="preserve"> PAGEREF _Toc89962734 \h </w:instrText>
            </w:r>
            <w:r>
              <w:rPr>
                <w:noProof/>
                <w:webHidden/>
              </w:rPr>
            </w:r>
            <w:r>
              <w:rPr>
                <w:noProof/>
                <w:webHidden/>
              </w:rPr>
              <w:fldChar w:fldCharType="separate"/>
            </w:r>
            <w:r>
              <w:rPr>
                <w:noProof/>
                <w:webHidden/>
              </w:rPr>
              <w:t>2</w:t>
            </w:r>
            <w:r>
              <w:rPr>
                <w:noProof/>
                <w:webHidden/>
              </w:rPr>
              <w:fldChar w:fldCharType="end"/>
            </w:r>
          </w:hyperlink>
        </w:p>
        <w:p w14:paraId="6E787FF5" w14:textId="2E2E3921" w:rsidR="00F1441A" w:rsidRDefault="00F1441A">
          <w:pPr>
            <w:pStyle w:val="TOC1"/>
            <w:tabs>
              <w:tab w:val="right" w:leader="dot" w:pos="9010"/>
            </w:tabs>
            <w:rPr>
              <w:rFonts w:eastAsiaTheme="minorEastAsia" w:cstheme="minorBidi"/>
              <w:b w:val="0"/>
              <w:bCs w:val="0"/>
              <w:i w:val="0"/>
              <w:iCs w:val="0"/>
              <w:noProof/>
            </w:rPr>
          </w:pPr>
          <w:hyperlink w:anchor="_Toc89962735" w:history="1">
            <w:r w:rsidRPr="00CF757D">
              <w:rPr>
                <w:rStyle w:val="Hyperlink"/>
                <w:rFonts w:eastAsiaTheme="minorEastAsia"/>
                <w:noProof/>
              </w:rPr>
              <w:t>Discussion</w:t>
            </w:r>
            <w:r>
              <w:rPr>
                <w:noProof/>
                <w:webHidden/>
              </w:rPr>
              <w:tab/>
            </w:r>
            <w:r>
              <w:rPr>
                <w:noProof/>
                <w:webHidden/>
              </w:rPr>
              <w:fldChar w:fldCharType="begin"/>
            </w:r>
            <w:r>
              <w:rPr>
                <w:noProof/>
                <w:webHidden/>
              </w:rPr>
              <w:instrText xml:space="preserve"> PAGEREF _Toc89962735 \h </w:instrText>
            </w:r>
            <w:r>
              <w:rPr>
                <w:noProof/>
                <w:webHidden/>
              </w:rPr>
            </w:r>
            <w:r>
              <w:rPr>
                <w:noProof/>
                <w:webHidden/>
              </w:rPr>
              <w:fldChar w:fldCharType="separate"/>
            </w:r>
            <w:r>
              <w:rPr>
                <w:noProof/>
                <w:webHidden/>
              </w:rPr>
              <w:t>4</w:t>
            </w:r>
            <w:r>
              <w:rPr>
                <w:noProof/>
                <w:webHidden/>
              </w:rPr>
              <w:fldChar w:fldCharType="end"/>
            </w:r>
          </w:hyperlink>
        </w:p>
        <w:p w14:paraId="1FD1D4E3" w14:textId="33957D4A" w:rsidR="00F1441A" w:rsidRDefault="00F1441A">
          <w:pPr>
            <w:pStyle w:val="TOC1"/>
            <w:tabs>
              <w:tab w:val="right" w:leader="dot" w:pos="9010"/>
            </w:tabs>
            <w:rPr>
              <w:rFonts w:eastAsiaTheme="minorEastAsia" w:cstheme="minorBidi"/>
              <w:b w:val="0"/>
              <w:bCs w:val="0"/>
              <w:i w:val="0"/>
              <w:iCs w:val="0"/>
              <w:noProof/>
            </w:rPr>
          </w:pPr>
          <w:hyperlink w:anchor="_Toc89962736" w:history="1">
            <w:r w:rsidRPr="00CF757D">
              <w:rPr>
                <w:rStyle w:val="Hyperlink"/>
                <w:rFonts w:eastAsiaTheme="minorEastAsia"/>
                <w:noProof/>
              </w:rPr>
              <w:t>Current Government support for elderly population</w:t>
            </w:r>
            <w:r>
              <w:rPr>
                <w:noProof/>
                <w:webHidden/>
              </w:rPr>
              <w:tab/>
            </w:r>
            <w:r>
              <w:rPr>
                <w:noProof/>
                <w:webHidden/>
              </w:rPr>
              <w:fldChar w:fldCharType="begin"/>
            </w:r>
            <w:r>
              <w:rPr>
                <w:noProof/>
                <w:webHidden/>
              </w:rPr>
              <w:instrText xml:space="preserve"> PAGEREF _Toc89962736 \h </w:instrText>
            </w:r>
            <w:r>
              <w:rPr>
                <w:noProof/>
                <w:webHidden/>
              </w:rPr>
            </w:r>
            <w:r>
              <w:rPr>
                <w:noProof/>
                <w:webHidden/>
              </w:rPr>
              <w:fldChar w:fldCharType="separate"/>
            </w:r>
            <w:r>
              <w:rPr>
                <w:noProof/>
                <w:webHidden/>
              </w:rPr>
              <w:t>5</w:t>
            </w:r>
            <w:r>
              <w:rPr>
                <w:noProof/>
                <w:webHidden/>
              </w:rPr>
              <w:fldChar w:fldCharType="end"/>
            </w:r>
          </w:hyperlink>
        </w:p>
        <w:p w14:paraId="4FE0DE1B" w14:textId="4E4E6B2A" w:rsidR="00F1441A" w:rsidRDefault="00F1441A">
          <w:pPr>
            <w:pStyle w:val="TOC1"/>
            <w:tabs>
              <w:tab w:val="right" w:leader="dot" w:pos="9010"/>
            </w:tabs>
            <w:rPr>
              <w:rFonts w:eastAsiaTheme="minorEastAsia" w:cstheme="minorBidi"/>
              <w:b w:val="0"/>
              <w:bCs w:val="0"/>
              <w:i w:val="0"/>
              <w:iCs w:val="0"/>
              <w:noProof/>
            </w:rPr>
          </w:pPr>
          <w:hyperlink w:anchor="_Toc89962737" w:history="1">
            <w:r w:rsidRPr="00CF757D">
              <w:rPr>
                <w:rStyle w:val="Hyperlink"/>
                <w:rFonts w:eastAsiaTheme="minorHAnsi"/>
                <w:noProof/>
                <w:lang w:eastAsia="en-US"/>
              </w:rPr>
              <w:t>Covid-19 Pandemic impact on elderly</w:t>
            </w:r>
            <w:r>
              <w:rPr>
                <w:noProof/>
                <w:webHidden/>
              </w:rPr>
              <w:tab/>
            </w:r>
            <w:r>
              <w:rPr>
                <w:noProof/>
                <w:webHidden/>
              </w:rPr>
              <w:fldChar w:fldCharType="begin"/>
            </w:r>
            <w:r>
              <w:rPr>
                <w:noProof/>
                <w:webHidden/>
              </w:rPr>
              <w:instrText xml:space="preserve"> PAGEREF _Toc89962737 \h </w:instrText>
            </w:r>
            <w:r>
              <w:rPr>
                <w:noProof/>
                <w:webHidden/>
              </w:rPr>
            </w:r>
            <w:r>
              <w:rPr>
                <w:noProof/>
                <w:webHidden/>
              </w:rPr>
              <w:fldChar w:fldCharType="separate"/>
            </w:r>
            <w:r>
              <w:rPr>
                <w:noProof/>
                <w:webHidden/>
              </w:rPr>
              <w:t>5</w:t>
            </w:r>
            <w:r>
              <w:rPr>
                <w:noProof/>
                <w:webHidden/>
              </w:rPr>
              <w:fldChar w:fldCharType="end"/>
            </w:r>
          </w:hyperlink>
        </w:p>
        <w:p w14:paraId="00B5A341" w14:textId="639579C7" w:rsidR="00F1441A" w:rsidRDefault="00F1441A">
          <w:pPr>
            <w:pStyle w:val="TOC1"/>
            <w:tabs>
              <w:tab w:val="right" w:leader="dot" w:pos="9010"/>
            </w:tabs>
            <w:rPr>
              <w:rFonts w:eastAsiaTheme="minorEastAsia" w:cstheme="minorBidi"/>
              <w:b w:val="0"/>
              <w:bCs w:val="0"/>
              <w:i w:val="0"/>
              <w:iCs w:val="0"/>
              <w:noProof/>
            </w:rPr>
          </w:pPr>
          <w:hyperlink w:anchor="_Toc89962738" w:history="1">
            <w:r w:rsidRPr="00CF757D">
              <w:rPr>
                <w:rStyle w:val="Hyperlink"/>
                <w:rFonts w:eastAsiaTheme="minorHAnsi"/>
                <w:noProof/>
                <w:lang w:eastAsia="en-US"/>
              </w:rPr>
              <w:t>Conclusion</w:t>
            </w:r>
            <w:r>
              <w:rPr>
                <w:noProof/>
                <w:webHidden/>
              </w:rPr>
              <w:tab/>
            </w:r>
            <w:r>
              <w:rPr>
                <w:noProof/>
                <w:webHidden/>
              </w:rPr>
              <w:fldChar w:fldCharType="begin"/>
            </w:r>
            <w:r>
              <w:rPr>
                <w:noProof/>
                <w:webHidden/>
              </w:rPr>
              <w:instrText xml:space="preserve"> PAGEREF _Toc89962738 \h </w:instrText>
            </w:r>
            <w:r>
              <w:rPr>
                <w:noProof/>
                <w:webHidden/>
              </w:rPr>
            </w:r>
            <w:r>
              <w:rPr>
                <w:noProof/>
                <w:webHidden/>
              </w:rPr>
              <w:fldChar w:fldCharType="separate"/>
            </w:r>
            <w:r>
              <w:rPr>
                <w:noProof/>
                <w:webHidden/>
              </w:rPr>
              <w:t>6</w:t>
            </w:r>
            <w:r>
              <w:rPr>
                <w:noProof/>
                <w:webHidden/>
              </w:rPr>
              <w:fldChar w:fldCharType="end"/>
            </w:r>
          </w:hyperlink>
        </w:p>
        <w:p w14:paraId="5344A83D" w14:textId="055EAEFF" w:rsidR="00F1441A" w:rsidRDefault="00F1441A">
          <w:pPr>
            <w:pStyle w:val="TOC1"/>
            <w:tabs>
              <w:tab w:val="right" w:leader="dot" w:pos="9010"/>
            </w:tabs>
            <w:rPr>
              <w:rFonts w:eastAsiaTheme="minorEastAsia" w:cstheme="minorBidi"/>
              <w:b w:val="0"/>
              <w:bCs w:val="0"/>
              <w:i w:val="0"/>
              <w:iCs w:val="0"/>
              <w:noProof/>
            </w:rPr>
          </w:pPr>
          <w:hyperlink w:anchor="_Toc89962739" w:history="1">
            <w:r w:rsidRPr="00CF757D">
              <w:rPr>
                <w:rStyle w:val="Hyperlink"/>
                <w:rFonts w:eastAsiaTheme="minorEastAsia"/>
                <w:noProof/>
              </w:rPr>
              <w:t>Reference list</w:t>
            </w:r>
            <w:r>
              <w:rPr>
                <w:noProof/>
                <w:webHidden/>
              </w:rPr>
              <w:tab/>
            </w:r>
            <w:r>
              <w:rPr>
                <w:noProof/>
                <w:webHidden/>
              </w:rPr>
              <w:fldChar w:fldCharType="begin"/>
            </w:r>
            <w:r>
              <w:rPr>
                <w:noProof/>
                <w:webHidden/>
              </w:rPr>
              <w:instrText xml:space="preserve"> PAGEREF _Toc89962739 \h </w:instrText>
            </w:r>
            <w:r>
              <w:rPr>
                <w:noProof/>
                <w:webHidden/>
              </w:rPr>
            </w:r>
            <w:r>
              <w:rPr>
                <w:noProof/>
                <w:webHidden/>
              </w:rPr>
              <w:fldChar w:fldCharType="separate"/>
            </w:r>
            <w:r>
              <w:rPr>
                <w:noProof/>
                <w:webHidden/>
              </w:rPr>
              <w:t>6</w:t>
            </w:r>
            <w:r>
              <w:rPr>
                <w:noProof/>
                <w:webHidden/>
              </w:rPr>
              <w:fldChar w:fldCharType="end"/>
            </w:r>
          </w:hyperlink>
        </w:p>
        <w:p w14:paraId="0BF70BC6" w14:textId="5FE456E4" w:rsidR="00F1441A" w:rsidRDefault="00F1441A">
          <w:pPr>
            <w:pStyle w:val="TOC1"/>
            <w:tabs>
              <w:tab w:val="right" w:leader="dot" w:pos="9010"/>
            </w:tabs>
            <w:rPr>
              <w:rFonts w:eastAsiaTheme="minorEastAsia" w:cstheme="minorBidi"/>
              <w:b w:val="0"/>
              <w:bCs w:val="0"/>
              <w:i w:val="0"/>
              <w:iCs w:val="0"/>
              <w:noProof/>
            </w:rPr>
          </w:pPr>
          <w:hyperlink w:anchor="_Toc89962740" w:history="1">
            <w:r w:rsidRPr="00CF757D">
              <w:rPr>
                <w:rStyle w:val="Hyperlink"/>
                <w:rFonts w:eastAsiaTheme="minorEastAsia"/>
                <w:noProof/>
              </w:rPr>
              <w:t>Appendix</w:t>
            </w:r>
            <w:r>
              <w:rPr>
                <w:noProof/>
                <w:webHidden/>
              </w:rPr>
              <w:tab/>
            </w:r>
            <w:r>
              <w:rPr>
                <w:noProof/>
                <w:webHidden/>
              </w:rPr>
              <w:fldChar w:fldCharType="begin"/>
            </w:r>
            <w:r>
              <w:rPr>
                <w:noProof/>
                <w:webHidden/>
              </w:rPr>
              <w:instrText xml:space="preserve"> PAGEREF _Toc89962740 \h </w:instrText>
            </w:r>
            <w:r>
              <w:rPr>
                <w:noProof/>
                <w:webHidden/>
              </w:rPr>
            </w:r>
            <w:r>
              <w:rPr>
                <w:noProof/>
                <w:webHidden/>
              </w:rPr>
              <w:fldChar w:fldCharType="separate"/>
            </w:r>
            <w:r>
              <w:rPr>
                <w:noProof/>
                <w:webHidden/>
              </w:rPr>
              <w:t>8</w:t>
            </w:r>
            <w:r>
              <w:rPr>
                <w:noProof/>
                <w:webHidden/>
              </w:rPr>
              <w:fldChar w:fldCharType="end"/>
            </w:r>
          </w:hyperlink>
        </w:p>
        <w:p w14:paraId="5F1BB8FB" w14:textId="55E643CA" w:rsidR="00F1441A" w:rsidRDefault="00F1441A">
          <w:r>
            <w:rPr>
              <w:b/>
              <w:bCs/>
              <w:noProof/>
            </w:rPr>
            <w:fldChar w:fldCharType="end"/>
          </w:r>
        </w:p>
      </w:sdtContent>
    </w:sdt>
    <w:p w14:paraId="2BD9DD9D" w14:textId="77777777" w:rsidR="00F67D1A" w:rsidRDefault="00F67D1A" w:rsidP="00F67D1A">
      <w:pPr>
        <w:pStyle w:val="Heading1"/>
      </w:pPr>
    </w:p>
    <w:p w14:paraId="0486E2F3" w14:textId="77777777" w:rsidR="00F67D1A" w:rsidRDefault="00F67D1A" w:rsidP="00F67D1A">
      <w:pPr>
        <w:pStyle w:val="Heading1"/>
      </w:pPr>
    </w:p>
    <w:p w14:paraId="786B04CD" w14:textId="77777777" w:rsidR="00F67D1A" w:rsidRDefault="00F67D1A" w:rsidP="00F67D1A">
      <w:pPr>
        <w:pStyle w:val="Heading1"/>
      </w:pPr>
    </w:p>
    <w:p w14:paraId="7E675C37" w14:textId="77777777" w:rsidR="00F67D1A" w:rsidRDefault="00F67D1A" w:rsidP="00F67D1A">
      <w:pPr>
        <w:pStyle w:val="Heading1"/>
      </w:pPr>
    </w:p>
    <w:p w14:paraId="4BA5384D" w14:textId="77777777" w:rsidR="00F67D1A" w:rsidRDefault="00F67D1A" w:rsidP="00F67D1A">
      <w:pPr>
        <w:pStyle w:val="Heading1"/>
      </w:pPr>
    </w:p>
    <w:p w14:paraId="381014A4" w14:textId="77777777" w:rsidR="00F67D1A" w:rsidRDefault="00F67D1A" w:rsidP="00F67D1A">
      <w:pPr>
        <w:pStyle w:val="Heading1"/>
      </w:pPr>
    </w:p>
    <w:p w14:paraId="551C097B" w14:textId="77777777" w:rsidR="00F67D1A" w:rsidRDefault="00F67D1A" w:rsidP="00F67D1A">
      <w:pPr>
        <w:pStyle w:val="Heading1"/>
      </w:pPr>
    </w:p>
    <w:p w14:paraId="5A4897A6" w14:textId="77777777" w:rsidR="00F67D1A" w:rsidRDefault="00F67D1A" w:rsidP="00F67D1A">
      <w:pPr>
        <w:pStyle w:val="Heading1"/>
      </w:pPr>
    </w:p>
    <w:p w14:paraId="34EADD78" w14:textId="77777777" w:rsidR="00F67D1A" w:rsidRDefault="00F67D1A" w:rsidP="00F67D1A">
      <w:pPr>
        <w:pStyle w:val="Heading1"/>
      </w:pPr>
    </w:p>
    <w:p w14:paraId="5A579E56" w14:textId="77777777" w:rsidR="00F67D1A" w:rsidRDefault="00F67D1A" w:rsidP="00F67D1A">
      <w:pPr>
        <w:pStyle w:val="Heading1"/>
      </w:pPr>
    </w:p>
    <w:p w14:paraId="46E882CA" w14:textId="77777777" w:rsidR="00F67D1A" w:rsidRDefault="00F67D1A" w:rsidP="00F67D1A">
      <w:pPr>
        <w:pStyle w:val="Heading1"/>
      </w:pPr>
    </w:p>
    <w:p w14:paraId="355A14EE" w14:textId="77777777" w:rsidR="00F67D1A" w:rsidRDefault="00F67D1A" w:rsidP="00F67D1A">
      <w:pPr>
        <w:pStyle w:val="Heading1"/>
      </w:pPr>
    </w:p>
    <w:p w14:paraId="7C196E52" w14:textId="77777777" w:rsidR="00F67D1A" w:rsidRDefault="00F67D1A" w:rsidP="00F67D1A">
      <w:pPr>
        <w:pStyle w:val="Heading1"/>
      </w:pPr>
    </w:p>
    <w:p w14:paraId="7929EA43" w14:textId="77777777" w:rsidR="00F67D1A" w:rsidRDefault="00F67D1A" w:rsidP="00F67D1A">
      <w:pPr>
        <w:pStyle w:val="Heading1"/>
      </w:pPr>
    </w:p>
    <w:p w14:paraId="0847FB01" w14:textId="77777777" w:rsidR="00F67D1A" w:rsidRDefault="00F67D1A" w:rsidP="00F67D1A">
      <w:pPr>
        <w:pStyle w:val="Heading1"/>
      </w:pPr>
    </w:p>
    <w:p w14:paraId="41C40790" w14:textId="77777777" w:rsidR="00F67D1A" w:rsidRDefault="00F67D1A" w:rsidP="00F67D1A">
      <w:pPr>
        <w:pStyle w:val="Heading1"/>
      </w:pPr>
    </w:p>
    <w:p w14:paraId="25201FD2" w14:textId="77777777" w:rsidR="00F67D1A" w:rsidRDefault="00F67D1A" w:rsidP="00F67D1A">
      <w:pPr>
        <w:pStyle w:val="Heading1"/>
      </w:pPr>
    </w:p>
    <w:p w14:paraId="4FD8A086" w14:textId="1862E60C" w:rsidR="00792C67" w:rsidRPr="00F67D1A" w:rsidRDefault="006C26D0" w:rsidP="00F67D1A">
      <w:pPr>
        <w:pStyle w:val="Heading1"/>
      </w:pPr>
      <w:bookmarkStart w:id="0" w:name="_Toc89962734"/>
      <w:r w:rsidRPr="00F67D1A">
        <w:t>Introduction</w:t>
      </w:r>
      <w:bookmarkEnd w:id="0"/>
    </w:p>
    <w:p w14:paraId="591A4827" w14:textId="0747E522" w:rsidR="00667CD2" w:rsidRPr="00F67D1A" w:rsidRDefault="00667CD2" w:rsidP="00F67D1A">
      <w:pPr>
        <w:spacing w:line="360" w:lineRule="auto"/>
        <w:rPr>
          <w:rFonts w:ascii="Arial" w:hAnsi="Arial" w:cs="Arial"/>
          <w:sz w:val="22"/>
          <w:szCs w:val="22"/>
        </w:rPr>
      </w:pPr>
    </w:p>
    <w:p w14:paraId="6C2DEBBE" w14:textId="4236E2F1" w:rsidR="00FF66C6" w:rsidRPr="00F67D1A" w:rsidRDefault="00FF66C6" w:rsidP="00F67D1A">
      <w:pPr>
        <w:spacing w:line="360" w:lineRule="auto"/>
        <w:rPr>
          <w:rFonts w:ascii="Arial" w:hAnsi="Arial" w:cs="Arial"/>
          <w:sz w:val="22"/>
          <w:szCs w:val="22"/>
        </w:rPr>
      </w:pPr>
      <w:r w:rsidRPr="00F67D1A">
        <w:rPr>
          <w:rFonts w:ascii="Arial" w:hAnsi="Arial" w:cs="Arial"/>
          <w:sz w:val="22"/>
          <w:szCs w:val="22"/>
        </w:rPr>
        <w:t>The greatest achievement of health care and science has increased the levels of life expectancy, therefore, diminishing the level of fertility (United Nations, 2020). Furthermore, United Nations (2020) suggests that in 2020 the were 727 million people 65 years old and over but most older people are comprised of women living longer, particularly at an advanced age. Yet by 2050 it is estimated that the number of older people worldwide will double, reaching over 1.5 billion as it is shown in Figure 1. (United Nations, 2020).</w:t>
      </w:r>
    </w:p>
    <w:p w14:paraId="5905506E" w14:textId="0DA53B64" w:rsidR="00667CD2" w:rsidRPr="00F67D1A" w:rsidRDefault="00667CD2" w:rsidP="00F67D1A">
      <w:pPr>
        <w:spacing w:line="360" w:lineRule="auto"/>
        <w:rPr>
          <w:rFonts w:ascii="Arial" w:hAnsi="Arial" w:cs="Arial"/>
          <w:sz w:val="22"/>
          <w:szCs w:val="22"/>
        </w:rPr>
      </w:pPr>
    </w:p>
    <w:p w14:paraId="16E41C7C" w14:textId="7511D4E0" w:rsidR="00667CD2" w:rsidRPr="00F67D1A" w:rsidRDefault="00667CD2" w:rsidP="00F67D1A">
      <w:pPr>
        <w:pStyle w:val="Subtitle"/>
        <w:rPr>
          <w:rFonts w:ascii="Arial" w:hAnsi="Arial" w:cs="Arial"/>
        </w:rPr>
      </w:pPr>
      <w:r w:rsidRPr="00F67D1A">
        <w:t xml:space="preserve">Figure </w:t>
      </w:r>
      <w:r w:rsidR="00FF66C6" w:rsidRPr="00F67D1A">
        <w:t>1</w:t>
      </w:r>
      <w:r w:rsidR="00FF66C6" w:rsidRPr="00F67D1A">
        <w:rPr>
          <w:rFonts w:ascii="Arial" w:hAnsi="Arial" w:cs="Arial"/>
        </w:rPr>
        <w:t xml:space="preserve">. </w:t>
      </w:r>
    </w:p>
    <w:p w14:paraId="778F1DD5" w14:textId="25ADDBA4" w:rsidR="00FF66C6" w:rsidRPr="00F67D1A" w:rsidRDefault="00FF66C6" w:rsidP="00F67D1A">
      <w:pPr>
        <w:spacing w:line="360" w:lineRule="auto"/>
        <w:rPr>
          <w:rFonts w:ascii="Arial" w:hAnsi="Arial" w:cs="Arial"/>
          <w:sz w:val="22"/>
          <w:szCs w:val="22"/>
        </w:rPr>
      </w:pPr>
      <w:r w:rsidRPr="00F67D1A">
        <w:rPr>
          <w:rFonts w:ascii="Arial" w:hAnsi="Arial" w:cs="Arial"/>
          <w:sz w:val="22"/>
          <w:szCs w:val="22"/>
        </w:rPr>
        <w:fldChar w:fldCharType="begin"/>
      </w:r>
      <w:r w:rsidRPr="00F67D1A">
        <w:rPr>
          <w:rFonts w:ascii="Arial" w:hAnsi="Arial" w:cs="Arial"/>
          <w:sz w:val="22"/>
          <w:szCs w:val="22"/>
        </w:rPr>
        <w:instrText xml:space="preserve"> INCLUDEPICTURE "https://img2.chinadaily.com.cn/images/201904/09/5cabe0bfa3104842e4a7acf8.png" \* MERGEFORMATINET </w:instrText>
      </w:r>
      <w:r w:rsidRPr="00F67D1A">
        <w:rPr>
          <w:rFonts w:ascii="Arial" w:hAnsi="Arial" w:cs="Arial"/>
          <w:sz w:val="22"/>
          <w:szCs w:val="22"/>
        </w:rPr>
        <w:fldChar w:fldCharType="separate"/>
      </w:r>
      <w:r w:rsidRPr="00F67D1A">
        <w:rPr>
          <w:rFonts w:ascii="Arial" w:hAnsi="Arial" w:cs="Arial"/>
          <w:noProof/>
          <w:sz w:val="22"/>
          <w:szCs w:val="22"/>
        </w:rPr>
        <w:drawing>
          <wp:inline distT="0" distB="0" distL="0" distR="0" wp14:anchorId="08CE77F1" wp14:editId="513CC889">
            <wp:extent cx="5727700" cy="2727325"/>
            <wp:effectExtent l="0" t="0" r="0" b="3175"/>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727325"/>
                    </a:xfrm>
                    <a:prstGeom prst="rect">
                      <a:avLst/>
                    </a:prstGeom>
                    <a:noFill/>
                    <a:ln>
                      <a:noFill/>
                    </a:ln>
                  </pic:spPr>
                </pic:pic>
              </a:graphicData>
            </a:graphic>
          </wp:inline>
        </w:drawing>
      </w:r>
      <w:r w:rsidRPr="00F67D1A">
        <w:rPr>
          <w:rFonts w:ascii="Arial" w:hAnsi="Arial" w:cs="Arial"/>
          <w:sz w:val="22"/>
          <w:szCs w:val="22"/>
        </w:rPr>
        <w:fldChar w:fldCharType="end"/>
      </w:r>
    </w:p>
    <w:p w14:paraId="19CFE591" w14:textId="4D53EC62" w:rsidR="00FF66C6" w:rsidRPr="00F67D1A" w:rsidRDefault="00FF66C6" w:rsidP="00F67D1A">
      <w:pPr>
        <w:spacing w:line="360" w:lineRule="auto"/>
        <w:rPr>
          <w:rFonts w:ascii="Arial" w:hAnsi="Arial" w:cs="Arial"/>
          <w:sz w:val="22"/>
          <w:szCs w:val="22"/>
        </w:rPr>
      </w:pPr>
      <w:r w:rsidRPr="00F67D1A">
        <w:rPr>
          <w:rFonts w:ascii="Arial" w:hAnsi="Arial" w:cs="Arial"/>
          <w:sz w:val="22"/>
          <w:szCs w:val="22"/>
        </w:rPr>
        <w:t xml:space="preserve">Source: </w:t>
      </w:r>
      <w:hyperlink r:id="rId11" w:history="1">
        <w:r w:rsidRPr="00F67D1A">
          <w:rPr>
            <w:rStyle w:val="Hyperlink"/>
            <w:rFonts w:ascii="Arial" w:hAnsi="Arial" w:cs="Arial"/>
            <w:sz w:val="22"/>
            <w:szCs w:val="22"/>
          </w:rPr>
          <w:t>https://global.chinadaily.com.cn/a/201904/09/WS5cabe02da3104842260b50cb.html</w:t>
        </w:r>
      </w:hyperlink>
      <w:r w:rsidRPr="00F67D1A">
        <w:rPr>
          <w:rFonts w:ascii="Arial" w:hAnsi="Arial" w:cs="Arial"/>
          <w:sz w:val="22"/>
          <w:szCs w:val="22"/>
        </w:rPr>
        <w:t xml:space="preserve">. </w:t>
      </w:r>
    </w:p>
    <w:p w14:paraId="36914331" w14:textId="2DCF9378" w:rsidR="00FF66C6" w:rsidRPr="00F67D1A" w:rsidRDefault="00FF66C6" w:rsidP="00F67D1A">
      <w:pPr>
        <w:spacing w:line="360" w:lineRule="auto"/>
        <w:rPr>
          <w:rFonts w:ascii="Arial" w:hAnsi="Arial" w:cs="Arial"/>
          <w:sz w:val="22"/>
          <w:szCs w:val="22"/>
        </w:rPr>
      </w:pPr>
    </w:p>
    <w:p w14:paraId="48208BE9" w14:textId="77777777" w:rsidR="00FF66C6" w:rsidRPr="00F67D1A" w:rsidRDefault="00FF66C6" w:rsidP="00F67D1A">
      <w:pPr>
        <w:spacing w:line="360" w:lineRule="auto"/>
        <w:rPr>
          <w:rFonts w:ascii="Arial" w:hAnsi="Arial" w:cs="Arial"/>
          <w:sz w:val="22"/>
          <w:szCs w:val="22"/>
        </w:rPr>
      </w:pPr>
    </w:p>
    <w:p w14:paraId="5B49C8A1" w14:textId="0E254E92" w:rsidR="00792C67" w:rsidRPr="00F67D1A" w:rsidRDefault="00127C44" w:rsidP="00F67D1A">
      <w:pPr>
        <w:autoSpaceDE w:val="0"/>
        <w:autoSpaceDN w:val="0"/>
        <w:adjustRightInd w:val="0"/>
        <w:spacing w:line="360" w:lineRule="auto"/>
        <w:rPr>
          <w:rFonts w:ascii="Arial" w:hAnsi="Arial" w:cs="Arial"/>
          <w:sz w:val="22"/>
          <w:szCs w:val="22"/>
        </w:rPr>
      </w:pPr>
      <w:r w:rsidRPr="00F67D1A">
        <w:rPr>
          <w:rFonts w:ascii="Arial" w:hAnsi="Arial" w:cs="Arial"/>
          <w:sz w:val="22"/>
          <w:szCs w:val="22"/>
        </w:rPr>
        <w:t>In the UK a</w:t>
      </w:r>
      <w:r w:rsidR="00792C67" w:rsidRPr="00F67D1A">
        <w:rPr>
          <w:rFonts w:ascii="Arial" w:hAnsi="Arial" w:cs="Arial"/>
          <w:sz w:val="22"/>
          <w:szCs w:val="22"/>
        </w:rPr>
        <w:t xml:space="preserve">ccording to the Office of National Statistics (2021), the population of the is 67.1 million of which 27% are aged between 40 and 59 years and 22% are 60 years old and over. </w:t>
      </w:r>
      <w:r w:rsidR="00FF66C6" w:rsidRPr="00F67D1A">
        <w:rPr>
          <w:rFonts w:ascii="Arial" w:hAnsi="Arial" w:cs="Arial"/>
          <w:sz w:val="22"/>
          <w:szCs w:val="22"/>
        </w:rPr>
        <w:t>Yet as it is shown in Figure 1. it is estimated that in 50 years the UK population will increase by 8.6 million people 65 years old, and over which is approximately the size of London and that will bring both opportunities and challenges for the economy, health services and society (Office for National Statistics, 2018).</w:t>
      </w:r>
    </w:p>
    <w:p w14:paraId="495CCF11" w14:textId="08809E0A" w:rsidR="00FF66C6" w:rsidRPr="00F67D1A" w:rsidRDefault="00FF66C6" w:rsidP="00F67D1A">
      <w:pPr>
        <w:autoSpaceDE w:val="0"/>
        <w:autoSpaceDN w:val="0"/>
        <w:adjustRightInd w:val="0"/>
        <w:spacing w:line="360" w:lineRule="auto"/>
        <w:rPr>
          <w:rFonts w:ascii="Arial" w:hAnsi="Arial" w:cs="Arial"/>
          <w:sz w:val="22"/>
          <w:szCs w:val="22"/>
        </w:rPr>
      </w:pPr>
    </w:p>
    <w:p w14:paraId="493B9776" w14:textId="20871BDB" w:rsidR="00FF66C6" w:rsidRPr="00F67D1A" w:rsidRDefault="00FF66C6" w:rsidP="00F67D1A">
      <w:pPr>
        <w:pStyle w:val="Subtitle"/>
      </w:pPr>
      <w:r w:rsidRPr="00F67D1A">
        <w:t>Figure 2</w:t>
      </w:r>
      <w:r w:rsidR="00F67D1A">
        <w:t>.</w:t>
      </w:r>
    </w:p>
    <w:p w14:paraId="10480C68" w14:textId="77777777" w:rsidR="00FF66C6" w:rsidRPr="00F67D1A" w:rsidRDefault="00FF66C6" w:rsidP="00F67D1A">
      <w:pPr>
        <w:autoSpaceDE w:val="0"/>
        <w:autoSpaceDN w:val="0"/>
        <w:adjustRightInd w:val="0"/>
        <w:spacing w:line="360" w:lineRule="auto"/>
        <w:rPr>
          <w:rFonts w:ascii="Arial" w:hAnsi="Arial" w:cs="Arial"/>
          <w:sz w:val="22"/>
          <w:szCs w:val="22"/>
        </w:rPr>
      </w:pPr>
    </w:p>
    <w:p w14:paraId="5207DA38" w14:textId="3710A675" w:rsidR="00FF66C6" w:rsidRPr="00F67D1A" w:rsidRDefault="00FF66C6" w:rsidP="00F67D1A">
      <w:pPr>
        <w:autoSpaceDE w:val="0"/>
        <w:autoSpaceDN w:val="0"/>
        <w:adjustRightInd w:val="0"/>
        <w:spacing w:line="360" w:lineRule="auto"/>
        <w:rPr>
          <w:rFonts w:ascii="Arial" w:hAnsi="Arial" w:cs="Arial"/>
          <w:sz w:val="22"/>
          <w:szCs w:val="22"/>
        </w:rPr>
      </w:pPr>
      <w:r w:rsidRPr="00F67D1A">
        <w:rPr>
          <w:rFonts w:ascii="Arial" w:hAnsi="Arial" w:cs="Arial"/>
          <w:sz w:val="22"/>
          <w:szCs w:val="22"/>
        </w:rPr>
        <w:fldChar w:fldCharType="begin"/>
      </w:r>
      <w:r w:rsidRPr="00F67D1A">
        <w:rPr>
          <w:rFonts w:ascii="Arial" w:hAnsi="Arial" w:cs="Arial"/>
          <w:sz w:val="22"/>
          <w:szCs w:val="22"/>
        </w:rPr>
        <w:instrText xml:space="preserve"> INCLUDEPICTURE "https://www.ons.gov.uk/file?uri=/peoplepopulationandcommunity/birthsdeathsandmarriages/ageing/articles/livinglongerhowourpopulationischangingandwhyitmatters/2018-08-13/dc434121.PNG" \* MERGEFORMATINET </w:instrText>
      </w:r>
      <w:r w:rsidRPr="00F67D1A">
        <w:rPr>
          <w:rFonts w:ascii="Arial" w:hAnsi="Arial" w:cs="Arial"/>
          <w:sz w:val="22"/>
          <w:szCs w:val="22"/>
        </w:rPr>
        <w:fldChar w:fldCharType="separate"/>
      </w:r>
      <w:r w:rsidRPr="00F67D1A">
        <w:rPr>
          <w:rFonts w:ascii="Arial" w:hAnsi="Arial" w:cs="Arial"/>
          <w:noProof/>
          <w:sz w:val="22"/>
          <w:szCs w:val="22"/>
        </w:rPr>
        <w:drawing>
          <wp:inline distT="0" distB="0" distL="0" distR="0" wp14:anchorId="75FB6BA3" wp14:editId="495D38C9">
            <wp:extent cx="5727700" cy="2037715"/>
            <wp:effectExtent l="0" t="0" r="0" b="0"/>
            <wp:docPr id="3" name="Picture 3" descr="Living longer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ving longer - Office for National Statistic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2037715"/>
                    </a:xfrm>
                    <a:prstGeom prst="rect">
                      <a:avLst/>
                    </a:prstGeom>
                    <a:noFill/>
                    <a:ln>
                      <a:noFill/>
                    </a:ln>
                  </pic:spPr>
                </pic:pic>
              </a:graphicData>
            </a:graphic>
          </wp:inline>
        </w:drawing>
      </w:r>
      <w:r w:rsidRPr="00F67D1A">
        <w:rPr>
          <w:rFonts w:ascii="Arial" w:hAnsi="Arial" w:cs="Arial"/>
          <w:sz w:val="22"/>
          <w:szCs w:val="22"/>
        </w:rPr>
        <w:fldChar w:fldCharType="end"/>
      </w:r>
    </w:p>
    <w:p w14:paraId="2AB63D7C" w14:textId="77777777" w:rsidR="00FF66C6" w:rsidRPr="00F67D1A" w:rsidRDefault="00FF66C6" w:rsidP="00F67D1A">
      <w:pPr>
        <w:spacing w:line="360" w:lineRule="auto"/>
        <w:rPr>
          <w:rFonts w:ascii="Arial" w:hAnsi="Arial" w:cs="Arial"/>
          <w:sz w:val="22"/>
          <w:szCs w:val="22"/>
        </w:rPr>
      </w:pPr>
      <w:r w:rsidRPr="00F67D1A">
        <w:rPr>
          <w:rFonts w:ascii="Arial" w:hAnsi="Arial" w:cs="Arial"/>
          <w:sz w:val="22"/>
          <w:szCs w:val="22"/>
        </w:rPr>
        <w:t xml:space="preserve">Source: </w:t>
      </w:r>
      <w:hyperlink r:id="rId13" w:history="1">
        <w:r w:rsidRPr="00F67D1A">
          <w:rPr>
            <w:rStyle w:val="Hyperlink"/>
            <w:rFonts w:ascii="Arial" w:hAnsi="Arial" w:cs="Arial"/>
            <w:sz w:val="22"/>
            <w:szCs w:val="22"/>
          </w:rPr>
          <w:t>https://www.ons.gov.uk/peoplepopulationandcommunity/birthsdeathsandmarriages/ageing/articles/livinglongerhowourpopulationischangingandwhyitmatters/2018-08-13</w:t>
        </w:r>
      </w:hyperlink>
      <w:r w:rsidRPr="00F67D1A">
        <w:rPr>
          <w:rFonts w:ascii="Arial" w:hAnsi="Arial" w:cs="Arial"/>
          <w:sz w:val="22"/>
          <w:szCs w:val="22"/>
        </w:rPr>
        <w:t>.</w:t>
      </w:r>
    </w:p>
    <w:p w14:paraId="14CEA495" w14:textId="23624A88" w:rsidR="00FF66C6" w:rsidRPr="00F67D1A" w:rsidRDefault="00FF66C6" w:rsidP="00F67D1A">
      <w:pPr>
        <w:autoSpaceDE w:val="0"/>
        <w:autoSpaceDN w:val="0"/>
        <w:adjustRightInd w:val="0"/>
        <w:spacing w:line="360" w:lineRule="auto"/>
        <w:rPr>
          <w:rFonts w:ascii="Arial" w:hAnsi="Arial" w:cs="Arial"/>
          <w:sz w:val="22"/>
          <w:szCs w:val="22"/>
        </w:rPr>
      </w:pPr>
    </w:p>
    <w:p w14:paraId="0CD219CD" w14:textId="0303E694" w:rsidR="00127C44" w:rsidRPr="00F67D1A" w:rsidRDefault="00127C44" w:rsidP="00F67D1A">
      <w:pPr>
        <w:autoSpaceDE w:val="0"/>
        <w:autoSpaceDN w:val="0"/>
        <w:adjustRightInd w:val="0"/>
        <w:spacing w:line="360" w:lineRule="auto"/>
        <w:rPr>
          <w:rFonts w:ascii="Arial" w:hAnsi="Arial" w:cs="Arial"/>
          <w:sz w:val="22"/>
          <w:szCs w:val="22"/>
        </w:rPr>
      </w:pPr>
      <w:r w:rsidRPr="00F67D1A">
        <w:rPr>
          <w:rFonts w:ascii="Arial" w:hAnsi="Arial" w:cs="Arial"/>
          <w:sz w:val="22"/>
          <w:szCs w:val="22"/>
        </w:rPr>
        <w:t>Besides, this paper will support a debate on whether the Ageing population poses challenges for Health and Social Care in the UK. The following table describes the standing points of the two groups participating in the debate.</w:t>
      </w:r>
    </w:p>
    <w:p w14:paraId="47B176E2" w14:textId="7E2AA201" w:rsidR="00127C44" w:rsidRPr="00F67D1A" w:rsidRDefault="00127C44" w:rsidP="00F67D1A">
      <w:pPr>
        <w:autoSpaceDE w:val="0"/>
        <w:autoSpaceDN w:val="0"/>
        <w:adjustRightInd w:val="0"/>
        <w:spacing w:line="360" w:lineRule="auto"/>
        <w:rPr>
          <w:rFonts w:ascii="Arial" w:hAnsi="Arial" w:cs="Arial"/>
          <w:sz w:val="22"/>
          <w:szCs w:val="22"/>
        </w:rPr>
      </w:pPr>
    </w:p>
    <w:p w14:paraId="4495F267" w14:textId="14D1E43B" w:rsidR="00127C44" w:rsidRPr="00F67D1A" w:rsidRDefault="00127C44" w:rsidP="00F67D1A">
      <w:pPr>
        <w:pStyle w:val="Subtitle"/>
      </w:pPr>
      <w:r w:rsidRPr="00F67D1A">
        <w:t xml:space="preserve">Table 1. </w:t>
      </w:r>
    </w:p>
    <w:p w14:paraId="3F904BD0" w14:textId="77777777" w:rsidR="00792C67" w:rsidRPr="00F67D1A" w:rsidRDefault="00792C67" w:rsidP="00F67D1A">
      <w:pPr>
        <w:autoSpaceDE w:val="0"/>
        <w:autoSpaceDN w:val="0"/>
        <w:adjustRightInd w:val="0"/>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5"/>
        <w:gridCol w:w="4505"/>
      </w:tblGrid>
      <w:tr w:rsidR="00FF66C6" w:rsidRPr="00F67D1A" w14:paraId="6E48698D" w14:textId="77777777" w:rsidTr="00FF66C6">
        <w:tc>
          <w:tcPr>
            <w:tcW w:w="4505" w:type="dxa"/>
          </w:tcPr>
          <w:p w14:paraId="6E43724A" w14:textId="3C7FF369"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Ageing society poses challenges for Health and Social Care </w:t>
            </w:r>
          </w:p>
        </w:tc>
        <w:tc>
          <w:tcPr>
            <w:tcW w:w="4505" w:type="dxa"/>
          </w:tcPr>
          <w:p w14:paraId="2C8465F6" w14:textId="663B10E4"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Aging society do not pose a challenge to Health and Social Care </w:t>
            </w:r>
          </w:p>
        </w:tc>
      </w:tr>
      <w:tr w:rsidR="00FF66C6" w:rsidRPr="00F67D1A" w14:paraId="2A0D505D" w14:textId="77777777" w:rsidTr="00FF66C6">
        <w:tc>
          <w:tcPr>
            <w:tcW w:w="4505" w:type="dxa"/>
          </w:tcPr>
          <w:p w14:paraId="6B064898" w14:textId="42A793F5"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Insufficient funding’s to support aging population  </w:t>
            </w:r>
          </w:p>
        </w:tc>
        <w:tc>
          <w:tcPr>
            <w:tcW w:w="4505" w:type="dxa"/>
          </w:tcPr>
          <w:p w14:paraId="6B1BF184" w14:textId="5CE36CD7" w:rsidR="00FF66C6" w:rsidRPr="00F67D1A" w:rsidRDefault="00127C44" w:rsidP="00F67D1A">
            <w:pPr>
              <w:spacing w:line="360" w:lineRule="auto"/>
              <w:rPr>
                <w:rFonts w:ascii="Arial" w:hAnsi="Arial" w:cs="Arial"/>
                <w:sz w:val="22"/>
                <w:szCs w:val="22"/>
              </w:rPr>
            </w:pPr>
            <w:r w:rsidRPr="00F67D1A">
              <w:rPr>
                <w:rFonts w:ascii="Arial" w:hAnsi="Arial" w:cs="Arial"/>
                <w:sz w:val="22"/>
                <w:szCs w:val="22"/>
                <w:lang w:val="en-US"/>
              </w:rPr>
              <w:t>Older people contribute to taxation</w:t>
            </w:r>
          </w:p>
        </w:tc>
      </w:tr>
      <w:tr w:rsidR="00FF66C6" w:rsidRPr="00F67D1A" w14:paraId="3E21824C" w14:textId="77777777" w:rsidTr="00FF66C6">
        <w:tc>
          <w:tcPr>
            <w:tcW w:w="4505" w:type="dxa"/>
          </w:tcPr>
          <w:p w14:paraId="5BD0B98E" w14:textId="70193C89"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Insufficient staff to look after aging population</w:t>
            </w:r>
          </w:p>
        </w:tc>
        <w:tc>
          <w:tcPr>
            <w:tcW w:w="4505" w:type="dxa"/>
          </w:tcPr>
          <w:p w14:paraId="716B5825" w14:textId="5CC78749" w:rsidR="00FF66C6" w:rsidRPr="00F67D1A" w:rsidRDefault="00127C44" w:rsidP="00F67D1A">
            <w:pPr>
              <w:spacing w:line="360" w:lineRule="auto"/>
              <w:rPr>
                <w:rFonts w:ascii="Arial" w:hAnsi="Arial" w:cs="Arial"/>
                <w:sz w:val="22"/>
                <w:szCs w:val="22"/>
              </w:rPr>
            </w:pPr>
            <w:r w:rsidRPr="00F67D1A">
              <w:rPr>
                <w:rFonts w:ascii="Arial" w:hAnsi="Arial" w:cs="Arial"/>
                <w:sz w:val="22"/>
                <w:szCs w:val="22"/>
                <w:lang w:val="en-US"/>
              </w:rPr>
              <w:t>Working benefits of working at 65 years old and over</w:t>
            </w:r>
          </w:p>
        </w:tc>
      </w:tr>
      <w:tr w:rsidR="00FF66C6" w:rsidRPr="00F67D1A" w14:paraId="2B957C11" w14:textId="77777777" w:rsidTr="00FF66C6">
        <w:tc>
          <w:tcPr>
            <w:tcW w:w="4505" w:type="dxa"/>
          </w:tcPr>
          <w:p w14:paraId="26906505" w14:textId="7E83398A"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lastRenderedPageBreak/>
              <w:t xml:space="preserve">Aging individuals are more likely to suffer loneliness </w:t>
            </w:r>
          </w:p>
        </w:tc>
        <w:tc>
          <w:tcPr>
            <w:tcW w:w="4505" w:type="dxa"/>
          </w:tcPr>
          <w:p w14:paraId="0C802844" w14:textId="6C913F2B"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Older people engagement in childcare overcome loneliness</w:t>
            </w:r>
          </w:p>
        </w:tc>
      </w:tr>
      <w:tr w:rsidR="00FF66C6" w:rsidRPr="00F67D1A" w14:paraId="79B8B37B" w14:textId="77777777" w:rsidTr="00FF66C6">
        <w:tc>
          <w:tcPr>
            <w:tcW w:w="4505" w:type="dxa"/>
          </w:tcPr>
          <w:p w14:paraId="20C556F8" w14:textId="5F99D579"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Not enough suitable houses for elderly  </w:t>
            </w:r>
          </w:p>
        </w:tc>
        <w:tc>
          <w:tcPr>
            <w:tcW w:w="4505" w:type="dxa"/>
          </w:tcPr>
          <w:p w14:paraId="4DA623D0" w14:textId="7C8B478C"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Skills and experience </w:t>
            </w:r>
          </w:p>
        </w:tc>
      </w:tr>
      <w:tr w:rsidR="00FF66C6" w:rsidRPr="00F67D1A" w14:paraId="1E67F95B" w14:textId="77777777" w:rsidTr="00FF66C6">
        <w:tc>
          <w:tcPr>
            <w:tcW w:w="4505" w:type="dxa"/>
          </w:tcPr>
          <w:p w14:paraId="3DCA7C7B" w14:textId="3445ACBC"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Elderly people are predisposed to increase morbidity </w:t>
            </w:r>
          </w:p>
        </w:tc>
        <w:tc>
          <w:tcPr>
            <w:tcW w:w="4505" w:type="dxa"/>
          </w:tcPr>
          <w:p w14:paraId="1C164BD5" w14:textId="048E06FB"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Volunteering keeps older people active</w:t>
            </w:r>
          </w:p>
        </w:tc>
      </w:tr>
      <w:tr w:rsidR="00FF66C6" w:rsidRPr="00F67D1A" w14:paraId="6D6FA34A" w14:textId="77777777" w:rsidTr="00FF66C6">
        <w:tc>
          <w:tcPr>
            <w:tcW w:w="4505" w:type="dxa"/>
          </w:tcPr>
          <w:p w14:paraId="15D5DCC5" w14:textId="45515DE6"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Older individuals are more likely to use 5 or more medications daily/polypharmacy </w:t>
            </w:r>
          </w:p>
        </w:tc>
        <w:tc>
          <w:tcPr>
            <w:tcW w:w="4505" w:type="dxa"/>
          </w:tcPr>
          <w:p w14:paraId="48833AB2" w14:textId="59E34D4D"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Technology advancement can overcome polypharmacy </w:t>
            </w:r>
          </w:p>
        </w:tc>
      </w:tr>
      <w:tr w:rsidR="00FF66C6" w:rsidRPr="00F67D1A" w14:paraId="41C5DB22" w14:textId="77777777" w:rsidTr="00FF66C6">
        <w:tc>
          <w:tcPr>
            <w:tcW w:w="4505" w:type="dxa"/>
          </w:tcPr>
          <w:p w14:paraId="6ED84BE9" w14:textId="61CEDB26"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 xml:space="preserve">More spending </w:t>
            </w:r>
          </w:p>
        </w:tc>
        <w:tc>
          <w:tcPr>
            <w:tcW w:w="4505" w:type="dxa"/>
          </w:tcPr>
          <w:p w14:paraId="7AE51790" w14:textId="2635C104" w:rsidR="00FF66C6" w:rsidRPr="00F67D1A" w:rsidRDefault="00127C44" w:rsidP="00F67D1A">
            <w:pPr>
              <w:spacing w:line="360" w:lineRule="auto"/>
              <w:rPr>
                <w:rFonts w:ascii="Arial" w:hAnsi="Arial" w:cs="Arial"/>
                <w:sz w:val="22"/>
                <w:szCs w:val="22"/>
              </w:rPr>
            </w:pPr>
            <w:r w:rsidRPr="00F67D1A">
              <w:rPr>
                <w:rFonts w:ascii="Arial" w:hAnsi="Arial" w:cs="Arial"/>
                <w:sz w:val="22"/>
                <w:szCs w:val="22"/>
              </w:rPr>
              <w:t>Older people wisdom and knowledge/ vote</w:t>
            </w:r>
          </w:p>
        </w:tc>
      </w:tr>
    </w:tbl>
    <w:p w14:paraId="78045855" w14:textId="532D62A8" w:rsidR="006C26D0" w:rsidRPr="00F67D1A" w:rsidRDefault="006C26D0" w:rsidP="00F67D1A">
      <w:pPr>
        <w:spacing w:line="360" w:lineRule="auto"/>
        <w:rPr>
          <w:rFonts w:ascii="Arial" w:hAnsi="Arial" w:cs="Arial"/>
          <w:sz w:val="22"/>
          <w:szCs w:val="22"/>
        </w:rPr>
      </w:pPr>
    </w:p>
    <w:p w14:paraId="0F2E9BDA" w14:textId="0A1DC55A" w:rsidR="00127C44" w:rsidRPr="00F67D1A" w:rsidRDefault="00127C44" w:rsidP="00F67D1A">
      <w:pPr>
        <w:spacing w:line="360" w:lineRule="auto"/>
        <w:rPr>
          <w:rFonts w:ascii="Arial" w:hAnsi="Arial" w:cs="Arial"/>
          <w:sz w:val="22"/>
          <w:szCs w:val="22"/>
        </w:rPr>
      </w:pPr>
    </w:p>
    <w:p w14:paraId="3328C84A" w14:textId="4843F4A1" w:rsidR="00127C44" w:rsidRPr="00F67D1A" w:rsidRDefault="00127C44" w:rsidP="00F67D1A">
      <w:pPr>
        <w:pStyle w:val="Heading1"/>
      </w:pPr>
      <w:bookmarkStart w:id="1" w:name="_Toc89962735"/>
      <w:r w:rsidRPr="00F67D1A">
        <w:t>Discussion</w:t>
      </w:r>
      <w:bookmarkEnd w:id="1"/>
      <w:r w:rsidRPr="00F67D1A">
        <w:t xml:space="preserve"> </w:t>
      </w:r>
    </w:p>
    <w:p w14:paraId="720CAA2A" w14:textId="6AE8F9C0" w:rsidR="00127C44" w:rsidRPr="00F67D1A" w:rsidRDefault="00127C44" w:rsidP="00F67D1A">
      <w:pPr>
        <w:spacing w:line="360" w:lineRule="auto"/>
        <w:rPr>
          <w:rFonts w:ascii="Arial" w:hAnsi="Arial" w:cs="Arial"/>
          <w:sz w:val="22"/>
          <w:szCs w:val="22"/>
        </w:rPr>
      </w:pPr>
    </w:p>
    <w:p w14:paraId="1222A785" w14:textId="6B9B6FBD" w:rsidR="00127C44" w:rsidRPr="00F67D1A" w:rsidRDefault="00127C44" w:rsidP="00F67D1A">
      <w:pPr>
        <w:autoSpaceDE w:val="0"/>
        <w:autoSpaceDN w:val="0"/>
        <w:adjustRightInd w:val="0"/>
        <w:spacing w:line="360" w:lineRule="auto"/>
        <w:rPr>
          <w:rFonts w:ascii="Arial" w:hAnsi="Arial" w:cs="Arial"/>
          <w:sz w:val="22"/>
          <w:szCs w:val="22"/>
        </w:rPr>
      </w:pPr>
      <w:r w:rsidRPr="00F67D1A">
        <w:rPr>
          <w:rFonts w:ascii="Arial" w:hAnsi="Arial" w:cs="Arial"/>
          <w:sz w:val="22"/>
          <w:szCs w:val="22"/>
        </w:rPr>
        <w:t xml:space="preserve">As is shown in the above table group 1 has argued that ageing societies more than anything pose an economic challenge to Health and Social Care which is a standing argument looking at pensions, social care, housing, and well-being (Office of National Statistics, 2018). </w:t>
      </w:r>
      <w:r w:rsidR="00050E14" w:rsidRPr="00F67D1A">
        <w:rPr>
          <w:rFonts w:ascii="Arial" w:hAnsi="Arial" w:cs="Arial"/>
          <w:sz w:val="22"/>
          <w:szCs w:val="22"/>
        </w:rPr>
        <w:t xml:space="preserve">On </w:t>
      </w:r>
      <w:r w:rsidRPr="00F67D1A">
        <w:rPr>
          <w:rFonts w:ascii="Arial" w:hAnsi="Arial" w:cs="Arial"/>
          <w:sz w:val="22"/>
          <w:szCs w:val="22"/>
        </w:rPr>
        <w:t xml:space="preserve">the other hand, it can present opportunities both at the social and individual level such as working for longer in life, spending </w:t>
      </w:r>
      <w:r w:rsidR="00050E14" w:rsidRPr="00F67D1A">
        <w:rPr>
          <w:rFonts w:ascii="Arial" w:hAnsi="Arial" w:cs="Arial"/>
          <w:sz w:val="22"/>
          <w:szCs w:val="22"/>
        </w:rPr>
        <w:t>more</w:t>
      </w:r>
      <w:r w:rsidRPr="00F67D1A">
        <w:rPr>
          <w:rFonts w:ascii="Arial" w:hAnsi="Arial" w:cs="Arial"/>
          <w:sz w:val="22"/>
          <w:szCs w:val="22"/>
        </w:rPr>
        <w:t xml:space="preserve"> time with the family providing care for grandchildren and other family members, community organisations and emergence different markets (Office of National Statistics, 2018).</w:t>
      </w:r>
    </w:p>
    <w:p w14:paraId="5B46B712" w14:textId="42EA0E46" w:rsidR="00050E14" w:rsidRPr="00F67D1A" w:rsidRDefault="00050E14" w:rsidP="00F67D1A">
      <w:pPr>
        <w:autoSpaceDE w:val="0"/>
        <w:autoSpaceDN w:val="0"/>
        <w:adjustRightInd w:val="0"/>
        <w:spacing w:line="360" w:lineRule="auto"/>
        <w:rPr>
          <w:rFonts w:ascii="Arial" w:hAnsi="Arial" w:cs="Arial"/>
          <w:sz w:val="22"/>
          <w:szCs w:val="22"/>
        </w:rPr>
      </w:pPr>
    </w:p>
    <w:p w14:paraId="28325A04" w14:textId="53CBC61A" w:rsidR="00050E14" w:rsidRPr="00F67D1A" w:rsidRDefault="00050E14" w:rsidP="00F67D1A">
      <w:pPr>
        <w:autoSpaceDE w:val="0"/>
        <w:autoSpaceDN w:val="0"/>
        <w:adjustRightInd w:val="0"/>
        <w:spacing w:line="360" w:lineRule="auto"/>
        <w:rPr>
          <w:rFonts w:ascii="Arial" w:hAnsi="Arial" w:cs="Arial"/>
          <w:sz w:val="22"/>
          <w:szCs w:val="22"/>
        </w:rPr>
      </w:pPr>
      <w:r w:rsidRPr="00F67D1A">
        <w:rPr>
          <w:rFonts w:ascii="Arial" w:hAnsi="Arial" w:cs="Arial"/>
          <w:sz w:val="22"/>
          <w:szCs w:val="22"/>
        </w:rPr>
        <w:t>Furthermore, the Department of Work and Pensions (2020) suggests that the standard age of the labour market has risen considerably in the last two decades reaching an increase of 3.1 years for women exiting work at 64.2 years old and an increase of 1.9 years for men exiting work at 65.2 years old. Likewise, that has increased the employment rate from 55.8% in 1984 to 72% in 2020 for those 50 years and older whereas for those 65 and older employment rate has increased from 4.9% in 1984 to 10.4% in 2020 approximately doubled which it means that older people are taxpayers.</w:t>
      </w:r>
    </w:p>
    <w:p w14:paraId="56814E37" w14:textId="7CA56C95" w:rsidR="00127C44" w:rsidRPr="00F67D1A" w:rsidRDefault="00127C44" w:rsidP="00F67D1A">
      <w:pPr>
        <w:autoSpaceDE w:val="0"/>
        <w:autoSpaceDN w:val="0"/>
        <w:adjustRightInd w:val="0"/>
        <w:spacing w:line="360" w:lineRule="auto"/>
        <w:rPr>
          <w:rFonts w:ascii="Arial" w:hAnsi="Arial" w:cs="Arial"/>
          <w:sz w:val="22"/>
          <w:szCs w:val="22"/>
        </w:rPr>
      </w:pPr>
    </w:p>
    <w:p w14:paraId="14736455" w14:textId="42AAD2D8" w:rsidR="00050E14" w:rsidRPr="00F67D1A" w:rsidRDefault="00050E14" w:rsidP="00F67D1A">
      <w:pPr>
        <w:autoSpaceDE w:val="0"/>
        <w:autoSpaceDN w:val="0"/>
        <w:adjustRightInd w:val="0"/>
        <w:spacing w:line="360" w:lineRule="auto"/>
        <w:rPr>
          <w:rFonts w:ascii="Arial" w:eastAsiaTheme="minorHAnsi" w:hAnsi="Arial" w:cs="Arial"/>
          <w:sz w:val="22"/>
          <w:szCs w:val="22"/>
          <w:lang w:eastAsia="en-US"/>
        </w:rPr>
      </w:pPr>
      <w:r w:rsidRPr="00F67D1A">
        <w:rPr>
          <w:rFonts w:ascii="Arial" w:eastAsiaTheme="minorHAnsi" w:hAnsi="Arial" w:cs="Arial"/>
          <w:sz w:val="22"/>
          <w:szCs w:val="22"/>
          <w:lang w:eastAsia="en-US"/>
        </w:rPr>
        <w:t xml:space="preserve">As it turns out UK’s population is rapidly ageing, families have children later in life and not as many as before because families now are more complex (Grandparents plus, 2020.). Demographic changes are the main reason that families have fewer children nowadays but also the cost of living especially in the UK, as well as the cost of a nursery place for an under two years old, has increased to £8,684 yearly. Therefore, grandparents play an important role in childcare, being the single biggest source of childcare after the parents themselves. They not only help families economically by looking after the grandchildren and allow </w:t>
      </w:r>
      <w:r w:rsidRPr="00F67D1A">
        <w:rPr>
          <w:rFonts w:ascii="Arial" w:eastAsiaTheme="minorHAnsi" w:hAnsi="Arial" w:cs="Arial"/>
          <w:sz w:val="22"/>
          <w:szCs w:val="22"/>
          <w:lang w:eastAsia="en-US"/>
        </w:rPr>
        <w:lastRenderedPageBreak/>
        <w:t xml:space="preserve">parents to return to work they also encourage them to have more than one child which is a very important factor considering the ageing population (Grandparents plus, 2020). Further, Grandparents plus (2020), suggests that more than half of the parents who are working studying and over are living their children in the care of grandparents. </w:t>
      </w:r>
    </w:p>
    <w:p w14:paraId="71439E1E" w14:textId="77777777" w:rsidR="00050E14" w:rsidRPr="00F67D1A" w:rsidRDefault="00050E14" w:rsidP="00F67D1A">
      <w:pPr>
        <w:autoSpaceDE w:val="0"/>
        <w:autoSpaceDN w:val="0"/>
        <w:adjustRightInd w:val="0"/>
        <w:spacing w:line="360" w:lineRule="auto"/>
        <w:rPr>
          <w:rFonts w:ascii="Arial" w:hAnsi="Arial" w:cs="Arial"/>
          <w:sz w:val="22"/>
          <w:szCs w:val="22"/>
        </w:rPr>
      </w:pPr>
    </w:p>
    <w:p w14:paraId="39A276F6" w14:textId="53E7F499" w:rsidR="00127C44" w:rsidRPr="00F67D1A" w:rsidRDefault="00127C44" w:rsidP="00F67D1A">
      <w:pPr>
        <w:autoSpaceDE w:val="0"/>
        <w:autoSpaceDN w:val="0"/>
        <w:adjustRightInd w:val="0"/>
        <w:spacing w:line="360" w:lineRule="auto"/>
        <w:rPr>
          <w:rFonts w:ascii="Arial" w:hAnsi="Arial" w:cs="Arial"/>
          <w:sz w:val="22"/>
          <w:szCs w:val="22"/>
        </w:rPr>
      </w:pPr>
      <w:r w:rsidRPr="00F67D1A">
        <w:rPr>
          <w:rFonts w:ascii="Arial" w:hAnsi="Arial" w:cs="Arial"/>
          <w:sz w:val="22"/>
          <w:szCs w:val="22"/>
        </w:rPr>
        <w:t xml:space="preserve">After conducting a survey and consulting the UK Chief Economist report, Professor Jose </w:t>
      </w:r>
      <w:proofErr w:type="spellStart"/>
      <w:r w:rsidRPr="00F67D1A">
        <w:rPr>
          <w:rFonts w:ascii="Arial" w:hAnsi="Arial" w:cs="Arial"/>
          <w:sz w:val="22"/>
          <w:szCs w:val="22"/>
        </w:rPr>
        <w:t>Iparrguirre</w:t>
      </w:r>
      <w:proofErr w:type="spellEnd"/>
      <w:r w:rsidRPr="00F67D1A">
        <w:rPr>
          <w:rFonts w:ascii="Arial" w:hAnsi="Arial" w:cs="Arial"/>
          <w:sz w:val="22"/>
          <w:szCs w:val="22"/>
        </w:rPr>
        <w:t xml:space="preserve"> (2017), suggests that people aged 50 and over have contributed to the economy with 796 billion pounds of which 160 billion pounds were brought in by people over the age of 65. The employment contribution was 570 billion pounds with 54 billion pounds contributed from people aged 65 and over, every day added activities another 175 billion pounds, casual child supervision worth 7.7 billion pounds only from those 65 years old and over and volunteering represented another 43.4 billion pounds (Jose. I., 2017). All the above-mentioned figures illustrate how much an older individual can contribute to society and taxation but not only, these are examples of what society, and the government can do for older people to keep them active and going. Doing so brings an important contribution to Health and Social Care because an active individual is more likely to keep in good health, more unlikely to get diabetes, heart disease, some cancers, depression, and dementia (NHS, 2021).</w:t>
      </w:r>
    </w:p>
    <w:p w14:paraId="06C23B8E" w14:textId="77777777" w:rsidR="00127C44" w:rsidRPr="00F67D1A" w:rsidRDefault="00127C44" w:rsidP="00F67D1A">
      <w:pPr>
        <w:spacing w:line="360" w:lineRule="auto"/>
        <w:rPr>
          <w:rFonts w:ascii="Arial" w:hAnsi="Arial" w:cs="Arial"/>
          <w:sz w:val="22"/>
          <w:szCs w:val="22"/>
        </w:rPr>
      </w:pPr>
    </w:p>
    <w:p w14:paraId="24C97EA5" w14:textId="610C3404" w:rsidR="00127C44" w:rsidRPr="00F67D1A" w:rsidRDefault="00127C44" w:rsidP="00F67D1A">
      <w:pPr>
        <w:spacing w:line="360" w:lineRule="auto"/>
        <w:rPr>
          <w:rFonts w:ascii="Arial" w:hAnsi="Arial" w:cs="Arial"/>
          <w:sz w:val="22"/>
          <w:szCs w:val="22"/>
        </w:rPr>
      </w:pPr>
    </w:p>
    <w:p w14:paraId="2C346083" w14:textId="16F9444D" w:rsidR="00127C44" w:rsidRPr="00F67D1A" w:rsidRDefault="00050E14" w:rsidP="00F67D1A">
      <w:pPr>
        <w:pStyle w:val="Heading1"/>
      </w:pPr>
      <w:bookmarkStart w:id="2" w:name="_Toc89962736"/>
      <w:r w:rsidRPr="00F67D1A">
        <w:t>Current Government support for elderly population</w:t>
      </w:r>
      <w:bookmarkEnd w:id="2"/>
    </w:p>
    <w:p w14:paraId="73BDF5A4" w14:textId="59859335" w:rsidR="000D4E33" w:rsidRPr="00F67D1A" w:rsidRDefault="000D4E33" w:rsidP="00F67D1A">
      <w:pPr>
        <w:spacing w:line="360" w:lineRule="auto"/>
        <w:rPr>
          <w:rFonts w:ascii="Arial" w:hAnsi="Arial" w:cs="Arial"/>
          <w:sz w:val="22"/>
          <w:szCs w:val="22"/>
        </w:rPr>
      </w:pPr>
    </w:p>
    <w:p w14:paraId="746D3131" w14:textId="1567A7D3" w:rsidR="000D4E33" w:rsidRPr="00F67D1A" w:rsidRDefault="000D4E33" w:rsidP="00F67D1A">
      <w:pPr>
        <w:spacing w:line="360" w:lineRule="auto"/>
        <w:rPr>
          <w:rFonts w:ascii="Arial" w:eastAsiaTheme="minorHAnsi" w:hAnsi="Arial" w:cs="Arial"/>
          <w:sz w:val="22"/>
          <w:szCs w:val="22"/>
          <w:lang w:eastAsia="en-US"/>
        </w:rPr>
      </w:pPr>
      <w:r w:rsidRPr="00F67D1A">
        <w:rPr>
          <w:rFonts w:ascii="Arial" w:eastAsiaTheme="minorHAnsi" w:hAnsi="Arial" w:cs="Arial"/>
          <w:sz w:val="22"/>
          <w:szCs w:val="22"/>
          <w:lang w:eastAsia="en-US"/>
        </w:rPr>
        <w:t>The UK Government has implemented policies and guidance’s that have the aim of helping older individuals stay productive such as, “Fuller Working Lives” published on 13 June 2014 and explains how older individuals can benefit from working longer as well as employment, community and economy, “A new vision for older workers”, published on 11 March 2015 and contains Dr Altmann’s recommendations on how to improve working lives of England's 50 and older and “Employer Toolkit”, containing guides to the management of older employees (Department for Work and Pensions, 2015).</w:t>
      </w:r>
    </w:p>
    <w:p w14:paraId="449DF749" w14:textId="7B2476BF" w:rsidR="000D4E33" w:rsidRPr="00F67D1A" w:rsidRDefault="000D4E33" w:rsidP="00F67D1A">
      <w:pPr>
        <w:spacing w:line="360" w:lineRule="auto"/>
        <w:rPr>
          <w:rFonts w:ascii="Arial" w:eastAsiaTheme="minorHAnsi" w:hAnsi="Arial" w:cs="Arial"/>
          <w:sz w:val="22"/>
          <w:szCs w:val="22"/>
          <w:lang w:eastAsia="en-US"/>
        </w:rPr>
      </w:pPr>
    </w:p>
    <w:p w14:paraId="40EC6550" w14:textId="3A380BFB" w:rsidR="000D4E33" w:rsidRPr="00F67D1A" w:rsidRDefault="000D4E33" w:rsidP="00F67D1A">
      <w:pPr>
        <w:pStyle w:val="Heading1"/>
        <w:rPr>
          <w:rFonts w:eastAsiaTheme="minorHAnsi"/>
          <w:lang w:eastAsia="en-US"/>
        </w:rPr>
      </w:pPr>
      <w:bookmarkStart w:id="3" w:name="_Toc89962737"/>
      <w:r w:rsidRPr="00F67D1A">
        <w:rPr>
          <w:rFonts w:eastAsiaTheme="minorHAnsi"/>
          <w:lang w:eastAsia="en-US"/>
        </w:rPr>
        <w:t>Covid-19 Pandemic impact on elderly</w:t>
      </w:r>
      <w:bookmarkEnd w:id="3"/>
      <w:r w:rsidRPr="00F67D1A">
        <w:rPr>
          <w:rFonts w:eastAsiaTheme="minorHAnsi"/>
          <w:lang w:eastAsia="en-US"/>
        </w:rPr>
        <w:t xml:space="preserve"> </w:t>
      </w:r>
    </w:p>
    <w:p w14:paraId="13306398" w14:textId="00650D6A" w:rsidR="000D4E33" w:rsidRPr="00F67D1A" w:rsidRDefault="000D4E33" w:rsidP="00F67D1A">
      <w:pPr>
        <w:spacing w:line="360" w:lineRule="auto"/>
        <w:rPr>
          <w:rFonts w:ascii="Arial" w:eastAsiaTheme="minorHAnsi" w:hAnsi="Arial" w:cs="Arial"/>
          <w:sz w:val="22"/>
          <w:szCs w:val="22"/>
          <w:lang w:eastAsia="en-US"/>
        </w:rPr>
      </w:pPr>
    </w:p>
    <w:p w14:paraId="6E5D8602" w14:textId="12975AE2" w:rsidR="00F67D1A" w:rsidRPr="00F67D1A" w:rsidRDefault="00F67D1A" w:rsidP="00F67D1A">
      <w:pPr>
        <w:autoSpaceDE w:val="0"/>
        <w:autoSpaceDN w:val="0"/>
        <w:adjustRightInd w:val="0"/>
        <w:spacing w:line="360" w:lineRule="auto"/>
        <w:rPr>
          <w:rFonts w:ascii="Arial" w:eastAsiaTheme="minorHAnsi" w:hAnsi="Arial" w:cs="Arial"/>
          <w:sz w:val="22"/>
          <w:szCs w:val="22"/>
          <w:lang w:eastAsia="en-US"/>
        </w:rPr>
      </w:pPr>
      <w:r w:rsidRPr="00F67D1A">
        <w:rPr>
          <w:rFonts w:ascii="Arial" w:eastAsiaTheme="minorHAnsi" w:hAnsi="Arial" w:cs="Arial"/>
          <w:sz w:val="22"/>
          <w:szCs w:val="22"/>
          <w:lang w:eastAsia="en-US"/>
        </w:rPr>
        <w:t>Covid-19 came to be a matter of urgency in March 2020 affecting more older people. This brought “telehealth” into priority as a potential device to provide and monitor health services without the need of face-to-face communication with the patients (Fisk, M., Livingstone, A. and Pit, S. W., 2020). Coronaviruses had a major impact on the lives of thousands of older people not only in the UK but all over the world but the positive outcome of the pandemic “if it can be called that way” is telehealth, a tool designed for a short period. Proving efficiency in monitoring patients from a distance especially those elderly at risk of developing depression due to loneliness as well as a reminder of taking their medications and over it was adapted as a more permanent monitoring tool in the United Kingdom, the United States and Australia saving money and time for the National Health Services as well as for patients (Fisk, M., Livingstone, A. and Pit, S. W., 2020).</w:t>
      </w:r>
    </w:p>
    <w:p w14:paraId="14EADDDC" w14:textId="77777777" w:rsidR="00F67D1A" w:rsidRPr="00F67D1A" w:rsidRDefault="00F67D1A" w:rsidP="00F67D1A">
      <w:pPr>
        <w:autoSpaceDE w:val="0"/>
        <w:autoSpaceDN w:val="0"/>
        <w:adjustRightInd w:val="0"/>
        <w:spacing w:line="360" w:lineRule="auto"/>
        <w:rPr>
          <w:rFonts w:ascii="Arial" w:eastAsiaTheme="minorHAnsi" w:hAnsi="Arial" w:cs="Arial"/>
          <w:sz w:val="22"/>
          <w:szCs w:val="22"/>
          <w:lang w:eastAsia="en-US"/>
        </w:rPr>
      </w:pPr>
    </w:p>
    <w:p w14:paraId="114E0064" w14:textId="77777777" w:rsidR="00F67D1A" w:rsidRPr="00F67D1A" w:rsidRDefault="00F67D1A" w:rsidP="00F67D1A">
      <w:pPr>
        <w:pStyle w:val="Heading1"/>
        <w:rPr>
          <w:rFonts w:eastAsiaTheme="minorHAnsi"/>
          <w:lang w:eastAsia="en-US"/>
        </w:rPr>
      </w:pPr>
      <w:bookmarkStart w:id="4" w:name="_Toc89962738"/>
      <w:r w:rsidRPr="00F67D1A">
        <w:rPr>
          <w:rFonts w:eastAsiaTheme="minorHAnsi"/>
          <w:lang w:eastAsia="en-US"/>
        </w:rPr>
        <w:t>Conclusion</w:t>
      </w:r>
      <w:bookmarkEnd w:id="4"/>
      <w:r w:rsidRPr="00F67D1A">
        <w:rPr>
          <w:rFonts w:eastAsiaTheme="minorHAnsi"/>
          <w:lang w:eastAsia="en-US"/>
        </w:rPr>
        <w:t xml:space="preserve"> </w:t>
      </w:r>
    </w:p>
    <w:p w14:paraId="7871AA08" w14:textId="77777777" w:rsidR="00F67D1A" w:rsidRPr="00F67D1A" w:rsidRDefault="00F67D1A" w:rsidP="00F67D1A">
      <w:pPr>
        <w:autoSpaceDE w:val="0"/>
        <w:autoSpaceDN w:val="0"/>
        <w:adjustRightInd w:val="0"/>
        <w:spacing w:line="360" w:lineRule="auto"/>
        <w:rPr>
          <w:rFonts w:ascii="Arial" w:eastAsiaTheme="minorHAnsi" w:hAnsi="Arial" w:cs="Arial"/>
          <w:sz w:val="22"/>
          <w:szCs w:val="22"/>
          <w:lang w:eastAsia="en-US"/>
        </w:rPr>
      </w:pPr>
    </w:p>
    <w:p w14:paraId="3FC05EB8" w14:textId="2B8BE494" w:rsidR="00F67D1A" w:rsidRDefault="00F67D1A" w:rsidP="00F67D1A">
      <w:pPr>
        <w:spacing w:line="360" w:lineRule="auto"/>
        <w:rPr>
          <w:rFonts w:ascii="Arial" w:eastAsiaTheme="minorHAnsi" w:hAnsi="Arial" w:cs="Arial"/>
          <w:sz w:val="22"/>
          <w:szCs w:val="22"/>
          <w:lang w:eastAsia="en-US"/>
        </w:rPr>
      </w:pPr>
      <w:r w:rsidRPr="00F67D1A">
        <w:rPr>
          <w:rFonts w:ascii="Arial" w:eastAsiaTheme="minorHAnsi" w:hAnsi="Arial" w:cs="Arial"/>
          <w:sz w:val="22"/>
          <w:szCs w:val="22"/>
          <w:lang w:eastAsia="en-US"/>
        </w:rPr>
        <w:t>Finally, the older individuals should be seen for what they are, wise, caring ready to share their spare time helping family, community, and friends. The government should put in place policies and regulations that would give them greater opportunities as well as encourage them in childcare because children are the future and grandparents are the role models for our children.</w:t>
      </w:r>
    </w:p>
    <w:p w14:paraId="30CCBF35" w14:textId="763DDDC2" w:rsidR="00F67D1A" w:rsidRPr="00F67D1A" w:rsidRDefault="00F67D1A" w:rsidP="00F67D1A">
      <w:pPr>
        <w:spacing w:line="360" w:lineRule="auto"/>
        <w:rPr>
          <w:rFonts w:ascii="Arial" w:eastAsiaTheme="minorHAnsi" w:hAnsi="Arial" w:cs="Arial"/>
          <w:sz w:val="22"/>
          <w:szCs w:val="22"/>
          <w:lang w:eastAsia="en-US"/>
        </w:rPr>
      </w:pPr>
      <w:r>
        <w:rPr>
          <w:rFonts w:ascii="Arial" w:eastAsiaTheme="minorHAnsi" w:hAnsi="Arial" w:cs="Arial"/>
          <w:sz w:val="22"/>
          <w:szCs w:val="22"/>
          <w:lang w:eastAsia="en-US"/>
        </w:rPr>
        <w:t xml:space="preserve">Please find attached in the appendix power point slides of the debate which took place in classroom. </w:t>
      </w:r>
    </w:p>
    <w:p w14:paraId="62D3E47B" w14:textId="77777777" w:rsidR="000D4E33" w:rsidRPr="00F67D1A" w:rsidRDefault="000D4E33" w:rsidP="00F67D1A">
      <w:pPr>
        <w:spacing w:line="360" w:lineRule="auto"/>
        <w:rPr>
          <w:rFonts w:ascii="Arial" w:hAnsi="Arial" w:cs="Arial"/>
          <w:sz w:val="22"/>
          <w:szCs w:val="22"/>
        </w:rPr>
      </w:pPr>
    </w:p>
    <w:p w14:paraId="37869EEE" w14:textId="3E7163EC" w:rsidR="00050E14" w:rsidRPr="00F67D1A" w:rsidRDefault="00FF66C6" w:rsidP="00F67D1A">
      <w:pPr>
        <w:pStyle w:val="Heading1"/>
      </w:pPr>
      <w:bookmarkStart w:id="5" w:name="_Toc89962739"/>
      <w:r w:rsidRPr="00F67D1A">
        <w:t>Reference list</w:t>
      </w:r>
      <w:bookmarkEnd w:id="5"/>
    </w:p>
    <w:p w14:paraId="03CD8F31" w14:textId="7FFAFE7F" w:rsidR="00050E14" w:rsidRPr="00F67D1A" w:rsidRDefault="00050E14" w:rsidP="00F67D1A">
      <w:pPr>
        <w:spacing w:line="360" w:lineRule="auto"/>
        <w:rPr>
          <w:rFonts w:ascii="Arial" w:hAnsi="Arial" w:cs="Arial"/>
          <w:sz w:val="22"/>
          <w:szCs w:val="22"/>
        </w:rPr>
      </w:pPr>
    </w:p>
    <w:p w14:paraId="5B025B13" w14:textId="5607CE89" w:rsidR="00050E14" w:rsidRPr="00F67D1A" w:rsidRDefault="00050E14" w:rsidP="00F67D1A">
      <w:pPr>
        <w:pStyle w:val="ListParagraph"/>
        <w:numPr>
          <w:ilvl w:val="0"/>
          <w:numId w:val="1"/>
        </w:numPr>
        <w:spacing w:line="360" w:lineRule="auto"/>
        <w:rPr>
          <w:rFonts w:ascii="Arial" w:hAnsi="Arial" w:cs="Arial"/>
          <w:sz w:val="22"/>
          <w:szCs w:val="22"/>
        </w:rPr>
      </w:pPr>
      <w:r w:rsidRPr="00F67D1A">
        <w:rPr>
          <w:rFonts w:ascii="Arial" w:hAnsi="Arial" w:cs="Arial"/>
          <w:sz w:val="22"/>
          <w:szCs w:val="22"/>
        </w:rPr>
        <w:t xml:space="preserve">Department of Work and Pensions. (2020) </w:t>
      </w:r>
      <w:r w:rsidRPr="00F67D1A">
        <w:rPr>
          <w:rFonts w:ascii="Arial" w:hAnsi="Arial" w:cs="Arial"/>
          <w:i/>
          <w:iCs/>
          <w:sz w:val="22"/>
          <w:szCs w:val="22"/>
        </w:rPr>
        <w:t>Economic labour market status of individuals aged 50b and over, trends over time: September 2020</w:t>
      </w:r>
      <w:r w:rsidRPr="00F67D1A">
        <w:rPr>
          <w:rFonts w:ascii="Arial" w:hAnsi="Arial" w:cs="Arial"/>
          <w:sz w:val="22"/>
          <w:szCs w:val="22"/>
        </w:rPr>
        <w:t xml:space="preserve">. Available at: </w:t>
      </w:r>
      <w:hyperlink r:id="rId14" w:history="1">
        <w:r w:rsidRPr="00F67D1A">
          <w:rPr>
            <w:rStyle w:val="Hyperlink"/>
            <w:rFonts w:ascii="Arial" w:hAnsi="Arial" w:cs="Arial"/>
            <w:sz w:val="22"/>
            <w:szCs w:val="22"/>
          </w:rPr>
          <w:t>https://www.gov.uk/government/statistics/economic-labour-market-status-of-individuals-aged-50-and-over-trends-over-time-september-2020/economic-labour-market-status-of-individuals-aged-50-and-over-trends-over-time-september-2020</w:t>
        </w:r>
      </w:hyperlink>
      <w:r w:rsidRPr="00F67D1A">
        <w:rPr>
          <w:rFonts w:ascii="Arial" w:hAnsi="Arial" w:cs="Arial"/>
          <w:sz w:val="22"/>
          <w:szCs w:val="22"/>
        </w:rPr>
        <w:t>. (Accessed: 8 December 2021).</w:t>
      </w:r>
    </w:p>
    <w:p w14:paraId="048B3E35" w14:textId="6CDE21F6" w:rsidR="000D4E33" w:rsidRPr="00F67D1A" w:rsidRDefault="000D4E33" w:rsidP="00F67D1A">
      <w:pPr>
        <w:spacing w:line="360" w:lineRule="auto"/>
        <w:rPr>
          <w:rFonts w:ascii="Arial" w:hAnsi="Arial" w:cs="Arial"/>
          <w:sz w:val="22"/>
          <w:szCs w:val="22"/>
        </w:rPr>
      </w:pPr>
    </w:p>
    <w:p w14:paraId="1ECFDA05" w14:textId="59E460F2" w:rsidR="00050E14" w:rsidRPr="00F67D1A" w:rsidRDefault="000D4E33" w:rsidP="00F67D1A">
      <w:pPr>
        <w:pStyle w:val="ListParagraph"/>
        <w:numPr>
          <w:ilvl w:val="0"/>
          <w:numId w:val="1"/>
        </w:numPr>
        <w:spacing w:line="360" w:lineRule="auto"/>
        <w:rPr>
          <w:rFonts w:ascii="Arial" w:hAnsi="Arial" w:cs="Arial"/>
          <w:sz w:val="22"/>
          <w:szCs w:val="22"/>
        </w:rPr>
      </w:pPr>
      <w:r w:rsidRPr="00F67D1A">
        <w:rPr>
          <w:rFonts w:ascii="Arial" w:eastAsiaTheme="minorHAnsi" w:hAnsi="Arial" w:cs="Arial"/>
          <w:sz w:val="22"/>
          <w:szCs w:val="22"/>
          <w:lang w:eastAsia="en-US"/>
        </w:rPr>
        <w:lastRenderedPageBreak/>
        <w:t>Department for Work and Pensions. (2015)</w:t>
      </w:r>
      <w:r w:rsidRPr="00F67D1A">
        <w:rPr>
          <w:rFonts w:ascii="Arial" w:hAnsi="Arial" w:cs="Arial"/>
          <w:sz w:val="22"/>
          <w:szCs w:val="22"/>
        </w:rPr>
        <w:t xml:space="preserve"> </w:t>
      </w:r>
      <w:r w:rsidRPr="00F67D1A">
        <w:rPr>
          <w:rFonts w:ascii="Arial" w:hAnsi="Arial" w:cs="Arial"/>
          <w:i/>
          <w:iCs/>
          <w:sz w:val="22"/>
          <w:szCs w:val="22"/>
        </w:rPr>
        <w:t>2010 to 2015 government policy: older people</w:t>
      </w:r>
      <w:r w:rsidRPr="00F67D1A">
        <w:rPr>
          <w:rFonts w:ascii="Arial" w:hAnsi="Arial" w:cs="Arial"/>
          <w:sz w:val="22"/>
          <w:szCs w:val="22"/>
        </w:rPr>
        <w:t xml:space="preserve">. Available at: </w:t>
      </w:r>
      <w:hyperlink r:id="rId15" w:anchor="actions" w:history="1">
        <w:r w:rsidRPr="00F67D1A">
          <w:rPr>
            <w:rStyle w:val="Hyperlink"/>
            <w:rFonts w:ascii="Arial" w:hAnsi="Arial" w:cs="Arial"/>
            <w:sz w:val="22"/>
            <w:szCs w:val="22"/>
          </w:rPr>
          <w:t>https://www.gov.uk/government/publications/2010-to-2015-government-policy-older-people/2010-to-2015-government-policy-older-people#actions</w:t>
        </w:r>
      </w:hyperlink>
      <w:r w:rsidRPr="00F67D1A">
        <w:rPr>
          <w:rFonts w:ascii="Arial" w:hAnsi="Arial" w:cs="Arial"/>
          <w:sz w:val="22"/>
          <w:szCs w:val="22"/>
        </w:rPr>
        <w:t>. (Accessed: 9 December 2021).</w:t>
      </w:r>
    </w:p>
    <w:p w14:paraId="1F6010A8" w14:textId="71C1585C" w:rsidR="00F67D1A" w:rsidRPr="00F67D1A" w:rsidRDefault="00F67D1A" w:rsidP="00F67D1A">
      <w:pPr>
        <w:pStyle w:val="ListParagraph"/>
        <w:numPr>
          <w:ilvl w:val="0"/>
          <w:numId w:val="1"/>
        </w:numPr>
        <w:spacing w:line="360" w:lineRule="auto"/>
        <w:rPr>
          <w:rFonts w:ascii="Arial" w:eastAsiaTheme="minorHAnsi" w:hAnsi="Arial" w:cs="Arial"/>
          <w:sz w:val="22"/>
          <w:szCs w:val="22"/>
          <w:lang w:eastAsia="en-US"/>
        </w:rPr>
      </w:pPr>
      <w:r w:rsidRPr="00F67D1A">
        <w:rPr>
          <w:rFonts w:ascii="Arial" w:eastAsiaTheme="minorHAnsi" w:hAnsi="Arial" w:cs="Arial"/>
          <w:sz w:val="22"/>
          <w:szCs w:val="22"/>
          <w:lang w:eastAsia="en-US"/>
        </w:rPr>
        <w:t xml:space="preserve">Fisk, M., Livingstone, A. and Pit, S. W. (2020) ‘Telehealth in the context of COVID-19: changing Perspectives in Australia, the United Kingdom and the United States’, </w:t>
      </w:r>
      <w:r w:rsidRPr="00F67D1A">
        <w:rPr>
          <w:rFonts w:ascii="Arial" w:eastAsiaTheme="minorHAnsi" w:hAnsi="Arial" w:cs="Arial"/>
          <w:i/>
          <w:iCs/>
          <w:sz w:val="22"/>
          <w:szCs w:val="22"/>
          <w:lang w:eastAsia="en-US"/>
        </w:rPr>
        <w:t>JMIR Publications</w:t>
      </w:r>
      <w:r w:rsidRPr="00F67D1A">
        <w:rPr>
          <w:rFonts w:ascii="Arial" w:eastAsiaTheme="minorHAnsi" w:hAnsi="Arial" w:cs="Arial"/>
          <w:sz w:val="22"/>
          <w:szCs w:val="22"/>
          <w:lang w:eastAsia="en-US"/>
        </w:rPr>
        <w:t>, 22(6).</w:t>
      </w:r>
    </w:p>
    <w:p w14:paraId="2F7ED632" w14:textId="77777777" w:rsidR="00F67D1A" w:rsidRPr="00F67D1A" w:rsidRDefault="00050E14" w:rsidP="00F67D1A">
      <w:pPr>
        <w:pStyle w:val="ListParagraph"/>
        <w:numPr>
          <w:ilvl w:val="0"/>
          <w:numId w:val="1"/>
        </w:numPr>
        <w:spacing w:line="360" w:lineRule="auto"/>
        <w:rPr>
          <w:rFonts w:ascii="Arial" w:eastAsiaTheme="minorHAnsi" w:hAnsi="Arial" w:cs="Arial"/>
          <w:sz w:val="22"/>
          <w:szCs w:val="22"/>
          <w:lang w:eastAsia="en-US"/>
        </w:rPr>
      </w:pPr>
      <w:r w:rsidRPr="00F67D1A">
        <w:rPr>
          <w:rFonts w:ascii="Arial" w:eastAsiaTheme="minorHAnsi" w:hAnsi="Arial" w:cs="Arial"/>
          <w:sz w:val="22"/>
          <w:szCs w:val="22"/>
          <w:lang w:eastAsia="en-US"/>
        </w:rPr>
        <w:t xml:space="preserve">Grandparents plus. (2020) </w:t>
      </w:r>
      <w:r w:rsidRPr="00F67D1A">
        <w:rPr>
          <w:rFonts w:ascii="Arial" w:eastAsiaTheme="minorHAnsi" w:hAnsi="Arial" w:cs="Arial"/>
          <w:i/>
          <w:iCs/>
          <w:sz w:val="22"/>
          <w:szCs w:val="22"/>
          <w:lang w:eastAsia="en-US"/>
        </w:rPr>
        <w:t>Rethinking Family Life: exploring the role of grandparents and the wider family</w:t>
      </w:r>
      <w:r w:rsidRPr="00F67D1A">
        <w:rPr>
          <w:rFonts w:ascii="Arial" w:eastAsiaTheme="minorHAnsi" w:hAnsi="Arial" w:cs="Arial"/>
          <w:sz w:val="22"/>
          <w:szCs w:val="22"/>
          <w:lang w:eastAsia="en-US"/>
        </w:rPr>
        <w:t xml:space="preserve">. Available at: </w:t>
      </w:r>
      <w:hyperlink r:id="rId16" w:history="1">
        <w:r w:rsidRPr="00F67D1A">
          <w:rPr>
            <w:rStyle w:val="Hyperlink"/>
            <w:rFonts w:ascii="Arial" w:eastAsiaTheme="minorHAnsi" w:hAnsi="Arial" w:cs="Arial"/>
            <w:sz w:val="22"/>
            <w:szCs w:val="22"/>
            <w:lang w:eastAsia="en-US"/>
          </w:rPr>
          <w:t>https://www.equallyours.org.uk/wp-content/uploads/2009/03/gpreport-web-version.pdf</w:t>
        </w:r>
      </w:hyperlink>
      <w:r w:rsidRPr="00F67D1A">
        <w:rPr>
          <w:rFonts w:ascii="Arial" w:eastAsiaTheme="minorHAnsi" w:hAnsi="Arial" w:cs="Arial"/>
          <w:sz w:val="22"/>
          <w:szCs w:val="22"/>
          <w:lang w:eastAsia="en-US"/>
        </w:rPr>
        <w:t>. (Accessed: 24 November 2021).</w:t>
      </w:r>
    </w:p>
    <w:p w14:paraId="6972991A" w14:textId="3C9B5E56" w:rsidR="00FF66C6" w:rsidRPr="00F67D1A" w:rsidRDefault="00FF66C6" w:rsidP="00F67D1A">
      <w:pPr>
        <w:pStyle w:val="ListParagraph"/>
        <w:numPr>
          <w:ilvl w:val="0"/>
          <w:numId w:val="1"/>
        </w:numPr>
        <w:spacing w:line="360" w:lineRule="auto"/>
        <w:rPr>
          <w:rFonts w:ascii="Arial" w:eastAsiaTheme="minorHAnsi" w:hAnsi="Arial" w:cs="Arial"/>
          <w:sz w:val="22"/>
          <w:szCs w:val="22"/>
          <w:lang w:eastAsia="en-US"/>
        </w:rPr>
      </w:pPr>
      <w:r w:rsidRPr="00F67D1A">
        <w:rPr>
          <w:rFonts w:ascii="Arial" w:hAnsi="Arial" w:cs="Arial"/>
          <w:sz w:val="22"/>
          <w:szCs w:val="22"/>
        </w:rPr>
        <w:t xml:space="preserve">Government Office for Science. (2016) </w:t>
      </w:r>
      <w:r w:rsidRPr="00F67D1A">
        <w:rPr>
          <w:rFonts w:ascii="Arial" w:hAnsi="Arial" w:cs="Arial"/>
          <w:i/>
          <w:iCs/>
          <w:sz w:val="22"/>
          <w:szCs w:val="22"/>
        </w:rPr>
        <w:t>Future of an aging Population</w:t>
      </w:r>
      <w:r w:rsidRPr="00F67D1A">
        <w:rPr>
          <w:rFonts w:ascii="Arial" w:hAnsi="Arial" w:cs="Arial"/>
          <w:sz w:val="22"/>
          <w:szCs w:val="22"/>
        </w:rPr>
        <w:t xml:space="preserve">. Available at: </w:t>
      </w:r>
      <w:hyperlink r:id="rId17" w:history="1">
        <w:r w:rsidRPr="00F67D1A">
          <w:rPr>
            <w:rStyle w:val="Hyperlink"/>
            <w:rFonts w:ascii="Arial" w:hAnsi="Arial" w:cs="Arial"/>
            <w:sz w:val="22"/>
            <w:szCs w:val="22"/>
          </w:rPr>
          <w:t>https://assets.publishing.service.gov.uk/government/uploads/system/uploads/attachment_data/file/816458/future-of-an-ageing-population.pdf</w:t>
        </w:r>
      </w:hyperlink>
      <w:r w:rsidRPr="00F67D1A">
        <w:rPr>
          <w:rFonts w:ascii="Arial" w:hAnsi="Arial" w:cs="Arial"/>
          <w:sz w:val="22"/>
          <w:szCs w:val="22"/>
        </w:rPr>
        <w:t xml:space="preserve"> (Accessed: 7 December 2021). </w:t>
      </w:r>
    </w:p>
    <w:p w14:paraId="52F4CB32" w14:textId="7D3F3371" w:rsidR="00050E14" w:rsidRPr="00F67D1A" w:rsidRDefault="00050E14" w:rsidP="00F67D1A">
      <w:pPr>
        <w:pStyle w:val="ListParagraph"/>
        <w:numPr>
          <w:ilvl w:val="0"/>
          <w:numId w:val="1"/>
        </w:numPr>
        <w:spacing w:line="360" w:lineRule="auto"/>
        <w:rPr>
          <w:rFonts w:ascii="Arial" w:hAnsi="Arial" w:cs="Arial"/>
          <w:sz w:val="22"/>
          <w:szCs w:val="22"/>
        </w:rPr>
      </w:pPr>
      <w:r w:rsidRPr="00F67D1A">
        <w:rPr>
          <w:rFonts w:ascii="Arial" w:hAnsi="Arial" w:cs="Arial"/>
          <w:sz w:val="22"/>
          <w:szCs w:val="22"/>
        </w:rPr>
        <w:t xml:space="preserve">Jose., I. (2017) The Economic Contribution of Older People in the United Kingdom – An Update to 2017. Available at: </w:t>
      </w:r>
      <w:hyperlink r:id="rId18" w:history="1">
        <w:r w:rsidRPr="00F67D1A">
          <w:rPr>
            <w:rStyle w:val="Hyperlink"/>
            <w:rFonts w:ascii="Arial" w:hAnsi="Arial" w:cs="Arial"/>
            <w:sz w:val="22"/>
            <w:szCs w:val="22"/>
          </w:rPr>
          <w:t>https://www.ageuk.org.uk/globalassets/age-uk/documents/reports-and-publications/reports-and-briefings/active-communities/the_economic_contribution_of_older_-people_-update_-to_-2017.pdf</w:t>
        </w:r>
      </w:hyperlink>
      <w:r w:rsidRPr="00F67D1A">
        <w:rPr>
          <w:rFonts w:ascii="Arial" w:hAnsi="Arial" w:cs="Arial"/>
          <w:sz w:val="22"/>
          <w:szCs w:val="22"/>
        </w:rPr>
        <w:t xml:space="preserve"> . (Accessed: 17 November 2021). </w:t>
      </w:r>
    </w:p>
    <w:p w14:paraId="32058F05" w14:textId="49273BEB" w:rsidR="00FF66C6" w:rsidRPr="00F67D1A" w:rsidRDefault="00FF66C6" w:rsidP="00F67D1A">
      <w:pPr>
        <w:pStyle w:val="ListParagraph"/>
        <w:numPr>
          <w:ilvl w:val="0"/>
          <w:numId w:val="1"/>
        </w:numPr>
        <w:spacing w:line="360" w:lineRule="auto"/>
        <w:rPr>
          <w:rFonts w:ascii="Arial" w:hAnsi="Arial" w:cs="Arial"/>
          <w:sz w:val="22"/>
          <w:szCs w:val="22"/>
        </w:rPr>
      </w:pPr>
      <w:r w:rsidRPr="00F67D1A">
        <w:rPr>
          <w:rFonts w:ascii="Arial" w:hAnsi="Arial" w:cs="Arial"/>
          <w:sz w:val="22"/>
          <w:szCs w:val="22"/>
        </w:rPr>
        <w:t xml:space="preserve">Office for National Statistics. (2018) </w:t>
      </w:r>
      <w:r w:rsidRPr="00F67D1A">
        <w:rPr>
          <w:rFonts w:ascii="Arial" w:hAnsi="Arial" w:cs="Arial"/>
          <w:i/>
          <w:iCs/>
          <w:sz w:val="22"/>
          <w:szCs w:val="22"/>
        </w:rPr>
        <w:t>Living longer: how our population is changing and why it matters</w:t>
      </w:r>
      <w:r w:rsidRPr="00F67D1A">
        <w:rPr>
          <w:rFonts w:ascii="Arial" w:hAnsi="Arial" w:cs="Arial"/>
          <w:sz w:val="22"/>
          <w:szCs w:val="22"/>
        </w:rPr>
        <w:t xml:space="preserve">. Available at: </w:t>
      </w:r>
      <w:hyperlink r:id="rId19" w:history="1">
        <w:r w:rsidRPr="00F67D1A">
          <w:rPr>
            <w:rStyle w:val="Hyperlink"/>
            <w:rFonts w:ascii="Arial" w:hAnsi="Arial" w:cs="Arial"/>
            <w:sz w:val="22"/>
            <w:szCs w:val="22"/>
          </w:rPr>
          <w:t>https://www.ons.gov.uk/peoplepopulationandcommunity/birthsdeathsandmarriages/ageing/articles/livinglongerhowourpopulationischangingandwhyitmatters/2018-08-13</w:t>
        </w:r>
      </w:hyperlink>
      <w:r w:rsidRPr="00F67D1A">
        <w:rPr>
          <w:rFonts w:ascii="Arial" w:hAnsi="Arial" w:cs="Arial"/>
          <w:sz w:val="22"/>
          <w:szCs w:val="22"/>
        </w:rPr>
        <w:t xml:space="preserve"> (Accessed: 7 December 2021). </w:t>
      </w:r>
    </w:p>
    <w:p w14:paraId="0CB0C509" w14:textId="15DD8800" w:rsidR="00F67D1A" w:rsidRDefault="00FF66C6" w:rsidP="00F67D1A">
      <w:pPr>
        <w:pStyle w:val="ListParagraph"/>
        <w:numPr>
          <w:ilvl w:val="0"/>
          <w:numId w:val="1"/>
        </w:numPr>
        <w:spacing w:line="360" w:lineRule="auto"/>
        <w:rPr>
          <w:rFonts w:ascii="Arial" w:hAnsi="Arial" w:cs="Arial"/>
          <w:sz w:val="22"/>
          <w:szCs w:val="22"/>
        </w:rPr>
      </w:pPr>
      <w:r w:rsidRPr="00F67D1A">
        <w:rPr>
          <w:rFonts w:ascii="Arial" w:hAnsi="Arial" w:cs="Arial"/>
          <w:sz w:val="22"/>
          <w:szCs w:val="22"/>
        </w:rPr>
        <w:t xml:space="preserve">United Nations. (2020) </w:t>
      </w:r>
      <w:r w:rsidRPr="00F67D1A">
        <w:rPr>
          <w:rFonts w:ascii="Arial" w:hAnsi="Arial" w:cs="Arial"/>
          <w:i/>
          <w:iCs/>
          <w:sz w:val="22"/>
          <w:szCs w:val="22"/>
        </w:rPr>
        <w:t>World Population Aging 2020</w:t>
      </w:r>
      <w:r w:rsidRPr="00F67D1A">
        <w:rPr>
          <w:rFonts w:ascii="Arial" w:hAnsi="Arial" w:cs="Arial"/>
          <w:sz w:val="22"/>
          <w:szCs w:val="22"/>
        </w:rPr>
        <w:t xml:space="preserve">. Available at: </w:t>
      </w:r>
      <w:hyperlink r:id="rId20" w:history="1">
        <w:r w:rsidRPr="00F67D1A">
          <w:rPr>
            <w:rStyle w:val="Hyperlink"/>
            <w:rFonts w:ascii="Arial" w:hAnsi="Arial" w:cs="Arial"/>
            <w:sz w:val="22"/>
            <w:szCs w:val="22"/>
          </w:rPr>
          <w:t>https://www.un.org/development/desa/pd/sites/www.un.org.development.desa.pd/files/undesa_pd-2020_world_population_ageing_highlights.pdf</w:t>
        </w:r>
      </w:hyperlink>
      <w:r w:rsidRPr="00F67D1A">
        <w:rPr>
          <w:rFonts w:ascii="Arial" w:hAnsi="Arial" w:cs="Arial"/>
          <w:sz w:val="22"/>
          <w:szCs w:val="22"/>
        </w:rPr>
        <w:t xml:space="preserve">. (Accessed: 8 December 2021). </w:t>
      </w:r>
    </w:p>
    <w:p w14:paraId="6EB73626" w14:textId="77777777" w:rsidR="00F67D1A" w:rsidRDefault="00F67D1A">
      <w:pPr>
        <w:rPr>
          <w:rFonts w:ascii="Arial" w:hAnsi="Arial" w:cs="Arial"/>
          <w:sz w:val="22"/>
          <w:szCs w:val="22"/>
        </w:rPr>
      </w:pPr>
      <w:r>
        <w:rPr>
          <w:rFonts w:ascii="Arial" w:hAnsi="Arial" w:cs="Arial"/>
          <w:sz w:val="22"/>
          <w:szCs w:val="22"/>
        </w:rPr>
        <w:br w:type="page"/>
      </w:r>
    </w:p>
    <w:p w14:paraId="0A2E6219" w14:textId="7C7027D6" w:rsidR="00F67D1A" w:rsidRDefault="00F67D1A" w:rsidP="00F67D1A">
      <w:pPr>
        <w:pStyle w:val="Heading1"/>
      </w:pPr>
      <w:bookmarkStart w:id="6" w:name="_Toc89962740"/>
      <w:r>
        <w:lastRenderedPageBreak/>
        <w:t>Appendix</w:t>
      </w:r>
      <w:bookmarkEnd w:id="6"/>
      <w:r>
        <w:t xml:space="preserve"> </w:t>
      </w:r>
    </w:p>
    <w:p w14:paraId="75B52CE8" w14:textId="3B8694CD" w:rsidR="00F1441A" w:rsidRDefault="00F1441A" w:rsidP="00F67D1A">
      <w:pPr>
        <w:pStyle w:val="Heading1"/>
      </w:pPr>
      <w:r w:rsidRPr="00F1441A">
        <w:drawing>
          <wp:inline distT="0" distB="0" distL="0" distR="0" wp14:anchorId="1A358DF6" wp14:editId="2D1E93CA">
            <wp:extent cx="5727700" cy="322199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drawing>
          <wp:inline distT="0" distB="0" distL="0" distR="0" wp14:anchorId="09AD2F11" wp14:editId="6C8B4691">
            <wp:extent cx="5727700" cy="322199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36F9BCBE" wp14:editId="3EBF54D4">
            <wp:extent cx="5727700" cy="322199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079DA808" wp14:editId="545B1CE5">
            <wp:extent cx="5727700" cy="322199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102AEBDF" wp14:editId="2345EB9B">
            <wp:extent cx="5727700" cy="3221990"/>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7DE40069" wp14:editId="190BDDE1">
            <wp:extent cx="5727700" cy="3221990"/>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750FBB01" wp14:editId="0782F56A">
            <wp:extent cx="5727700" cy="3221990"/>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736EABDD" wp14:editId="07CF2DED">
            <wp:extent cx="5727700" cy="322199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643509D3" wp14:editId="624E37EA">
            <wp:extent cx="5727700" cy="322199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13B930D0" wp14:editId="1933B3F9">
            <wp:extent cx="5727700" cy="3221990"/>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1B8FF104" wp14:editId="092FC05F">
            <wp:extent cx="5727700" cy="3221990"/>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7700" cy="3221990"/>
                    </a:xfrm>
                    <a:prstGeom prst="rect">
                      <a:avLst/>
                    </a:prstGeom>
                  </pic:spPr>
                </pic:pic>
              </a:graphicData>
            </a:graphic>
          </wp:inline>
        </w:drawing>
      </w:r>
      <w:r w:rsidRPr="00F1441A">
        <w:rPr>
          <w:b w:val="0"/>
          <w:bCs w:val="0"/>
          <w:noProof/>
          <w:kern w:val="0"/>
          <w:sz w:val="24"/>
          <w:szCs w:val="24"/>
        </w:rPr>
        <w:t xml:space="preserve"> </w:t>
      </w:r>
      <w:r w:rsidRPr="00F1441A">
        <w:rPr>
          <w:b w:val="0"/>
          <w:bCs w:val="0"/>
          <w:noProof/>
          <w:kern w:val="0"/>
          <w:sz w:val="24"/>
          <w:szCs w:val="24"/>
        </w:rPr>
        <w:drawing>
          <wp:inline distT="0" distB="0" distL="0" distR="0" wp14:anchorId="1C3EABC3" wp14:editId="1FE6BA20">
            <wp:extent cx="5727700" cy="3221990"/>
            <wp:effectExtent l="0" t="0" r="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3221990"/>
                    </a:xfrm>
                    <a:prstGeom prst="rect">
                      <a:avLst/>
                    </a:prstGeom>
                  </pic:spPr>
                </pic:pic>
              </a:graphicData>
            </a:graphic>
          </wp:inline>
        </w:drawing>
      </w:r>
    </w:p>
    <w:p w14:paraId="0F7054DF" w14:textId="41780221" w:rsidR="00F67D1A" w:rsidRDefault="00F67D1A" w:rsidP="00F67D1A">
      <w:pPr>
        <w:pStyle w:val="Heading1"/>
        <w:rPr>
          <w:b w:val="0"/>
          <w:bCs w:val="0"/>
          <w:noProof/>
          <w:kern w:val="0"/>
          <w:sz w:val="24"/>
          <w:szCs w:val="24"/>
        </w:rPr>
      </w:pPr>
      <w:r w:rsidRPr="00F67D1A">
        <w:rPr>
          <w:b w:val="0"/>
          <w:bCs w:val="0"/>
          <w:noProof/>
          <w:kern w:val="0"/>
          <w:sz w:val="24"/>
          <w:szCs w:val="24"/>
        </w:rPr>
        <w:t xml:space="preserve"> </w:t>
      </w:r>
    </w:p>
    <w:p w14:paraId="7C8C9A7A" w14:textId="33F6956A" w:rsidR="00F67D1A" w:rsidRDefault="00F67D1A" w:rsidP="00F67D1A">
      <w:pPr>
        <w:pStyle w:val="Heading1"/>
      </w:pPr>
    </w:p>
    <w:p w14:paraId="575A7CBD" w14:textId="39932D96" w:rsidR="00F67D1A" w:rsidRDefault="00F67D1A" w:rsidP="00F67D1A">
      <w:pPr>
        <w:pStyle w:val="Heading1"/>
        <w:rPr>
          <w:b w:val="0"/>
          <w:bCs w:val="0"/>
          <w:noProof/>
          <w:kern w:val="0"/>
          <w:sz w:val="24"/>
          <w:szCs w:val="24"/>
        </w:rPr>
      </w:pPr>
      <w:r w:rsidRPr="00F67D1A">
        <w:rPr>
          <w:b w:val="0"/>
          <w:bCs w:val="0"/>
          <w:noProof/>
          <w:kern w:val="0"/>
          <w:sz w:val="24"/>
          <w:szCs w:val="24"/>
        </w:rPr>
        <w:t xml:space="preserve"> </w:t>
      </w:r>
    </w:p>
    <w:p w14:paraId="13C0588C" w14:textId="62A5B013" w:rsidR="00F67D1A" w:rsidRPr="00F67D1A" w:rsidRDefault="00F67D1A" w:rsidP="00F67D1A">
      <w:pPr>
        <w:pStyle w:val="Heading1"/>
      </w:pPr>
      <w:r w:rsidRPr="00F67D1A">
        <w:rPr>
          <w:b w:val="0"/>
          <w:bCs w:val="0"/>
          <w:noProof/>
          <w:kern w:val="0"/>
          <w:sz w:val="24"/>
          <w:szCs w:val="24"/>
        </w:rPr>
        <w:t xml:space="preserve">  </w:t>
      </w:r>
    </w:p>
    <w:sectPr w:rsidR="00F67D1A" w:rsidRPr="00F67D1A" w:rsidSect="00F67D1A">
      <w:footerReference w:type="even" r:id="rId33"/>
      <w:footerReference w:type="default" r:id="rId34"/>
      <w:pgSz w:w="11900" w:h="16840"/>
      <w:pgMar w:top="1440" w:right="1440" w:bottom="1440" w:left="1440" w:header="0"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0C1FD" w14:textId="77777777" w:rsidR="00F67D1A" w:rsidRDefault="00F67D1A" w:rsidP="00F67D1A">
      <w:r>
        <w:separator/>
      </w:r>
    </w:p>
  </w:endnote>
  <w:endnote w:type="continuationSeparator" w:id="0">
    <w:p w14:paraId="5C9F9E85" w14:textId="77777777" w:rsidR="00F67D1A" w:rsidRDefault="00F67D1A" w:rsidP="00F67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0292669"/>
      <w:docPartObj>
        <w:docPartGallery w:val="Page Numbers (Bottom of Page)"/>
        <w:docPartUnique/>
      </w:docPartObj>
    </w:sdtPr>
    <w:sdtEndPr>
      <w:rPr>
        <w:rStyle w:val="PageNumber"/>
      </w:rPr>
    </w:sdtEndPr>
    <w:sdtContent>
      <w:p w14:paraId="091A7354" w14:textId="2CD29E3C" w:rsidR="00F67D1A" w:rsidRDefault="00F67D1A" w:rsidP="00832F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CB1CBE" w14:textId="77777777" w:rsidR="00F67D1A" w:rsidRDefault="00F67D1A" w:rsidP="00F67D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9528476"/>
      <w:docPartObj>
        <w:docPartGallery w:val="Page Numbers (Bottom of Page)"/>
        <w:docPartUnique/>
      </w:docPartObj>
    </w:sdtPr>
    <w:sdtEndPr>
      <w:rPr>
        <w:rStyle w:val="PageNumber"/>
      </w:rPr>
    </w:sdtEndPr>
    <w:sdtContent>
      <w:p w14:paraId="7254C260" w14:textId="59286B78" w:rsidR="00F67D1A" w:rsidRDefault="00F67D1A" w:rsidP="00832F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0D2640B" w14:textId="77777777" w:rsidR="00F67D1A" w:rsidRDefault="00F67D1A" w:rsidP="00F67D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45990" w14:textId="77777777" w:rsidR="00F67D1A" w:rsidRDefault="00F67D1A" w:rsidP="00F67D1A">
      <w:r>
        <w:separator/>
      </w:r>
    </w:p>
  </w:footnote>
  <w:footnote w:type="continuationSeparator" w:id="0">
    <w:p w14:paraId="7AD844D0" w14:textId="77777777" w:rsidR="00F67D1A" w:rsidRDefault="00F67D1A" w:rsidP="00F67D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B0C77"/>
    <w:multiLevelType w:val="hybridMultilevel"/>
    <w:tmpl w:val="A830C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6D0"/>
    <w:rsid w:val="00050E14"/>
    <w:rsid w:val="000D4E33"/>
    <w:rsid w:val="00127C44"/>
    <w:rsid w:val="00667CD2"/>
    <w:rsid w:val="006C26D0"/>
    <w:rsid w:val="00792C67"/>
    <w:rsid w:val="00B92B52"/>
    <w:rsid w:val="00D4041D"/>
    <w:rsid w:val="00E226B8"/>
    <w:rsid w:val="00F1441A"/>
    <w:rsid w:val="00F67D1A"/>
    <w:rsid w:val="00FF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D7537"/>
  <w15:chartTrackingRefBased/>
  <w15:docId w15:val="{CCADD12C-7C32-714E-AE8E-CC9F51AFD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E14"/>
    <w:rPr>
      <w:rFonts w:ascii="Times New Roman" w:eastAsia="Times New Roman" w:hAnsi="Times New Roman" w:cs="Times New Roman"/>
      <w:lang w:eastAsia="en-GB"/>
    </w:rPr>
  </w:style>
  <w:style w:type="paragraph" w:styleId="Heading1">
    <w:name w:val="heading 1"/>
    <w:basedOn w:val="Normal"/>
    <w:link w:val="Heading1Char"/>
    <w:uiPriority w:val="9"/>
    <w:qFormat/>
    <w:rsid w:val="00FF66C6"/>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26D0"/>
    <w:rPr>
      <w:rFonts w:eastAsiaTheme="minorEastAsia"/>
      <w:sz w:val="22"/>
      <w:szCs w:val="22"/>
      <w:lang w:val="en-US" w:eastAsia="zh-CN"/>
    </w:rPr>
  </w:style>
  <w:style w:type="character" w:customStyle="1" w:styleId="NoSpacingChar">
    <w:name w:val="No Spacing Char"/>
    <w:basedOn w:val="DefaultParagraphFont"/>
    <w:link w:val="NoSpacing"/>
    <w:uiPriority w:val="1"/>
    <w:rsid w:val="006C26D0"/>
    <w:rPr>
      <w:rFonts w:eastAsiaTheme="minorEastAsia"/>
      <w:sz w:val="22"/>
      <w:szCs w:val="22"/>
      <w:lang w:val="en-US" w:eastAsia="zh-CN"/>
    </w:rPr>
  </w:style>
  <w:style w:type="character" w:styleId="Hyperlink">
    <w:name w:val="Hyperlink"/>
    <w:basedOn w:val="DefaultParagraphFont"/>
    <w:uiPriority w:val="99"/>
    <w:unhideWhenUsed/>
    <w:rsid w:val="00667CD2"/>
    <w:rPr>
      <w:color w:val="0563C1" w:themeColor="hyperlink"/>
      <w:u w:val="single"/>
    </w:rPr>
  </w:style>
  <w:style w:type="character" w:styleId="UnresolvedMention">
    <w:name w:val="Unresolved Mention"/>
    <w:basedOn w:val="DefaultParagraphFont"/>
    <w:uiPriority w:val="99"/>
    <w:semiHidden/>
    <w:unhideWhenUsed/>
    <w:rsid w:val="00667CD2"/>
    <w:rPr>
      <w:color w:val="605E5C"/>
      <w:shd w:val="clear" w:color="auto" w:fill="E1DFDD"/>
    </w:rPr>
  </w:style>
  <w:style w:type="character" w:customStyle="1" w:styleId="Heading1Char">
    <w:name w:val="Heading 1 Char"/>
    <w:basedOn w:val="DefaultParagraphFont"/>
    <w:link w:val="Heading1"/>
    <w:uiPriority w:val="9"/>
    <w:rsid w:val="00FF66C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FF66C6"/>
    <w:pPr>
      <w:spacing w:before="100" w:beforeAutospacing="1" w:after="100" w:afterAutospacing="1"/>
    </w:pPr>
  </w:style>
  <w:style w:type="table" w:styleId="TableGrid">
    <w:name w:val="Table Grid"/>
    <w:basedOn w:val="TableNormal"/>
    <w:uiPriority w:val="39"/>
    <w:rsid w:val="00FF6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7D1A"/>
    <w:pPr>
      <w:ind w:left="720"/>
      <w:contextualSpacing/>
    </w:pPr>
  </w:style>
  <w:style w:type="paragraph" w:styleId="Subtitle">
    <w:name w:val="Subtitle"/>
    <w:basedOn w:val="Normal"/>
    <w:next w:val="Normal"/>
    <w:link w:val="SubtitleChar"/>
    <w:uiPriority w:val="11"/>
    <w:qFormat/>
    <w:rsid w:val="00F67D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67D1A"/>
    <w:rPr>
      <w:rFonts w:eastAsiaTheme="minorEastAsia"/>
      <w:color w:val="5A5A5A" w:themeColor="text1" w:themeTint="A5"/>
      <w:spacing w:val="15"/>
      <w:sz w:val="22"/>
      <w:szCs w:val="22"/>
      <w:lang w:eastAsia="en-GB"/>
    </w:rPr>
  </w:style>
  <w:style w:type="paragraph" w:styleId="TOCHeading">
    <w:name w:val="TOC Heading"/>
    <w:basedOn w:val="Heading1"/>
    <w:next w:val="Normal"/>
    <w:uiPriority w:val="39"/>
    <w:unhideWhenUsed/>
    <w:qFormat/>
    <w:rsid w:val="00F67D1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F67D1A"/>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F67D1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67D1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67D1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67D1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67D1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67D1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67D1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67D1A"/>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F67D1A"/>
    <w:pPr>
      <w:tabs>
        <w:tab w:val="center" w:pos="4513"/>
        <w:tab w:val="right" w:pos="9026"/>
      </w:tabs>
    </w:pPr>
  </w:style>
  <w:style w:type="character" w:customStyle="1" w:styleId="FooterChar">
    <w:name w:val="Footer Char"/>
    <w:basedOn w:val="DefaultParagraphFont"/>
    <w:link w:val="Footer"/>
    <w:uiPriority w:val="99"/>
    <w:rsid w:val="00F67D1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67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63254">
      <w:bodyDiv w:val="1"/>
      <w:marLeft w:val="0"/>
      <w:marRight w:val="0"/>
      <w:marTop w:val="0"/>
      <w:marBottom w:val="0"/>
      <w:divBdr>
        <w:top w:val="none" w:sz="0" w:space="0" w:color="auto"/>
        <w:left w:val="none" w:sz="0" w:space="0" w:color="auto"/>
        <w:bottom w:val="none" w:sz="0" w:space="0" w:color="auto"/>
        <w:right w:val="none" w:sz="0" w:space="0" w:color="auto"/>
      </w:divBdr>
    </w:div>
    <w:div w:id="176430802">
      <w:bodyDiv w:val="1"/>
      <w:marLeft w:val="0"/>
      <w:marRight w:val="0"/>
      <w:marTop w:val="0"/>
      <w:marBottom w:val="0"/>
      <w:divBdr>
        <w:top w:val="none" w:sz="0" w:space="0" w:color="auto"/>
        <w:left w:val="none" w:sz="0" w:space="0" w:color="auto"/>
        <w:bottom w:val="none" w:sz="0" w:space="0" w:color="auto"/>
        <w:right w:val="none" w:sz="0" w:space="0" w:color="auto"/>
      </w:divBdr>
    </w:div>
    <w:div w:id="532622121">
      <w:bodyDiv w:val="1"/>
      <w:marLeft w:val="0"/>
      <w:marRight w:val="0"/>
      <w:marTop w:val="0"/>
      <w:marBottom w:val="0"/>
      <w:divBdr>
        <w:top w:val="none" w:sz="0" w:space="0" w:color="auto"/>
        <w:left w:val="none" w:sz="0" w:space="0" w:color="auto"/>
        <w:bottom w:val="none" w:sz="0" w:space="0" w:color="auto"/>
        <w:right w:val="none" w:sz="0" w:space="0" w:color="auto"/>
      </w:divBdr>
    </w:div>
    <w:div w:id="630747442">
      <w:bodyDiv w:val="1"/>
      <w:marLeft w:val="0"/>
      <w:marRight w:val="0"/>
      <w:marTop w:val="0"/>
      <w:marBottom w:val="0"/>
      <w:divBdr>
        <w:top w:val="none" w:sz="0" w:space="0" w:color="auto"/>
        <w:left w:val="none" w:sz="0" w:space="0" w:color="auto"/>
        <w:bottom w:val="none" w:sz="0" w:space="0" w:color="auto"/>
        <w:right w:val="none" w:sz="0" w:space="0" w:color="auto"/>
      </w:divBdr>
    </w:div>
    <w:div w:id="704600688">
      <w:bodyDiv w:val="1"/>
      <w:marLeft w:val="0"/>
      <w:marRight w:val="0"/>
      <w:marTop w:val="0"/>
      <w:marBottom w:val="0"/>
      <w:divBdr>
        <w:top w:val="none" w:sz="0" w:space="0" w:color="auto"/>
        <w:left w:val="none" w:sz="0" w:space="0" w:color="auto"/>
        <w:bottom w:val="none" w:sz="0" w:space="0" w:color="auto"/>
        <w:right w:val="none" w:sz="0" w:space="0" w:color="auto"/>
      </w:divBdr>
    </w:div>
    <w:div w:id="819545013">
      <w:bodyDiv w:val="1"/>
      <w:marLeft w:val="0"/>
      <w:marRight w:val="0"/>
      <w:marTop w:val="0"/>
      <w:marBottom w:val="0"/>
      <w:divBdr>
        <w:top w:val="none" w:sz="0" w:space="0" w:color="auto"/>
        <w:left w:val="none" w:sz="0" w:space="0" w:color="auto"/>
        <w:bottom w:val="none" w:sz="0" w:space="0" w:color="auto"/>
        <w:right w:val="none" w:sz="0" w:space="0" w:color="auto"/>
      </w:divBdr>
    </w:div>
    <w:div w:id="1042367539">
      <w:bodyDiv w:val="1"/>
      <w:marLeft w:val="0"/>
      <w:marRight w:val="0"/>
      <w:marTop w:val="0"/>
      <w:marBottom w:val="0"/>
      <w:divBdr>
        <w:top w:val="none" w:sz="0" w:space="0" w:color="auto"/>
        <w:left w:val="none" w:sz="0" w:space="0" w:color="auto"/>
        <w:bottom w:val="none" w:sz="0" w:space="0" w:color="auto"/>
        <w:right w:val="none" w:sz="0" w:space="0" w:color="auto"/>
      </w:divBdr>
    </w:div>
    <w:div w:id="1343974405">
      <w:bodyDiv w:val="1"/>
      <w:marLeft w:val="0"/>
      <w:marRight w:val="0"/>
      <w:marTop w:val="0"/>
      <w:marBottom w:val="0"/>
      <w:divBdr>
        <w:top w:val="none" w:sz="0" w:space="0" w:color="auto"/>
        <w:left w:val="none" w:sz="0" w:space="0" w:color="auto"/>
        <w:bottom w:val="none" w:sz="0" w:space="0" w:color="auto"/>
        <w:right w:val="none" w:sz="0" w:space="0" w:color="auto"/>
      </w:divBdr>
    </w:div>
    <w:div w:id="1345126778">
      <w:bodyDiv w:val="1"/>
      <w:marLeft w:val="0"/>
      <w:marRight w:val="0"/>
      <w:marTop w:val="0"/>
      <w:marBottom w:val="0"/>
      <w:divBdr>
        <w:top w:val="none" w:sz="0" w:space="0" w:color="auto"/>
        <w:left w:val="none" w:sz="0" w:space="0" w:color="auto"/>
        <w:bottom w:val="none" w:sz="0" w:space="0" w:color="auto"/>
        <w:right w:val="none" w:sz="0" w:space="0" w:color="auto"/>
      </w:divBdr>
      <w:divsChild>
        <w:div w:id="39866182">
          <w:marLeft w:val="0"/>
          <w:marRight w:val="0"/>
          <w:marTop w:val="0"/>
          <w:marBottom w:val="0"/>
          <w:divBdr>
            <w:top w:val="none" w:sz="0" w:space="0" w:color="auto"/>
            <w:left w:val="none" w:sz="0" w:space="0" w:color="auto"/>
            <w:bottom w:val="none" w:sz="0" w:space="0" w:color="auto"/>
            <w:right w:val="none" w:sz="0" w:space="0" w:color="auto"/>
          </w:divBdr>
          <w:divsChild>
            <w:div w:id="2028437032">
              <w:marLeft w:val="0"/>
              <w:marRight w:val="0"/>
              <w:marTop w:val="0"/>
              <w:marBottom w:val="0"/>
              <w:divBdr>
                <w:top w:val="none" w:sz="0" w:space="0" w:color="auto"/>
                <w:left w:val="none" w:sz="0" w:space="0" w:color="auto"/>
                <w:bottom w:val="none" w:sz="0" w:space="0" w:color="auto"/>
                <w:right w:val="none" w:sz="0" w:space="0" w:color="auto"/>
              </w:divBdr>
              <w:divsChild>
                <w:div w:id="1927497442">
                  <w:marLeft w:val="0"/>
                  <w:marRight w:val="0"/>
                  <w:marTop w:val="0"/>
                  <w:marBottom w:val="0"/>
                  <w:divBdr>
                    <w:top w:val="none" w:sz="0" w:space="0" w:color="auto"/>
                    <w:left w:val="none" w:sz="0" w:space="0" w:color="auto"/>
                    <w:bottom w:val="none" w:sz="0" w:space="0" w:color="auto"/>
                    <w:right w:val="none" w:sz="0" w:space="0" w:color="auto"/>
                  </w:divBdr>
                  <w:divsChild>
                    <w:div w:id="19654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63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ns.gov.uk/peoplepopulationandcommunity/birthsdeathsandmarriages/ageing/articles/livinglongerhowourpopulationischangingandwhyitmatters/2018-08-13" TargetMode="External"/><Relationship Id="rId18" Type="http://schemas.openxmlformats.org/officeDocument/2006/relationships/hyperlink" Target="https://www.ageuk.org.uk/globalassets/age-uk/documents/reports-and-publications/reports-and-briefings/active-communities/the_economic_contribution_of_older_-people_-update_-to_-2017.pdf" TargetMode="External"/><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assets.publishing.service.gov.uk/government/uploads/system/uploads/attachment_data/file/816458/future-of-an-ageing-population.pdf" TargetMode="External"/><Relationship Id="rId25" Type="http://schemas.openxmlformats.org/officeDocument/2006/relationships/image" Target="media/image8.emf"/><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quallyours.org.uk/wp-content/uploads/2009/03/gpreport-web-version.pdf" TargetMode="External"/><Relationship Id="rId20" Type="http://schemas.openxmlformats.org/officeDocument/2006/relationships/hyperlink" Target="https://www.un.org/development/desa/pd/sites/www.un.org.development.desa.pd/files/undesa_pd-2020_world_population_ageing_highlights.pdf" TargetMode="External"/><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al.chinadaily.com.cn/a/201904/09/WS5cabe02da3104842260b50cb.html" TargetMode="External"/><Relationship Id="rId24" Type="http://schemas.openxmlformats.org/officeDocument/2006/relationships/image" Target="media/image7.emf"/><Relationship Id="rId32"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hyperlink" Target="https://www.gov.uk/government/publications/2010-to-2015-government-policy-older-people/2010-to-2015-government-policy-older-people" TargetMode="External"/><Relationship Id="rId23" Type="http://schemas.openxmlformats.org/officeDocument/2006/relationships/image" Target="media/image6.emf"/><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ons.gov.uk/peoplepopulationandcommunity/birthsdeathsandmarriages/ageing/articles/livinglongerhowourpopulationischangingandwhyitmatters/2018-08-13" TargetMode="External"/><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file:////var/folders/yd/2zjj4mp93zj6tz2_zl1fdvz80000gn/T/com.microsoft.Word/WebArchiveCopyPasteTempFiles/page1image1849360" TargetMode="External"/><Relationship Id="rId14" Type="http://schemas.openxmlformats.org/officeDocument/2006/relationships/hyperlink" Target="https://www.gov.uk/government/statistics/economic-labour-market-status-of-individuals-aged-50-and-over-trends-over-time-september-2020/economic-labour-market-status-of-individuals-aged-50-and-over-trends-over-time-september-2020"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D3C8E-AEA6-A046-9E9F-853AFEBE6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14</Pages>
  <Words>1861</Words>
  <Characters>10609</Characters>
  <Application>Microsoft Office Word</Application>
  <DocSecurity>0</DocSecurity>
  <Lines>88</Lines>
  <Paragraphs>24</Paragraphs>
  <ScaleCrop>false</ScaleCrop>
  <Company>Lecturer: Edward Goka</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 
BMHP6009-Living with care: The older person</dc:title>
  <dc:subject>Do aging societies poses challenges for Health and Social Care systems?</dc:subject>
  <dc:creator>Student: Ana Maria Elena Stanciu (1909953)</dc:creator>
  <cp:keywords/>
  <dc:description/>
  <cp:lastModifiedBy>Ana Maria Elena Stanciu (1909953)</cp:lastModifiedBy>
  <cp:revision>9</cp:revision>
  <dcterms:created xsi:type="dcterms:W3CDTF">2021-12-08T10:35:00Z</dcterms:created>
  <dcterms:modified xsi:type="dcterms:W3CDTF">2021-12-09T17:20:00Z</dcterms:modified>
</cp:coreProperties>
</file>